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422910</wp:posOffset>
            </wp:positionH>
            <wp:positionV relativeFrom="page">
              <wp:posOffset>849630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t>UNITED STATES</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53975</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ind w:left="340" w:hanging="322"/>
        <w:spacing w:after="0" w:line="183" w:lineRule="auto"/>
        <w:tabs>
          <w:tab w:leader="none" w:pos="340" w:val="left"/>
        </w:tabs>
        <w:numPr>
          <w:ilvl w:val="0"/>
          <w:numId w:val="1"/>
        </w:numPr>
        <w:rPr>
          <w:rFonts w:ascii="MS PGothic" w:cs="MS PGothic" w:eastAsia="MS PGothic" w:hAnsi="MS PGothic"/>
          <w:sz w:val="31"/>
          <w:szCs w:val="31"/>
          <w:color w:val="auto"/>
          <w:vertAlign w:val="subscript"/>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ind w:left="340" w:hanging="322"/>
        <w:spacing w:after="0" w:line="187" w:lineRule="auto"/>
        <w:tabs>
          <w:tab w:leader="none" w:pos="340" w:val="left"/>
        </w:tabs>
        <w:numPr>
          <w:ilvl w:val="0"/>
          <w:numId w:val="2"/>
        </w:numPr>
        <w:rPr>
          <w:rFonts w:ascii="MS PGothic" w:cs="MS PGothic" w:eastAsia="MS PGothic" w:hAnsi="MS PGothic"/>
          <w:sz w:val="38"/>
          <w:szCs w:val="38"/>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ind w:left="3440"/>
              <w:spacing w:after="0"/>
              <w:rPr>
                <w:sz w:val="20"/>
                <w:szCs w:val="20"/>
                <w:color w:val="auto"/>
              </w:rPr>
            </w:pPr>
            <w:r>
              <w:rPr>
                <w:rFonts w:ascii="Times New Roman" w:cs="Times New Roman" w:eastAsia="Times New Roman" w:hAnsi="Times New Roman"/>
                <w:sz w:val="16"/>
                <w:szCs w:val="16"/>
                <w:b w:val="1"/>
                <w:bCs w:val="1"/>
                <w:color w:val="auto"/>
                <w:w w:val="97"/>
              </w:rPr>
              <w:t>FOR THE TRANSITION PERIOD FROM</w:t>
            </w:r>
          </w:p>
        </w:tc>
        <w:tc>
          <w:tcPr>
            <w:tcW w:w="480" w:type="dxa"/>
            <w:vAlign w:val="bottom"/>
            <w:tcBorders>
              <w:bottom w:val="single" w:sz="8" w:color="auto"/>
            </w:tcBorders>
          </w:tcPr>
          <w:p>
            <w:pPr>
              <w:spacing w:after="0"/>
              <w:rPr>
                <w:sz w:val="16"/>
                <w:szCs w:val="16"/>
                <w:color w:val="auto"/>
              </w:rPr>
            </w:pPr>
          </w:p>
        </w:tc>
        <w:tc>
          <w:tcPr>
            <w:tcW w:w="37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54"/>
        </w:trPr>
        <w:tc>
          <w:tcPr>
            <w:tcW w:w="6840" w:type="dxa"/>
            <w:vAlign w:val="bottom"/>
            <w:gridSpan w:val="2"/>
          </w:tcPr>
          <w:p>
            <w:pPr>
              <w:jc w:val="center"/>
              <w:ind w:left="3659"/>
              <w:spacing w:after="0"/>
              <w:rPr>
                <w:sz w:val="20"/>
                <w:szCs w:val="20"/>
                <w:color w:val="auto"/>
              </w:rPr>
            </w:pPr>
            <w:r>
              <w:rPr>
                <w:rFonts w:ascii="Times New Roman" w:cs="Times New Roman" w:eastAsia="Times New Roman" w:hAnsi="Times New Roman"/>
                <w:sz w:val="16"/>
                <w:szCs w:val="16"/>
                <w:b w:val="1"/>
                <w:bCs w:val="1"/>
                <w:color w:val="auto"/>
                <w:w w:val="96"/>
              </w:rPr>
              <w:t>COMMISSION FILE NUMBER: 814-00736</w:t>
            </w:r>
          </w:p>
        </w:tc>
        <w:tc>
          <w:tcPr>
            <w:tcW w:w="3720" w:type="dxa"/>
            <w:vAlign w:val="bottom"/>
          </w:tcPr>
          <w:p>
            <w:pPr>
              <w:spacing w:after="0"/>
              <w:rPr>
                <w:sz w:val="22"/>
                <w:szCs w:val="22"/>
                <w:color w:val="auto"/>
              </w:rPr>
            </w:pPr>
          </w:p>
        </w:tc>
      </w:tr>
      <w:tr>
        <w:trPr>
          <w:trHeight w:val="74"/>
        </w:trPr>
        <w:tc>
          <w:tcPr>
            <w:tcW w:w="6360" w:type="dxa"/>
            <w:vAlign w:val="bottom"/>
            <w:tcBorders>
              <w:bottom w:val="single" w:sz="8" w:color="auto"/>
            </w:tcBorders>
          </w:tcPr>
          <w:p>
            <w:pPr>
              <w:spacing w:after="0"/>
              <w:rPr>
                <w:sz w:val="6"/>
                <w:szCs w:val="6"/>
                <w:color w:val="auto"/>
              </w:rPr>
            </w:pPr>
          </w:p>
        </w:tc>
        <w:tc>
          <w:tcPr>
            <w:tcW w:w="4200" w:type="dxa"/>
            <w:vAlign w:val="bottom"/>
            <w:tcBorders>
              <w:bottom w:val="single" w:sz="8" w:color="auto"/>
            </w:tcBorders>
            <w:gridSpan w:val="2"/>
          </w:tcPr>
          <w:p>
            <w:pPr>
              <w:spacing w:after="0"/>
              <w:rPr>
                <w:sz w:val="6"/>
                <w:szCs w:val="6"/>
                <w:color w:val="auto"/>
              </w:rPr>
            </w:pPr>
          </w:p>
        </w:tc>
      </w:tr>
      <w:tr>
        <w:trPr>
          <w:trHeight w:val="338"/>
        </w:trPr>
        <w:tc>
          <w:tcPr>
            <w:tcW w:w="10560" w:type="dxa"/>
            <w:vAlign w:val="bottom"/>
            <w:gridSpan w:val="3"/>
          </w:tcPr>
          <w:p>
            <w:pPr>
              <w:jc w:val="center"/>
              <w:spacing w:after="0"/>
              <w:rPr>
                <w:sz w:val="20"/>
                <w:szCs w:val="20"/>
                <w:color w:val="auto"/>
              </w:rPr>
            </w:pPr>
            <w:r>
              <w:rPr>
                <w:rFonts w:ascii="Times New Roman" w:cs="Times New Roman" w:eastAsia="Times New Roman" w:hAnsi="Times New Roman"/>
                <w:sz w:val="28"/>
                <w:szCs w:val="28"/>
                <w:b w:val="1"/>
                <w:bCs w:val="1"/>
                <w:color w:val="auto"/>
                <w:w w:val="98"/>
              </w:rPr>
              <w:t>PENNANTPARK INVESTMENT CORPORATION</w:t>
            </w:r>
          </w:p>
        </w:tc>
      </w:tr>
      <w:tr>
        <w:trPr>
          <w:trHeight w:val="174"/>
        </w:trPr>
        <w:tc>
          <w:tcPr>
            <w:tcW w:w="6840" w:type="dxa"/>
            <w:vAlign w:val="bottom"/>
            <w:gridSpan w:val="2"/>
          </w:tcPr>
          <w:p>
            <w:pPr>
              <w:jc w:val="center"/>
              <w:ind w:left="36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3720" w:type="dxa"/>
            <w:vAlign w:val="bottom"/>
          </w:tcPr>
          <w:p>
            <w:pPr>
              <w:spacing w:after="0"/>
              <w:rPr>
                <w:sz w:val="15"/>
                <w:szCs w:val="15"/>
                <w:color w:val="auto"/>
              </w:rPr>
            </w:pPr>
          </w:p>
        </w:tc>
      </w:tr>
      <w:tr>
        <w:trPr>
          <w:trHeight w:val="152"/>
        </w:trPr>
        <w:tc>
          <w:tcPr>
            <w:tcW w:w="63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r>
      <w:tr>
        <w:trPr>
          <w:trHeight w:val="494"/>
        </w:trPr>
        <w:tc>
          <w:tcPr>
            <w:tcW w:w="6840" w:type="dxa"/>
            <w:vAlign w:val="bottom"/>
            <w:gridSpan w:val="2"/>
          </w:tcPr>
          <w:p>
            <w:pPr>
              <w:jc w:val="center"/>
              <w:ind w:right="1520"/>
              <w:spacing w:after="0"/>
              <w:rPr>
                <w:sz w:val="20"/>
                <w:szCs w:val="20"/>
                <w:color w:val="auto"/>
              </w:rPr>
            </w:pPr>
            <w:r>
              <w:rPr>
                <w:rFonts w:ascii="Times New Roman" w:cs="Times New Roman" w:eastAsia="Times New Roman" w:hAnsi="Times New Roman"/>
                <w:sz w:val="16"/>
                <w:szCs w:val="16"/>
                <w:b w:val="1"/>
                <w:bCs w:val="1"/>
                <w:color w:val="auto"/>
                <w:w w:val="96"/>
              </w:rPr>
              <w:t>MARYLAND</w:t>
            </w:r>
          </w:p>
        </w:tc>
        <w:tc>
          <w:tcPr>
            <w:tcW w:w="3720" w:type="dxa"/>
            <w:vAlign w:val="bottom"/>
          </w:tcPr>
          <w:p>
            <w:pPr>
              <w:jc w:val="right"/>
              <w:ind w:right="2067"/>
              <w:spacing w:after="0"/>
              <w:rPr>
                <w:sz w:val="20"/>
                <w:szCs w:val="20"/>
                <w:color w:val="auto"/>
              </w:rPr>
            </w:pPr>
            <w:r>
              <w:rPr>
                <w:rFonts w:ascii="Times New Roman" w:cs="Times New Roman" w:eastAsia="Times New Roman" w:hAnsi="Times New Roman"/>
                <w:sz w:val="16"/>
                <w:szCs w:val="16"/>
                <w:b w:val="1"/>
                <w:bCs w:val="1"/>
                <w:color w:val="auto"/>
              </w:rPr>
              <w:t>20-8250744</w:t>
            </w:r>
          </w:p>
        </w:tc>
      </w:tr>
      <w:tr>
        <w:trPr>
          <w:trHeight w:val="222"/>
        </w:trPr>
        <w:tc>
          <w:tcPr>
            <w:tcW w:w="6840" w:type="dxa"/>
            <w:vAlign w:val="bottom"/>
            <w:gridSpan w:val="2"/>
          </w:tcPr>
          <w:p>
            <w:pPr>
              <w:jc w:val="center"/>
              <w:ind w:right="154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 or organization)</w:t>
            </w:r>
          </w:p>
        </w:tc>
        <w:tc>
          <w:tcPr>
            <w:tcW w:w="3720" w:type="dxa"/>
            <w:vAlign w:val="bottom"/>
          </w:tcPr>
          <w:p>
            <w:pPr>
              <w:jc w:val="center"/>
              <w:ind w:right="1267"/>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tc>
      </w:tr>
      <w:tr>
        <w:trPr>
          <w:trHeight w:val="365"/>
        </w:trPr>
        <w:tc>
          <w:tcPr>
            <w:tcW w:w="6840" w:type="dxa"/>
            <w:vAlign w:val="bottom"/>
            <w:gridSpan w:val="2"/>
          </w:tcPr>
          <w:p>
            <w:pPr>
              <w:jc w:val="center"/>
              <w:ind w:right="1520"/>
              <w:spacing w:after="0"/>
              <w:rPr>
                <w:sz w:val="20"/>
                <w:szCs w:val="20"/>
                <w:color w:val="auto"/>
              </w:rPr>
            </w:pPr>
            <w:r>
              <w:rPr>
                <w:rFonts w:ascii="Times New Roman" w:cs="Times New Roman" w:eastAsia="Times New Roman" w:hAnsi="Times New Roman"/>
                <w:sz w:val="16"/>
                <w:szCs w:val="16"/>
                <w:b w:val="1"/>
                <w:bCs w:val="1"/>
                <w:color w:val="auto"/>
                <w:w w:val="97"/>
              </w:rPr>
              <w:t>1691 Michigan Avenue,</w:t>
            </w:r>
          </w:p>
        </w:tc>
        <w:tc>
          <w:tcPr>
            <w:tcW w:w="3720" w:type="dxa"/>
            <w:vAlign w:val="bottom"/>
          </w:tcPr>
          <w:p>
            <w:pPr>
              <w:spacing w:after="0"/>
              <w:rPr>
                <w:sz w:val="24"/>
                <w:szCs w:val="24"/>
                <w:color w:val="auto"/>
              </w:rPr>
            </w:pPr>
          </w:p>
        </w:tc>
      </w:tr>
      <w:tr>
        <w:trPr>
          <w:trHeight w:val="205"/>
        </w:trPr>
        <w:tc>
          <w:tcPr>
            <w:tcW w:w="6840" w:type="dxa"/>
            <w:vAlign w:val="bottom"/>
            <w:gridSpan w:val="2"/>
          </w:tcPr>
          <w:p>
            <w:pPr>
              <w:jc w:val="center"/>
              <w:ind w:right="1540"/>
              <w:spacing w:after="0"/>
              <w:rPr>
                <w:sz w:val="20"/>
                <w:szCs w:val="20"/>
                <w:color w:val="auto"/>
              </w:rPr>
            </w:pPr>
            <w:r>
              <w:rPr>
                <w:rFonts w:ascii="Times New Roman" w:cs="Times New Roman" w:eastAsia="Times New Roman" w:hAnsi="Times New Roman"/>
                <w:sz w:val="16"/>
                <w:szCs w:val="16"/>
                <w:b w:val="1"/>
                <w:bCs w:val="1"/>
                <w:color w:val="auto"/>
                <w:w w:val="97"/>
              </w:rPr>
              <w:t>Miami Beach, Florida</w:t>
            </w:r>
          </w:p>
        </w:tc>
        <w:tc>
          <w:tcPr>
            <w:tcW w:w="3720" w:type="dxa"/>
            <w:vAlign w:val="bottom"/>
          </w:tcPr>
          <w:p>
            <w:pPr>
              <w:jc w:val="right"/>
              <w:ind w:right="2267"/>
              <w:spacing w:after="0"/>
              <w:rPr>
                <w:sz w:val="20"/>
                <w:szCs w:val="20"/>
                <w:color w:val="auto"/>
              </w:rPr>
            </w:pPr>
            <w:r>
              <w:rPr>
                <w:rFonts w:ascii="Times New Roman" w:cs="Times New Roman" w:eastAsia="Times New Roman" w:hAnsi="Times New Roman"/>
                <w:sz w:val="16"/>
                <w:szCs w:val="16"/>
                <w:b w:val="1"/>
                <w:bCs w:val="1"/>
                <w:color w:val="auto"/>
              </w:rPr>
              <w:t>33139</w:t>
            </w:r>
          </w:p>
        </w:tc>
      </w:tr>
      <w:tr>
        <w:trPr>
          <w:trHeight w:val="174"/>
        </w:trPr>
        <w:tc>
          <w:tcPr>
            <w:tcW w:w="6840" w:type="dxa"/>
            <w:vAlign w:val="bottom"/>
            <w:gridSpan w:val="2"/>
          </w:tcPr>
          <w:p>
            <w:pPr>
              <w:jc w:val="center"/>
              <w:ind w:right="15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20" w:type="dxa"/>
            <w:vAlign w:val="bottom"/>
          </w:tcPr>
          <w:p>
            <w:pPr>
              <w:jc w:val="center"/>
              <w:ind w:right="1247"/>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bl>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(786) 297-9500</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8"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40" w:orient="portrait"/>
          <w:cols w:equalWidth="0" w:num="1">
            <w:col w:w="10560"/>
          </w:cols>
          <w:pgMar w:left="660" w:top="1356" w:right="680" w:bottom="1440" w:gutter="0" w:footer="0" w:header="0"/>
        </w:sectPr>
      </w:pPr>
    </w:p>
    <w:p>
      <w:pPr>
        <w:spacing w:after="0" w:line="10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33" w:lineRule="exact"/>
        <w:rPr>
          <w:sz w:val="24"/>
          <w:szCs w:val="24"/>
          <w:color w:val="auto"/>
        </w:rPr>
      </w:pPr>
    </w:p>
    <w:p>
      <w:pPr>
        <w:sectPr>
          <w:pgSz w:w="11900" w:h="16840" w:orient="portrait"/>
          <w:cols w:equalWidth="0" w:num="3">
            <w:col w:w="4000" w:space="720"/>
            <w:col w:w="1960" w:space="720"/>
            <w:col w:w="3160"/>
          </w:cols>
          <w:pgMar w:left="660" w:top="1356" w:right="680"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PNNT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The New York Stock Exchange</w:t>
      </w:r>
    </w:p>
    <w:p>
      <w:pPr>
        <w:spacing w:after="0" w:line="103" w:lineRule="exact"/>
        <w:rPr>
          <w:sz w:val="24"/>
          <w:szCs w:val="24"/>
          <w:color w:val="auto"/>
        </w:rPr>
      </w:pPr>
    </w:p>
    <w:p>
      <w:pPr>
        <w:sectPr>
          <w:pgSz w:w="11900" w:h="16840" w:orient="portrait"/>
          <w:cols w:equalWidth="0" w:num="3">
            <w:col w:w="4380" w:space="720"/>
            <w:col w:w="2080" w:space="720"/>
            <w:col w:w="2660"/>
          </w:cols>
          <w:pgMar w:left="660" w:top="1356" w:right="680" w:bottom="1440" w:gutter="0" w:footer="0" w:header="0"/>
          <w:type w:val="continuous"/>
        </w:sectPr>
      </w:pPr>
    </w:p>
    <w:p>
      <w:pPr>
        <w:ind w:right="120" w:firstLine="468"/>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 </w:t>
      </w:r>
      <w:r>
        <w:rPr>
          <w:rFonts w:ascii="MS PGothic" w:cs="MS PGothic" w:eastAsia="MS PGothic" w:hAnsi="MS PGothic"/>
          <w:sz w:val="14"/>
          <w:szCs w:val="14"/>
          <w:color w:val="auto"/>
        </w:rPr>
        <w:t>☐</w:t>
      </w:r>
    </w:p>
    <w:p>
      <w:pPr>
        <w:spacing w:after="0" w:line="18" w:lineRule="exact"/>
        <w:rPr>
          <w:sz w:val="24"/>
          <w:szCs w:val="24"/>
          <w:color w:val="auto"/>
        </w:rPr>
      </w:pPr>
    </w:p>
    <w:p>
      <w:pPr>
        <w:ind w:right="480" w:firstLine="468"/>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300" w:firstLine="468"/>
        <w:spacing w:after="0" w:line="29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180" w:type="dxa"/>
        <w:tblCellMar>
          <w:top w:w="0" w:type="dxa"/>
          <w:left w:w="0" w:type="dxa"/>
          <w:bottom w:w="0" w:type="dxa"/>
          <w:right w:w="0" w:type="dxa"/>
        </w:tblCellMar>
      </w:tblPr>
      <w:tr>
        <w:trPr>
          <w:trHeight w:val="192"/>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8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560" w:type="dxa"/>
            <w:vAlign w:val="bottom"/>
          </w:tcPr>
          <w:p>
            <w:pPr>
              <w:ind w:left="2400"/>
              <w:spacing w:after="0"/>
              <w:rPr>
                <w:sz w:val="20"/>
                <w:szCs w:val="20"/>
                <w:color w:val="auto"/>
              </w:rPr>
            </w:pPr>
            <w:r>
              <w:rPr>
                <w:rFonts w:ascii="Times New Roman" w:cs="Times New Roman" w:eastAsia="Times New Roman" w:hAnsi="Times New Roman"/>
                <w:sz w:val="14"/>
                <w:szCs w:val="14"/>
                <w:color w:val="auto"/>
              </w:rPr>
              <w:t>Accelerated filer</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2"/>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8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560" w:type="dxa"/>
            <w:vAlign w:val="bottom"/>
          </w:tcPr>
          <w:p>
            <w:pPr>
              <w:ind w:left="24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8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56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pacing w:after="0" w:line="78" w:lineRule="exact"/>
        <w:rPr>
          <w:sz w:val="24"/>
          <w:szCs w:val="24"/>
          <w:color w:val="auto"/>
        </w:rPr>
      </w:pPr>
    </w:p>
    <w:p>
      <w:pPr>
        <w:ind w:right="80" w:firstLine="468"/>
        <w:spacing w:after="0" w:line="265"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60" w:right="2580" w:firstLine="36"/>
        <w:spacing w:after="0" w:line="19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of the registrant’s common stock, $0.001 par value per share, outstanding as of August 7, 2024 was 65,296,094.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132080</wp:posOffset>
            </wp:positionV>
            <wp:extent cx="6707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767715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6" w:right="680" w:bottom="1440" w:gutter="0" w:footer="0" w:header="0"/>
          <w:type w:val="continuous"/>
        </w:sectPr>
      </w:pPr>
    </w:p>
    <w:bookmarkStart w:id="1" w:name="page2"/>
    <w:bookmarkEnd w:id="1"/>
    <w:p>
      <w:pPr>
        <w:jc w:val="center"/>
        <w:ind w:right="-459"/>
        <w:spacing w:after="0"/>
        <w:rPr>
          <w:sz w:val="20"/>
          <w:szCs w:val="20"/>
          <w:color w:val="auto"/>
        </w:rPr>
      </w:pPr>
      <w:r>
        <w:rPr>
          <w:rFonts w:ascii="Times New Roman" w:cs="Times New Roman" w:eastAsia="Times New Roman" w:hAnsi="Times New Roman"/>
          <w:sz w:val="13"/>
          <w:szCs w:val="13"/>
          <w:b w:val="1"/>
          <w:bCs w:val="1"/>
          <w:color w:val="auto"/>
        </w:rPr>
        <w:t>PENNANTPARK INVESTMENT CORPORATION</w:t>
      </w:r>
    </w:p>
    <w:p>
      <w:pPr>
        <w:spacing w:after="0" w:line="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3"/>
          <w:szCs w:val="13"/>
          <w:b w:val="1"/>
          <w:bCs w:val="1"/>
          <w:color w:val="auto"/>
        </w:rPr>
        <w:t>FORM 10-Q FOR THE QUARTER ENDED JUNE 30, 2024</w:t>
      </w:r>
    </w:p>
    <w:p>
      <w:pPr>
        <w:spacing w:after="0" w:line="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40" w:type="dxa"/>
            <w:vAlign w:val="bottom"/>
            <w:gridSpan w:val="12"/>
          </w:tcPr>
          <w:p>
            <w:pPr>
              <w:jc w:val="center"/>
              <w:ind w:right="160"/>
              <w:spacing w:after="0"/>
              <w:rPr>
                <w:rFonts w:ascii="Times New Roman" w:cs="Times New Roman" w:eastAsia="Times New Roman" w:hAnsi="Times New Roman"/>
                <w:sz w:val="13"/>
                <w:szCs w:val="13"/>
                <w:b w:val="1"/>
                <w:bCs w:val="1"/>
                <w:color w:val="0000FF"/>
              </w:rPr>
            </w:pPr>
            <w:hyperlink w:anchor="page3">
              <w:r>
                <w:rPr>
                  <w:rFonts w:ascii="Times New Roman" w:cs="Times New Roman" w:eastAsia="Times New Roman" w:hAnsi="Times New Roman"/>
                  <w:sz w:val="13"/>
                  <w:szCs w:val="13"/>
                  <w:b w:val="1"/>
                  <w:bCs w:val="1"/>
                  <w:color w:val="0000FF"/>
                </w:rPr>
                <w:t>PART I. CONSOLIDATED FINANCIAL INFORMATION</w:t>
              </w:r>
            </w:hyperlink>
          </w:p>
        </w:tc>
        <w:tc>
          <w:tcPr>
            <w:tcW w:w="3680" w:type="dxa"/>
            <w:vAlign w:val="bottom"/>
          </w:tcPr>
          <w:p>
            <w:pPr>
              <w:spacing w:after="0"/>
              <w:rPr>
                <w:sz w:val="12"/>
                <w:szCs w:val="12"/>
                <w:color w:val="auto"/>
              </w:rPr>
            </w:pPr>
          </w:p>
        </w:tc>
      </w:tr>
      <w:tr>
        <w:trPr>
          <w:trHeight w:val="340"/>
        </w:trPr>
        <w:tc>
          <w:tcPr>
            <w:tcW w:w="20" w:type="dxa"/>
            <w:vAlign w:val="bottom"/>
          </w:tcPr>
          <w:p>
            <w:pPr>
              <w:spacing w:after="0"/>
              <w:rPr>
                <w:sz w:val="24"/>
                <w:szCs w:val="24"/>
                <w:color w:val="auto"/>
              </w:rPr>
            </w:pPr>
          </w:p>
        </w:tc>
        <w:tc>
          <w:tcPr>
            <w:tcW w:w="3320" w:type="dxa"/>
            <w:vAlign w:val="bottom"/>
            <w:gridSpan w:val="12"/>
          </w:tcPr>
          <w:p>
            <w:pPr>
              <w:spacing w:after="0"/>
              <w:rPr>
                <w:rFonts w:ascii="Times New Roman" w:cs="Times New Roman" w:eastAsia="Times New Roman" w:hAnsi="Times New Roman"/>
                <w:sz w:val="13"/>
                <w:szCs w:val="13"/>
                <w:b w:val="1"/>
                <w:bCs w:val="1"/>
                <w:color w:val="0000FF"/>
              </w:rPr>
            </w:pPr>
            <w:hyperlink w:anchor="page4">
              <w:r>
                <w:rPr>
                  <w:rFonts w:ascii="Times New Roman" w:cs="Times New Roman" w:eastAsia="Times New Roman" w:hAnsi="Times New Roman"/>
                  <w:sz w:val="13"/>
                  <w:szCs w:val="13"/>
                  <w:b w:val="1"/>
                  <w:bCs w:val="1"/>
                  <w:color w:val="0000FF"/>
                </w:rPr>
                <w:t>Item 1. Consolidated Financial Statements</w:t>
              </w:r>
            </w:hyperlink>
          </w:p>
        </w:tc>
        <w:tc>
          <w:tcPr>
            <w:tcW w:w="3380" w:type="dxa"/>
            <w:vAlign w:val="bottom"/>
            <w:tcBorders>
              <w:top w:val="single" w:sz="8" w:color="0000FF"/>
            </w:tcBorders>
            <w:gridSpan w:val="11"/>
          </w:tcPr>
          <w:p>
            <w:pPr>
              <w:spacing w:after="0"/>
              <w:rPr>
                <w:sz w:val="24"/>
                <w:szCs w:val="24"/>
                <w:color w:val="auto"/>
              </w:rPr>
            </w:pPr>
          </w:p>
        </w:tc>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20" w:type="dxa"/>
            <w:vAlign w:val="bottom"/>
            <w:tcBorders>
              <w:bottom w:val="single" w:sz="8" w:color="0000FF"/>
            </w:tcBorders>
            <w:gridSpan w:val="19"/>
          </w:tcPr>
          <w:p>
            <w:pPr>
              <w:spacing w:after="0"/>
              <w:rPr>
                <w:rFonts w:ascii="Times New Roman" w:cs="Times New Roman" w:eastAsia="Times New Roman" w:hAnsi="Times New Roman"/>
                <w:sz w:val="13"/>
                <w:szCs w:val="13"/>
                <w:color w:val="0000FF"/>
              </w:rPr>
            </w:pPr>
            <w:hyperlink w:anchor="page4">
              <w:r>
                <w:rPr>
                  <w:rFonts w:ascii="Times New Roman" w:cs="Times New Roman" w:eastAsia="Times New Roman" w:hAnsi="Times New Roman"/>
                  <w:sz w:val="13"/>
                  <w:szCs w:val="13"/>
                  <w:color w:val="0000FF"/>
                </w:rPr>
                <w:t>Consolidated Statements of Assets and Liabilities as of June 30, 2024 (unaudited) and September 30, 2023</w:t>
              </w:r>
            </w:hyperlink>
          </w:p>
        </w:tc>
        <w:tc>
          <w:tcPr>
            <w:tcW w:w="920" w:type="dxa"/>
            <w:vAlign w:val="bottom"/>
            <w:gridSpan w:val="4"/>
          </w:tcPr>
          <w:p>
            <w:pPr>
              <w:spacing w:after="0"/>
              <w:rPr>
                <w:sz w:val="24"/>
                <w:szCs w:val="24"/>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20" w:type="dxa"/>
            <w:vAlign w:val="bottom"/>
            <w:tcBorders>
              <w:bottom w:val="single" w:sz="8" w:color="0000FF"/>
            </w:tcBorders>
            <w:gridSpan w:val="21"/>
          </w:tcPr>
          <w:p>
            <w:pPr>
              <w:spacing w:after="0"/>
              <w:rPr>
                <w:rFonts w:ascii="Times New Roman" w:cs="Times New Roman" w:eastAsia="Times New Roman" w:hAnsi="Times New Roman"/>
                <w:sz w:val="13"/>
                <w:szCs w:val="13"/>
                <w:color w:val="0000FF"/>
              </w:rPr>
            </w:pPr>
            <w:hyperlink w:anchor="page5">
              <w:r>
                <w:rPr>
                  <w:rFonts w:ascii="Times New Roman" w:cs="Times New Roman" w:eastAsia="Times New Roman" w:hAnsi="Times New Roman"/>
                  <w:sz w:val="13"/>
                  <w:szCs w:val="13"/>
                  <w:color w:val="0000FF"/>
                </w:rPr>
                <w:t>Consolidated Statements of Operations for the three and nine months ended June 30, 2024 and 2023 (unaudited)</w:t>
              </w:r>
            </w:hyperlink>
          </w:p>
        </w:tc>
        <w:tc>
          <w:tcPr>
            <w:tcW w:w="620" w:type="dxa"/>
            <w:vAlign w:val="bottom"/>
            <w:gridSpan w:val="2"/>
          </w:tcPr>
          <w:p>
            <w:pPr>
              <w:spacing w:after="0"/>
              <w:rPr>
                <w:sz w:val="24"/>
                <w:szCs w:val="24"/>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40" w:type="dxa"/>
            <w:vAlign w:val="bottom"/>
            <w:tcBorders>
              <w:bottom w:val="single" w:sz="8" w:color="0000FF"/>
            </w:tcBorders>
            <w:gridSpan w:val="23"/>
          </w:tcPr>
          <w:p>
            <w:pPr>
              <w:spacing w:after="0"/>
              <w:rPr>
                <w:rFonts w:ascii="Times New Roman" w:cs="Times New Roman" w:eastAsia="Times New Roman" w:hAnsi="Times New Roman"/>
                <w:sz w:val="13"/>
                <w:szCs w:val="13"/>
                <w:color w:val="0000FF"/>
              </w:rPr>
            </w:pPr>
            <w:hyperlink w:anchor="page6">
              <w:r>
                <w:rPr>
                  <w:rFonts w:ascii="Times New Roman" w:cs="Times New Roman" w:eastAsia="Times New Roman" w:hAnsi="Times New Roman"/>
                  <w:sz w:val="13"/>
                  <w:szCs w:val="13"/>
                  <w:color w:val="0000FF"/>
                </w:rPr>
                <w:t>Consolidated Statements of Changes in Net Assets for the three and nine months ended June 30, 2024 and 2023 (unaudited)</w:t>
              </w:r>
            </w:hyperlink>
          </w:p>
        </w:tc>
        <w:tc>
          <w:tcPr>
            <w:tcW w:w="3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40" w:type="dxa"/>
            <w:vAlign w:val="bottom"/>
            <w:tcBorders>
              <w:bottom w:val="single" w:sz="8" w:color="0000FF"/>
            </w:tcBorders>
            <w:gridSpan w:val="18"/>
          </w:tcPr>
          <w:p>
            <w:pPr>
              <w:spacing w:after="0"/>
              <w:rPr>
                <w:rFonts w:ascii="Times New Roman" w:cs="Times New Roman" w:eastAsia="Times New Roman" w:hAnsi="Times New Roman"/>
                <w:sz w:val="13"/>
                <w:szCs w:val="13"/>
                <w:color w:val="0000FF"/>
              </w:rPr>
            </w:pPr>
            <w:hyperlink w:anchor="page7">
              <w:r>
                <w:rPr>
                  <w:rFonts w:ascii="Times New Roman" w:cs="Times New Roman" w:eastAsia="Times New Roman" w:hAnsi="Times New Roman"/>
                  <w:sz w:val="13"/>
                  <w:szCs w:val="13"/>
                  <w:color w:val="0000FF"/>
                </w:rPr>
                <w:t>Consolidated Statements of Cash Flows for the nine months ended June 30, 2024 and 2023 (unaudited)</w:t>
              </w:r>
            </w:hyperlink>
          </w:p>
        </w:tc>
        <w:tc>
          <w:tcPr>
            <w:tcW w:w="1100" w:type="dxa"/>
            <w:vAlign w:val="bottom"/>
            <w:gridSpan w:val="5"/>
          </w:tcPr>
          <w:p>
            <w:pPr>
              <w:spacing w:after="0"/>
              <w:rPr>
                <w:sz w:val="24"/>
                <w:szCs w:val="24"/>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80" w:type="dxa"/>
            <w:vAlign w:val="bottom"/>
            <w:tcBorders>
              <w:bottom w:val="single" w:sz="8" w:color="0000FF"/>
            </w:tcBorders>
            <w:gridSpan w:val="16"/>
          </w:tcPr>
          <w:p>
            <w:pPr>
              <w:spacing w:after="0"/>
              <w:rPr>
                <w:rFonts w:ascii="Times New Roman" w:cs="Times New Roman" w:eastAsia="Times New Roman" w:hAnsi="Times New Roman"/>
                <w:sz w:val="13"/>
                <w:szCs w:val="13"/>
                <w:color w:val="0000FF"/>
              </w:rPr>
            </w:pPr>
            <w:hyperlink w:anchor="page8">
              <w:r>
                <w:rPr>
                  <w:rFonts w:ascii="Times New Roman" w:cs="Times New Roman" w:eastAsia="Times New Roman" w:hAnsi="Times New Roman"/>
                  <w:sz w:val="13"/>
                  <w:szCs w:val="13"/>
                  <w:color w:val="0000FF"/>
                </w:rPr>
                <w:t>Consolidated Schedules of Investments as of June 30, 2024 (unaudited) and September 30, 2023</w:t>
              </w:r>
            </w:hyperlink>
          </w:p>
        </w:tc>
        <w:tc>
          <w:tcPr>
            <w:tcW w:w="1460" w:type="dxa"/>
            <w:vAlign w:val="bottom"/>
            <w:gridSpan w:val="7"/>
          </w:tcPr>
          <w:p>
            <w:pPr>
              <w:spacing w:after="0"/>
              <w:rPr>
                <w:sz w:val="24"/>
                <w:szCs w:val="24"/>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tcBorders>
              <w:bottom w:val="single" w:sz="8" w:color="0000FF"/>
            </w:tcBorders>
            <w:gridSpan w:val="10"/>
          </w:tcPr>
          <w:p>
            <w:pPr>
              <w:spacing w:after="0"/>
              <w:rPr>
                <w:rFonts w:ascii="Times New Roman" w:cs="Times New Roman" w:eastAsia="Times New Roman" w:hAnsi="Times New Roman"/>
                <w:sz w:val="13"/>
                <w:szCs w:val="13"/>
                <w:color w:val="0000FF"/>
              </w:rPr>
            </w:pPr>
            <w:hyperlink w:anchor="page23">
              <w:r>
                <w:rPr>
                  <w:rFonts w:ascii="Times New Roman" w:cs="Times New Roman" w:eastAsia="Times New Roman" w:hAnsi="Times New Roman"/>
                  <w:sz w:val="13"/>
                  <w:szCs w:val="13"/>
                  <w:color w:val="0000FF"/>
                </w:rPr>
                <w:t>Notes to Consolidated Financial Statements (unaudited)</w:t>
              </w:r>
            </w:hyperlink>
          </w:p>
        </w:tc>
        <w:tc>
          <w:tcPr>
            <w:tcW w:w="3600" w:type="dxa"/>
            <w:vAlign w:val="bottom"/>
            <w:gridSpan w:val="13"/>
          </w:tcPr>
          <w:p>
            <w:pPr>
              <w:spacing w:after="0"/>
              <w:rPr>
                <w:sz w:val="24"/>
                <w:szCs w:val="24"/>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80" w:type="dxa"/>
            <w:vAlign w:val="bottom"/>
            <w:tcBorders>
              <w:bottom w:val="single" w:sz="8" w:color="0000FF"/>
            </w:tcBorders>
            <w:gridSpan w:val="15"/>
          </w:tcPr>
          <w:p>
            <w:pPr>
              <w:spacing w:after="0"/>
              <w:rPr>
                <w:rFonts w:ascii="Times New Roman" w:cs="Times New Roman" w:eastAsia="Times New Roman" w:hAnsi="Times New Roman"/>
                <w:sz w:val="13"/>
                <w:szCs w:val="13"/>
                <w:color w:val="0000FF"/>
              </w:rPr>
            </w:pPr>
            <w:hyperlink w:anchor="page42">
              <w:r>
                <w:rPr>
                  <w:rFonts w:ascii="Times New Roman" w:cs="Times New Roman" w:eastAsia="Times New Roman" w:hAnsi="Times New Roman"/>
                  <w:sz w:val="13"/>
                  <w:szCs w:val="13"/>
                  <w:color w:val="0000FF"/>
                </w:rPr>
                <w:t>Report of Independent Registered Public Accounting Firm (PCAOB ID 49)</w:t>
              </w:r>
            </w:hyperlink>
          </w:p>
        </w:tc>
        <w:tc>
          <w:tcPr>
            <w:tcW w:w="2560" w:type="dxa"/>
            <w:vAlign w:val="bottom"/>
            <w:gridSpan w:val="8"/>
          </w:tcPr>
          <w:p>
            <w:pPr>
              <w:spacing w:after="0"/>
              <w:rPr>
                <w:sz w:val="24"/>
                <w:szCs w:val="24"/>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340"/>
        </w:trPr>
        <w:tc>
          <w:tcPr>
            <w:tcW w:w="20" w:type="dxa"/>
            <w:vAlign w:val="bottom"/>
          </w:tcPr>
          <w:p>
            <w:pPr>
              <w:spacing w:after="0"/>
              <w:rPr>
                <w:sz w:val="24"/>
                <w:szCs w:val="24"/>
                <w:color w:val="auto"/>
              </w:rPr>
            </w:pPr>
          </w:p>
        </w:tc>
        <w:tc>
          <w:tcPr>
            <w:tcW w:w="5440" w:type="dxa"/>
            <w:vAlign w:val="bottom"/>
            <w:tcBorders>
              <w:bottom w:val="single" w:sz="8" w:color="0000FF"/>
            </w:tcBorders>
            <w:gridSpan w:val="18"/>
          </w:tcPr>
          <w:p>
            <w:pPr>
              <w:spacing w:after="0"/>
              <w:rPr>
                <w:rFonts w:ascii="Times New Roman" w:cs="Times New Roman" w:eastAsia="Times New Roman" w:hAnsi="Times New Roman"/>
                <w:sz w:val="13"/>
                <w:szCs w:val="13"/>
                <w:b w:val="1"/>
                <w:bCs w:val="1"/>
                <w:color w:val="0000FF"/>
              </w:rPr>
            </w:pPr>
            <w:hyperlink w:anchor="page44">
              <w:r>
                <w:rPr>
                  <w:rFonts w:ascii="Times New Roman" w:cs="Times New Roman" w:eastAsia="Times New Roman" w:hAnsi="Times New Roman"/>
                  <w:sz w:val="13"/>
                  <w:szCs w:val="13"/>
                  <w:b w:val="1"/>
                  <w:bCs w:val="1"/>
                  <w:color w:val="0000FF"/>
                </w:rPr>
                <w:t>Item 2. Management’s Discussion and Analysis of Financial Condition and Results of Operations</w:t>
              </w:r>
            </w:hyperlink>
          </w:p>
        </w:tc>
        <w:tc>
          <w:tcPr>
            <w:tcW w:w="1420" w:type="dxa"/>
            <w:vAlign w:val="bottom"/>
            <w:gridSpan w:val="6"/>
          </w:tcPr>
          <w:p>
            <w:pPr>
              <w:spacing w:after="0"/>
              <w:rPr>
                <w:sz w:val="24"/>
                <w:szCs w:val="24"/>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340"/>
        </w:trPr>
        <w:tc>
          <w:tcPr>
            <w:tcW w:w="20" w:type="dxa"/>
            <w:vAlign w:val="bottom"/>
          </w:tcPr>
          <w:p>
            <w:pPr>
              <w:spacing w:after="0"/>
              <w:rPr>
                <w:sz w:val="24"/>
                <w:szCs w:val="24"/>
                <w:color w:val="auto"/>
              </w:rPr>
            </w:pPr>
          </w:p>
        </w:tc>
        <w:tc>
          <w:tcPr>
            <w:tcW w:w="3860" w:type="dxa"/>
            <w:vAlign w:val="bottom"/>
            <w:tcBorders>
              <w:bottom w:val="single" w:sz="8" w:color="0000FF"/>
            </w:tcBorders>
            <w:gridSpan w:val="14"/>
          </w:tcPr>
          <w:p>
            <w:pPr>
              <w:spacing w:after="0"/>
              <w:rPr>
                <w:rFonts w:ascii="Times New Roman" w:cs="Times New Roman" w:eastAsia="Times New Roman" w:hAnsi="Times New Roman"/>
                <w:sz w:val="13"/>
                <w:szCs w:val="13"/>
                <w:b w:val="1"/>
                <w:bCs w:val="1"/>
                <w:color w:val="0000FF"/>
              </w:rPr>
            </w:pPr>
            <w:hyperlink w:anchor="page58">
              <w:r>
                <w:rPr>
                  <w:rFonts w:ascii="Times New Roman" w:cs="Times New Roman" w:eastAsia="Times New Roman" w:hAnsi="Times New Roman"/>
                  <w:sz w:val="13"/>
                  <w:szCs w:val="13"/>
                  <w:b w:val="1"/>
                  <w:bCs w:val="1"/>
                  <w:color w:val="0000FF"/>
                </w:rPr>
                <w:t>Item 3. Quantitative and Qualitative Disclosures About Market Risk</w:t>
              </w:r>
            </w:hyperlink>
          </w:p>
        </w:tc>
        <w:tc>
          <w:tcPr>
            <w:tcW w:w="3000" w:type="dxa"/>
            <w:vAlign w:val="bottom"/>
            <w:gridSpan w:val="10"/>
          </w:tcPr>
          <w:p>
            <w:pPr>
              <w:spacing w:after="0"/>
              <w:rPr>
                <w:sz w:val="24"/>
                <w:szCs w:val="24"/>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340"/>
        </w:trPr>
        <w:tc>
          <w:tcPr>
            <w:tcW w:w="20" w:type="dxa"/>
            <w:vAlign w:val="bottom"/>
          </w:tcPr>
          <w:p>
            <w:pPr>
              <w:spacing w:after="0"/>
              <w:rPr>
                <w:sz w:val="24"/>
                <w:szCs w:val="24"/>
                <w:color w:val="auto"/>
              </w:rPr>
            </w:pPr>
          </w:p>
        </w:tc>
        <w:tc>
          <w:tcPr>
            <w:tcW w:w="6860" w:type="dxa"/>
            <w:vAlign w:val="bottom"/>
            <w:gridSpan w:val="24"/>
          </w:tcPr>
          <w:p>
            <w:pPr>
              <w:spacing w:after="0"/>
              <w:rPr>
                <w:rFonts w:ascii="Times New Roman" w:cs="Times New Roman" w:eastAsia="Times New Roman" w:hAnsi="Times New Roman"/>
                <w:sz w:val="13"/>
                <w:szCs w:val="13"/>
                <w:b w:val="1"/>
                <w:bCs w:val="1"/>
                <w:color w:val="0000FF"/>
              </w:rPr>
            </w:pPr>
            <w:hyperlink w:anchor="page59">
              <w:r>
                <w:rPr>
                  <w:rFonts w:ascii="Times New Roman" w:cs="Times New Roman" w:eastAsia="Times New Roman" w:hAnsi="Times New Roman"/>
                  <w:sz w:val="13"/>
                  <w:szCs w:val="13"/>
                  <w:b w:val="1"/>
                  <w:bCs w:val="1"/>
                  <w:color w:val="0000FF"/>
                </w:rPr>
                <w:t>Item 4. Controls and Procedures</w:t>
              </w:r>
            </w:hyperlink>
          </w:p>
        </w:tc>
        <w:tc>
          <w:tcPr>
            <w:tcW w:w="3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340"/>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9"/>
          </w:tcPr>
          <w:p>
            <w:pPr>
              <w:jc w:val="center"/>
              <w:ind w:right="820"/>
              <w:spacing w:after="0"/>
              <w:rPr>
                <w:rFonts w:ascii="Times New Roman" w:cs="Times New Roman" w:eastAsia="Times New Roman" w:hAnsi="Times New Roman"/>
                <w:sz w:val="13"/>
                <w:szCs w:val="13"/>
                <w:b w:val="1"/>
                <w:bCs w:val="1"/>
                <w:color w:val="0000FF"/>
              </w:rPr>
            </w:pPr>
            <w:hyperlink w:anchor="page60">
              <w:r>
                <w:rPr>
                  <w:rFonts w:ascii="Times New Roman" w:cs="Times New Roman" w:eastAsia="Times New Roman" w:hAnsi="Times New Roman"/>
                  <w:sz w:val="13"/>
                  <w:szCs w:val="13"/>
                  <w:b w:val="1"/>
                  <w:bCs w:val="1"/>
                  <w:color w:val="0000FF"/>
                </w:rPr>
                <w:t>PART II. OTHER INFORMATION</w:t>
              </w:r>
            </w:hyperlink>
          </w:p>
        </w:tc>
        <w:tc>
          <w:tcPr>
            <w:tcW w:w="368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1460" w:type="dxa"/>
            <w:vAlign w:val="bottom"/>
            <w:tcBorders>
              <w:bottom w:val="single" w:sz="8" w:color="0000FF"/>
            </w:tcBorders>
            <w:gridSpan w:val="5"/>
          </w:tcPr>
          <w:p>
            <w:pPr>
              <w:spacing w:after="0"/>
              <w:rPr>
                <w:rFonts w:ascii="Times New Roman" w:cs="Times New Roman" w:eastAsia="Times New Roman" w:hAnsi="Times New Roman"/>
                <w:sz w:val="13"/>
                <w:szCs w:val="13"/>
                <w:b w:val="1"/>
                <w:bCs w:val="1"/>
                <w:color w:val="0000FF"/>
              </w:rPr>
            </w:pPr>
            <w:hyperlink w:anchor="page60">
              <w:r>
                <w:rPr>
                  <w:rFonts w:ascii="Times New Roman" w:cs="Times New Roman" w:eastAsia="Times New Roman" w:hAnsi="Times New Roman"/>
                  <w:sz w:val="13"/>
                  <w:szCs w:val="13"/>
                  <w:b w:val="1"/>
                  <w:bCs w:val="1"/>
                  <w:color w:val="0000FF"/>
                </w:rPr>
                <w:t>Item 1. Legal Proceedings</w:t>
              </w:r>
            </w:hyperlink>
          </w:p>
        </w:tc>
        <w:tc>
          <w:tcPr>
            <w:tcW w:w="2520" w:type="dxa"/>
            <w:vAlign w:val="bottom"/>
            <w:gridSpan w:val="10"/>
          </w:tcPr>
          <w:p>
            <w:pPr>
              <w:spacing w:after="0"/>
              <w:rPr>
                <w:sz w:val="24"/>
                <w:szCs w:val="24"/>
                <w:color w:val="auto"/>
              </w:rPr>
            </w:pPr>
          </w:p>
        </w:tc>
        <w:tc>
          <w:tcPr>
            <w:tcW w:w="2060" w:type="dxa"/>
            <w:vAlign w:val="bottom"/>
            <w:tcBorders>
              <w:top w:val="single" w:sz="8" w:color="0000FF"/>
            </w:tcBorders>
            <w:gridSpan w:val="6"/>
          </w:tcPr>
          <w:p>
            <w:pPr>
              <w:spacing w:after="0"/>
              <w:rPr>
                <w:sz w:val="24"/>
                <w:szCs w:val="24"/>
                <w:color w:val="auto"/>
              </w:rPr>
            </w:pPr>
          </w:p>
        </w:tc>
        <w:tc>
          <w:tcPr>
            <w:tcW w:w="820" w:type="dxa"/>
            <w:vAlign w:val="bottom"/>
            <w:gridSpan w:val="3"/>
          </w:tcPr>
          <w:p>
            <w:pPr>
              <w:spacing w:after="0"/>
              <w:rPr>
                <w:sz w:val="24"/>
                <w:szCs w:val="24"/>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340"/>
        </w:trPr>
        <w:tc>
          <w:tcPr>
            <w:tcW w:w="20" w:type="dxa"/>
            <w:vAlign w:val="bottom"/>
          </w:tcPr>
          <w:p>
            <w:pPr>
              <w:spacing w:after="0"/>
              <w:rPr>
                <w:sz w:val="24"/>
                <w:szCs w:val="24"/>
                <w:color w:val="auto"/>
              </w:rPr>
            </w:pPr>
          </w:p>
        </w:tc>
        <w:tc>
          <w:tcPr>
            <w:tcW w:w="1240" w:type="dxa"/>
            <w:vAlign w:val="bottom"/>
            <w:tcBorders>
              <w:bottom w:val="single" w:sz="8" w:color="0000FF"/>
            </w:tcBorders>
            <w:gridSpan w:val="4"/>
          </w:tcPr>
          <w:p>
            <w:pPr>
              <w:spacing w:after="0"/>
              <w:rPr>
                <w:rFonts w:ascii="Times New Roman" w:cs="Times New Roman" w:eastAsia="Times New Roman" w:hAnsi="Times New Roman"/>
                <w:sz w:val="13"/>
                <w:szCs w:val="13"/>
                <w:b w:val="1"/>
                <w:bCs w:val="1"/>
                <w:color w:val="0000FF"/>
                <w:w w:val="99"/>
              </w:rPr>
            </w:pPr>
            <w:hyperlink w:anchor="page60">
              <w:r>
                <w:rPr>
                  <w:rFonts w:ascii="Times New Roman" w:cs="Times New Roman" w:eastAsia="Times New Roman" w:hAnsi="Times New Roman"/>
                  <w:sz w:val="13"/>
                  <w:szCs w:val="13"/>
                  <w:b w:val="1"/>
                  <w:bCs w:val="1"/>
                  <w:color w:val="0000FF"/>
                  <w:w w:val="99"/>
                </w:rPr>
                <w:t>Item 1A. Risk Factors</w:t>
              </w:r>
            </w:hyperlink>
          </w:p>
        </w:tc>
        <w:tc>
          <w:tcPr>
            <w:tcW w:w="5620" w:type="dxa"/>
            <w:vAlign w:val="bottom"/>
            <w:gridSpan w:val="20"/>
          </w:tcPr>
          <w:p>
            <w:pPr>
              <w:spacing w:after="0"/>
              <w:rPr>
                <w:sz w:val="24"/>
                <w:szCs w:val="24"/>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340"/>
        </w:trPr>
        <w:tc>
          <w:tcPr>
            <w:tcW w:w="20" w:type="dxa"/>
            <w:vAlign w:val="bottom"/>
          </w:tcPr>
          <w:p>
            <w:pPr>
              <w:spacing w:after="0"/>
              <w:rPr>
                <w:sz w:val="24"/>
                <w:szCs w:val="24"/>
                <w:color w:val="auto"/>
              </w:rPr>
            </w:pPr>
          </w:p>
        </w:tc>
        <w:tc>
          <w:tcPr>
            <w:tcW w:w="6860" w:type="dxa"/>
            <w:vAlign w:val="bottom"/>
            <w:gridSpan w:val="24"/>
          </w:tcPr>
          <w:p>
            <w:pPr>
              <w:spacing w:after="0"/>
              <w:rPr>
                <w:rFonts w:ascii="Times New Roman" w:cs="Times New Roman" w:eastAsia="Times New Roman" w:hAnsi="Times New Roman"/>
                <w:sz w:val="13"/>
                <w:szCs w:val="13"/>
                <w:b w:val="1"/>
                <w:bCs w:val="1"/>
                <w:color w:val="0000FF"/>
              </w:rPr>
            </w:pPr>
            <w:hyperlink w:anchor="page60">
              <w:r>
                <w:rPr>
                  <w:rFonts w:ascii="Times New Roman" w:cs="Times New Roman" w:eastAsia="Times New Roman" w:hAnsi="Times New Roman"/>
                  <w:sz w:val="13"/>
                  <w:szCs w:val="13"/>
                  <w:b w:val="1"/>
                  <w:bCs w:val="1"/>
                  <w:color w:val="0000FF"/>
                </w:rPr>
                <w:t>Item 2. Unregistered Sales of Equity Securities and Use of Proceeds</w:t>
              </w:r>
            </w:hyperlink>
          </w:p>
        </w:tc>
        <w:tc>
          <w:tcPr>
            <w:tcW w:w="3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340"/>
        </w:trPr>
        <w:tc>
          <w:tcPr>
            <w:tcW w:w="20" w:type="dxa"/>
            <w:vAlign w:val="bottom"/>
          </w:tcPr>
          <w:p>
            <w:pPr>
              <w:spacing w:after="0"/>
              <w:rPr>
                <w:sz w:val="24"/>
                <w:szCs w:val="24"/>
                <w:color w:val="auto"/>
              </w:rPr>
            </w:pPr>
          </w:p>
        </w:tc>
        <w:tc>
          <w:tcPr>
            <w:tcW w:w="222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3"/>
                <w:szCs w:val="13"/>
                <w:b w:val="1"/>
                <w:bCs w:val="1"/>
                <w:color w:val="0000FF"/>
              </w:rPr>
            </w:pPr>
            <w:hyperlink w:anchor="page60">
              <w:r>
                <w:rPr>
                  <w:rFonts w:ascii="Times New Roman" w:cs="Times New Roman" w:eastAsia="Times New Roman" w:hAnsi="Times New Roman"/>
                  <w:sz w:val="13"/>
                  <w:szCs w:val="13"/>
                  <w:b w:val="1"/>
                  <w:bCs w:val="1"/>
                  <w:color w:val="0000FF"/>
                </w:rPr>
                <w:t>Item 3. Defaults Upon Senior Securities</w:t>
              </w:r>
            </w:hyperlink>
          </w:p>
        </w:tc>
        <w:tc>
          <w:tcPr>
            <w:tcW w:w="1560" w:type="dxa"/>
            <w:vAlign w:val="bottom"/>
            <w:tcBorders>
              <w:top w:val="single" w:sz="8" w:color="0000FF"/>
            </w:tcBorders>
            <w:gridSpan w:val="4"/>
          </w:tcPr>
          <w:p>
            <w:pPr>
              <w:spacing w:after="0"/>
              <w:rPr>
                <w:sz w:val="24"/>
                <w:szCs w:val="24"/>
                <w:color w:val="auto"/>
              </w:rPr>
            </w:pPr>
          </w:p>
        </w:tc>
        <w:tc>
          <w:tcPr>
            <w:tcW w:w="3080" w:type="dxa"/>
            <w:vAlign w:val="bottom"/>
            <w:gridSpan w:val="11"/>
          </w:tcPr>
          <w:p>
            <w:pPr>
              <w:spacing w:after="0"/>
              <w:rPr>
                <w:sz w:val="24"/>
                <w:szCs w:val="24"/>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340"/>
        </w:trPr>
        <w:tc>
          <w:tcPr>
            <w:tcW w:w="20" w:type="dxa"/>
            <w:vAlign w:val="bottom"/>
          </w:tcPr>
          <w:p>
            <w:pPr>
              <w:spacing w:after="0"/>
              <w:rPr>
                <w:sz w:val="24"/>
                <w:szCs w:val="24"/>
                <w:color w:val="auto"/>
              </w:rPr>
            </w:pPr>
          </w:p>
        </w:tc>
        <w:tc>
          <w:tcPr>
            <w:tcW w:w="1780" w:type="dxa"/>
            <w:vAlign w:val="bottom"/>
            <w:tcBorders>
              <w:bottom w:val="single" w:sz="8" w:color="0000FF"/>
            </w:tcBorders>
            <w:gridSpan w:val="7"/>
          </w:tcPr>
          <w:p>
            <w:pPr>
              <w:spacing w:after="0"/>
              <w:rPr>
                <w:rFonts w:ascii="Times New Roman" w:cs="Times New Roman" w:eastAsia="Times New Roman" w:hAnsi="Times New Roman"/>
                <w:sz w:val="13"/>
                <w:szCs w:val="13"/>
                <w:b w:val="1"/>
                <w:bCs w:val="1"/>
                <w:color w:val="0000FF"/>
              </w:rPr>
            </w:pPr>
            <w:hyperlink w:anchor="page60">
              <w:r>
                <w:rPr>
                  <w:rFonts w:ascii="Times New Roman" w:cs="Times New Roman" w:eastAsia="Times New Roman" w:hAnsi="Times New Roman"/>
                  <w:sz w:val="13"/>
                  <w:szCs w:val="13"/>
                  <w:b w:val="1"/>
                  <w:bCs w:val="1"/>
                  <w:color w:val="0000FF"/>
                </w:rPr>
                <w:t>Item 4. Mine Safety Disclosures</w:t>
              </w:r>
            </w:hyperlink>
          </w:p>
        </w:tc>
        <w:tc>
          <w:tcPr>
            <w:tcW w:w="5080" w:type="dxa"/>
            <w:vAlign w:val="bottom"/>
            <w:gridSpan w:val="17"/>
          </w:tcPr>
          <w:p>
            <w:pPr>
              <w:spacing w:after="0"/>
              <w:rPr>
                <w:sz w:val="24"/>
                <w:szCs w:val="24"/>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340"/>
        </w:trPr>
        <w:tc>
          <w:tcPr>
            <w:tcW w:w="20" w:type="dxa"/>
            <w:vAlign w:val="bottom"/>
          </w:tcPr>
          <w:p>
            <w:pPr>
              <w:spacing w:after="0"/>
              <w:rPr>
                <w:sz w:val="24"/>
                <w:szCs w:val="24"/>
                <w:color w:val="auto"/>
              </w:rPr>
            </w:pPr>
          </w:p>
        </w:tc>
        <w:tc>
          <w:tcPr>
            <w:tcW w:w="6860" w:type="dxa"/>
            <w:vAlign w:val="bottom"/>
            <w:gridSpan w:val="24"/>
          </w:tcPr>
          <w:p>
            <w:pPr>
              <w:spacing w:after="0"/>
              <w:rPr>
                <w:rFonts w:ascii="Times New Roman" w:cs="Times New Roman" w:eastAsia="Times New Roman" w:hAnsi="Times New Roman"/>
                <w:sz w:val="13"/>
                <w:szCs w:val="13"/>
                <w:b w:val="1"/>
                <w:bCs w:val="1"/>
                <w:color w:val="0000FF"/>
              </w:rPr>
            </w:pPr>
            <w:hyperlink w:anchor="page60">
              <w:r>
                <w:rPr>
                  <w:rFonts w:ascii="Times New Roman" w:cs="Times New Roman" w:eastAsia="Times New Roman" w:hAnsi="Times New Roman"/>
                  <w:sz w:val="13"/>
                  <w:szCs w:val="13"/>
                  <w:b w:val="1"/>
                  <w:bCs w:val="1"/>
                  <w:color w:val="0000FF"/>
                </w:rPr>
                <w:t>Item 5. Other Information</w:t>
              </w:r>
            </w:hyperlink>
          </w:p>
        </w:tc>
        <w:tc>
          <w:tcPr>
            <w:tcW w:w="3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340"/>
        </w:trPr>
        <w:tc>
          <w:tcPr>
            <w:tcW w:w="20" w:type="dxa"/>
            <w:vAlign w:val="bottom"/>
          </w:tcPr>
          <w:p>
            <w:pPr>
              <w:spacing w:after="0"/>
              <w:rPr>
                <w:sz w:val="24"/>
                <w:szCs w:val="24"/>
                <w:color w:val="auto"/>
              </w:rPr>
            </w:pPr>
          </w:p>
        </w:tc>
        <w:tc>
          <w:tcPr>
            <w:tcW w:w="90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3"/>
                <w:szCs w:val="13"/>
                <w:b w:val="1"/>
                <w:bCs w:val="1"/>
                <w:color w:val="0000FF"/>
                <w:w w:val="99"/>
              </w:rPr>
            </w:pPr>
            <w:hyperlink w:anchor="page61">
              <w:r>
                <w:rPr>
                  <w:rFonts w:ascii="Times New Roman" w:cs="Times New Roman" w:eastAsia="Times New Roman" w:hAnsi="Times New Roman"/>
                  <w:sz w:val="13"/>
                  <w:szCs w:val="13"/>
                  <w:b w:val="1"/>
                  <w:bCs w:val="1"/>
                  <w:color w:val="0000FF"/>
                  <w:w w:val="99"/>
                </w:rPr>
                <w:t>Item 6. Exhibits</w:t>
              </w:r>
            </w:hyperlink>
          </w:p>
        </w:tc>
        <w:tc>
          <w:tcPr>
            <w:tcW w:w="580" w:type="dxa"/>
            <w:vAlign w:val="bottom"/>
            <w:tcBorders>
              <w:top w:val="single" w:sz="8" w:color="0000FF"/>
            </w:tcBorders>
            <w:gridSpan w:val="3"/>
          </w:tcPr>
          <w:p>
            <w:pPr>
              <w:spacing w:after="0"/>
              <w:rPr>
                <w:sz w:val="24"/>
                <w:szCs w:val="24"/>
                <w:color w:val="auto"/>
              </w:rPr>
            </w:pPr>
          </w:p>
        </w:tc>
        <w:tc>
          <w:tcPr>
            <w:tcW w:w="5380" w:type="dxa"/>
            <w:vAlign w:val="bottom"/>
            <w:gridSpan w:val="18"/>
          </w:tcPr>
          <w:p>
            <w:pPr>
              <w:spacing w:after="0"/>
              <w:rPr>
                <w:sz w:val="24"/>
                <w:szCs w:val="24"/>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340"/>
        </w:trPr>
        <w:tc>
          <w:tcPr>
            <w:tcW w:w="20" w:type="dxa"/>
            <w:vAlign w:val="bottom"/>
          </w:tcPr>
          <w:p>
            <w:pPr>
              <w:spacing w:after="0"/>
              <w:rPr>
                <w:sz w:val="24"/>
                <w:szCs w:val="24"/>
                <w:color w:val="auto"/>
              </w:rPr>
            </w:pPr>
          </w:p>
        </w:tc>
        <w:tc>
          <w:tcPr>
            <w:tcW w:w="860" w:type="dxa"/>
            <w:vAlign w:val="bottom"/>
            <w:tcBorders>
              <w:bottom w:val="single" w:sz="8" w:color="0000FF"/>
            </w:tcBorders>
            <w:gridSpan w:val="2"/>
          </w:tcPr>
          <w:p>
            <w:pPr>
              <w:spacing w:after="0"/>
              <w:rPr>
                <w:rFonts w:ascii="Times New Roman" w:cs="Times New Roman" w:eastAsia="Times New Roman" w:hAnsi="Times New Roman"/>
                <w:sz w:val="13"/>
                <w:szCs w:val="13"/>
                <w:b w:val="1"/>
                <w:bCs w:val="1"/>
                <w:color w:val="0000FF"/>
                <w:w w:val="99"/>
              </w:rPr>
            </w:pPr>
            <w:hyperlink w:anchor="page62">
              <w:r>
                <w:rPr>
                  <w:rFonts w:ascii="Times New Roman" w:cs="Times New Roman" w:eastAsia="Times New Roman" w:hAnsi="Times New Roman"/>
                  <w:sz w:val="13"/>
                  <w:szCs w:val="13"/>
                  <w:b w:val="1"/>
                  <w:bCs w:val="1"/>
                  <w:color w:val="0000FF"/>
                  <w:w w:val="99"/>
                </w:rPr>
                <w:t>SIGNATURES</w:t>
              </w:r>
            </w:hyperlink>
          </w:p>
        </w:tc>
        <w:tc>
          <w:tcPr>
            <w:tcW w:w="6000" w:type="dxa"/>
            <w:vAlign w:val="bottom"/>
            <w:gridSpan w:val="22"/>
          </w:tcPr>
          <w:p>
            <w:pPr>
              <w:spacing w:after="0"/>
              <w:rPr>
                <w:sz w:val="24"/>
                <w:szCs w:val="24"/>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356"/>
        </w:trPr>
        <w:tc>
          <w:tcPr>
            <w:tcW w:w="5420" w:type="dxa"/>
            <w:vAlign w:val="bottom"/>
            <w:gridSpan w:val="18"/>
          </w:tcPr>
          <w:p>
            <w:pPr>
              <w:jc w:val="right"/>
              <w:ind w:right="100"/>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680"/>
        </w:trPr>
        <w:tc>
          <w:tcPr>
            <w:tcW w:w="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36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3784600</wp:posOffset>
            </wp:positionH>
            <wp:positionV relativeFrom="paragraph">
              <wp:posOffset>-4793615</wp:posOffset>
            </wp:positionV>
            <wp:extent cx="22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-3879215</wp:posOffset>
            </wp:positionV>
            <wp:extent cx="22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PART I—CONSOLIDATED FINANCIAL INFORMATION</w:t>
      </w:r>
    </w:p>
    <w:p>
      <w:pPr>
        <w:spacing w:after="0" w:line="165" w:lineRule="exact"/>
        <w:rPr>
          <w:sz w:val="20"/>
          <w:szCs w:val="20"/>
          <w:color w:val="auto"/>
        </w:rPr>
      </w:pPr>
    </w:p>
    <w:p>
      <w:pPr>
        <w:ind w:firstLine="420"/>
        <w:spacing w:after="0" w:line="252" w:lineRule="auto"/>
        <w:rPr>
          <w:sz w:val="20"/>
          <w:szCs w:val="20"/>
          <w:color w:val="auto"/>
        </w:rPr>
      </w:pPr>
      <w:r>
        <w:rPr>
          <w:rFonts w:ascii="Times New Roman" w:cs="Times New Roman" w:eastAsia="Times New Roman" w:hAnsi="Times New Roman"/>
          <w:sz w:val="13"/>
          <w:szCs w:val="13"/>
          <w:color w:val="auto"/>
        </w:rPr>
        <w:t>We are filing this Quarterly Report on Form 10-Q (the "Report"), in compliance with Rule 13a-13 as promulgated by the Securities and Exchange Commission, or the SEC, under the Securities Exchange Act of 1934, as amended, or the Exchange Act. In this Report, except where context suggest otherwise, the terms “Company,” “we,” “our” or “us” refers to PennantPark Investment Corporation and its consolidated subsidiaries; “PennantPark Investment” refers to only PennantPark Investment Corporation; “our SBIC Fund” refers collectively to our consolidated subsidiaries, PennantPark SBIC II LP, or SBIC II, and its general partner, PennantPark SBIC GP II, LLC; “Funding I” refers to PennantPark Investment Funding I, LLC, a wholly-owned subsidiary prior to deconsolidation on July 31, 2020; “Taxable Subsidiary” refers collectively to our consolidated subsidiaries, PNNT Investment Holdings II, LLC and PNNT Investment Holdings, LLC; “PSLF” refers to PennantPark Senior Loan Fund, LLC, an unconsolidated joint venture; “PTSF II” refers to PennantPark-TSO Senior Loan Fund II, LP, an unconsolidated limited partnership;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“BNP Credit Facility” refers to our revolving credit facility with BNP Paribas prior to deconsolidation of Funding I; “Truist Credit Facility” refers to our multi-currency, senior secured revolving credit facility with Truist Bank, as amended and restated; “2026 Notes” refers to our 4.50% Notes due May 2026; “2026 Notes- 2” refers to our 4.00% Notes due November 2026;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SBIC II and other consolidated subsidiaries.</w:t>
      </w:r>
    </w:p>
    <w:p>
      <w:pPr>
        <w:spacing w:after="0" w:line="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312" w:right="76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color w:val="auto"/>
        </w:rPr>
        <w:t>Item 1. Consolidated Financial Statements</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CONSOLIDATED STATEMENTS OF ASSETS AND LIABILITIES</w:t>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7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2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84"/>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00" w:type="dxa"/>
            <w:vAlign w:val="bottom"/>
            <w:shd w:val="clear" w:color="auto" w:fill="CCECFF"/>
          </w:tcPr>
          <w:p>
            <w:pPr>
              <w:spacing w:after="0"/>
              <w:rPr>
                <w:sz w:val="16"/>
                <w:szCs w:val="16"/>
                <w:color w:val="auto"/>
              </w:rPr>
            </w:pPr>
          </w:p>
        </w:tc>
        <w:tc>
          <w:tcPr>
            <w:tcW w:w="1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 (amortized cost—$854,364 and $816,754, respectively)</w:t>
            </w:r>
          </w:p>
        </w:tc>
        <w:tc>
          <w:tcPr>
            <w:tcW w:w="2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854,027</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830,808</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 (amortized cost—$56,193 and $55,787, respectively)</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33,274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54,771</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 (amortized cost—$342,429 and $245,386, respectively)</w:t>
            </w:r>
          </w:p>
        </w:tc>
        <w:tc>
          <w:tcPr>
            <w:tcW w:w="200" w:type="dxa"/>
            <w:vAlign w:val="bottom"/>
            <w:shd w:val="clear" w:color="auto" w:fill="CCECFF"/>
          </w:tcPr>
          <w:p>
            <w:pPr>
              <w:spacing w:after="0"/>
              <w:rPr>
                <w:sz w:val="16"/>
                <w:szCs w:val="16"/>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372,574</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216,068</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investments (amortized cost—$1,252,986 and $1,117,927, respectively)</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1,259,875</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1,101,647</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(cost—$59,151 and $38,784, respectively)</w:t>
            </w:r>
          </w:p>
        </w:tc>
        <w:tc>
          <w:tcPr>
            <w:tcW w:w="200" w:type="dxa"/>
            <w:vAlign w:val="bottom"/>
            <w:shd w:val="clear" w:color="auto" w:fill="CCECFF"/>
          </w:tcPr>
          <w:p>
            <w:pPr>
              <w:spacing w:after="0"/>
              <w:rPr>
                <w:sz w:val="16"/>
                <w:szCs w:val="16"/>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59,152</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6,820</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Distribution receivable</w:t>
            </w:r>
          </w:p>
        </w:tc>
        <w:tc>
          <w:tcPr>
            <w:tcW w:w="200" w:type="dxa"/>
            <w:vAlign w:val="bottom"/>
            <w:shd w:val="clear" w:color="auto" w:fill="CCECFF"/>
          </w:tcPr>
          <w:p>
            <w:pPr>
              <w:spacing w:after="0"/>
              <w:rPr>
                <w:sz w:val="16"/>
                <w:szCs w:val="16"/>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7,964</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5,079</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from affiliates</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00" w:type="dxa"/>
            <w:vAlign w:val="bottom"/>
            <w:shd w:val="clear" w:color="auto" w:fill="CCECFF"/>
          </w:tcPr>
          <w:p>
            <w:pPr>
              <w:spacing w:after="0"/>
              <w:rPr>
                <w:sz w:val="16"/>
                <w:szCs w:val="16"/>
                <w:color w:val="auto"/>
              </w:rPr>
            </w:pPr>
          </w:p>
        </w:tc>
        <w:tc>
          <w:tcPr>
            <w:tcW w:w="15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4,656</w:t>
            </w:r>
          </w:p>
        </w:tc>
        <w:tc>
          <w:tcPr>
            <w:tcW w:w="80" w:type="dxa"/>
            <w:vAlign w:val="bottom"/>
            <w:shd w:val="clear" w:color="auto" w:fill="CCECFF"/>
          </w:tcPr>
          <w:p>
            <w:pPr>
              <w:spacing w:after="0"/>
              <w:rPr>
                <w:sz w:val="16"/>
                <w:szCs w:val="16"/>
                <w:color w:val="auto"/>
              </w:rPr>
            </w:pPr>
          </w:p>
        </w:tc>
      </w:tr>
      <w:tr>
        <w:trPr>
          <w:trHeight w:val="177"/>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1,332,698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1,156,977</w:t>
            </w:r>
          </w:p>
        </w:tc>
        <w:tc>
          <w:tcPr>
            <w:tcW w:w="80" w:type="dxa"/>
            <w:vAlign w:val="bottom"/>
          </w:tcPr>
          <w:p>
            <w:pPr>
              <w:spacing w:after="0"/>
              <w:rPr>
                <w:sz w:val="15"/>
                <w:szCs w:val="15"/>
                <w:color w:val="auto"/>
              </w:rPr>
            </w:pPr>
          </w:p>
        </w:tc>
      </w:tr>
      <w:tr>
        <w:trPr>
          <w:trHeight w:val="183"/>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00" w:type="dxa"/>
            <w:vAlign w:val="bottom"/>
            <w:shd w:val="clear" w:color="auto" w:fill="CCECFF"/>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Truist Credit Facility payable, at fair value (cost—$450,456 and $212,420, respectively)</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446,554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2026 Notes payable, net (par— $150,000)</w:t>
            </w:r>
          </w:p>
        </w:tc>
        <w:tc>
          <w:tcPr>
            <w:tcW w:w="200" w:type="dxa"/>
            <w:vAlign w:val="bottom"/>
            <w:shd w:val="clear" w:color="auto" w:fill="CCECFF"/>
          </w:tcPr>
          <w:p>
            <w:pPr>
              <w:spacing w:after="0"/>
              <w:rPr>
                <w:sz w:val="16"/>
                <w:szCs w:val="16"/>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148,345</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147,669</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 Notes-2 payable, net (par— $165,000)</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162,866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162,226</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Payable for investment purchased</w:t>
            </w:r>
          </w:p>
        </w:tc>
        <w:tc>
          <w:tcPr>
            <w:tcW w:w="200" w:type="dxa"/>
            <w:vAlign w:val="bottom"/>
            <w:shd w:val="clear" w:color="auto" w:fill="CCECFF"/>
          </w:tcPr>
          <w:p>
            <w:pPr>
              <w:spacing w:after="0"/>
              <w:rPr>
                <w:sz w:val="16"/>
                <w:szCs w:val="16"/>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64,551</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99,949</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payable</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13,697</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Base management fee payable</w:t>
            </w:r>
          </w:p>
        </w:tc>
        <w:tc>
          <w:tcPr>
            <w:tcW w:w="200" w:type="dxa"/>
            <w:vAlign w:val="bottom"/>
            <w:shd w:val="clear" w:color="auto" w:fill="CCECFF"/>
          </w:tcPr>
          <w:p>
            <w:pPr>
              <w:spacing w:after="0"/>
              <w:rPr>
                <w:sz w:val="16"/>
                <w:szCs w:val="16"/>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4,216</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3,915</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Incentive fee payable</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3,345</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3,310</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200" w:type="dxa"/>
            <w:vAlign w:val="bottom"/>
            <w:shd w:val="clear" w:color="auto" w:fill="CCECFF"/>
          </w:tcPr>
          <w:p>
            <w:pPr>
              <w:spacing w:after="0"/>
              <w:rPr>
                <w:sz w:val="16"/>
                <w:szCs w:val="16"/>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3,218</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6,754</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debt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6,231</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to affiliates</w:t>
            </w:r>
          </w:p>
        </w:tc>
        <w:tc>
          <w:tcPr>
            <w:tcW w:w="200" w:type="dxa"/>
            <w:vAlign w:val="bottom"/>
            <w:shd w:val="clear" w:color="auto" w:fill="CCECFF"/>
          </w:tcPr>
          <w:p>
            <w:pPr>
              <w:spacing w:after="0"/>
              <w:rPr>
                <w:sz w:val="16"/>
                <w:szCs w:val="16"/>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4,099</w:t>
            </w:r>
          </w:p>
        </w:tc>
        <w:tc>
          <w:tcPr>
            <w:tcW w:w="80" w:type="dxa"/>
            <w:vAlign w:val="bottom"/>
            <w:shd w:val="clear" w:color="auto" w:fill="CCECFF"/>
          </w:tcPr>
          <w:p>
            <w:pPr>
              <w:spacing w:after="0"/>
              <w:rPr>
                <w:sz w:val="16"/>
                <w:szCs w:val="16"/>
                <w:color w:val="auto"/>
              </w:rPr>
            </w:pPr>
          </w:p>
        </w:tc>
      </w:tr>
      <w:tr>
        <w:trPr>
          <w:trHeight w:val="177"/>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841,476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654,790</w:t>
            </w:r>
          </w:p>
        </w:tc>
        <w:tc>
          <w:tcPr>
            <w:tcW w:w="80" w:type="dxa"/>
            <w:vAlign w:val="bottom"/>
          </w:tcPr>
          <w:p>
            <w:pPr>
              <w:spacing w:after="0"/>
              <w:rPr>
                <w:sz w:val="15"/>
                <w:szCs w:val="15"/>
                <w:color w:val="auto"/>
              </w:rPr>
            </w:pPr>
          </w:p>
        </w:tc>
      </w:tr>
      <w:tr>
        <w:trPr>
          <w:trHeight w:val="183"/>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(See Note 11)</w:t>
            </w:r>
          </w:p>
        </w:tc>
        <w:tc>
          <w:tcPr>
            <w:tcW w:w="200" w:type="dxa"/>
            <w:vAlign w:val="bottom"/>
            <w:shd w:val="clear" w:color="auto" w:fill="CCECFF"/>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7"/>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0"/>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Common stock, 65,296,094 and 65,224,500 shares issued and outstanding, respectively</w:t>
            </w:r>
          </w:p>
        </w:tc>
        <w:tc>
          <w:tcPr>
            <w:tcW w:w="200" w:type="dxa"/>
            <w:vAlign w:val="bottom"/>
            <w:shd w:val="clear" w:color="auto" w:fill="CCECFF"/>
          </w:tcPr>
          <w:p>
            <w:pPr>
              <w:spacing w:after="0"/>
              <w:rPr>
                <w:sz w:val="13"/>
                <w:szCs w:val="13"/>
                <w:color w:val="auto"/>
              </w:rPr>
            </w:pPr>
          </w:p>
        </w:tc>
        <w:tc>
          <w:tcPr>
            <w:tcW w:w="12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80"/>
        </w:trPr>
        <w:tc>
          <w:tcPr>
            <w:tcW w:w="73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Par value $0.001 per share and 100,000,000 shares authorized</w:t>
            </w:r>
          </w:p>
        </w:tc>
        <w:tc>
          <w:tcPr>
            <w:tcW w:w="20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CFF"/>
          </w:tcPr>
          <w:p>
            <w:pPr>
              <w:spacing w:after="0"/>
              <w:rPr>
                <w:sz w:val="15"/>
                <w:szCs w:val="15"/>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Paid-in capital in excess of par value</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746,768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746,466</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200" w:type="dxa"/>
            <w:vAlign w:val="bottom"/>
            <w:shd w:val="clear" w:color="auto" w:fill="CCECFF"/>
          </w:tcPr>
          <w:p>
            <w:pPr>
              <w:spacing w:after="0"/>
              <w:rPr>
                <w:sz w:val="16"/>
                <w:szCs w:val="16"/>
                <w:color w:val="auto"/>
              </w:rPr>
            </w:pPr>
          </w:p>
        </w:tc>
        <w:tc>
          <w:tcPr>
            <w:tcW w:w="15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(255,611 )</w:t>
            </w:r>
          </w:p>
        </w:tc>
        <w:tc>
          <w:tcPr>
            <w:tcW w:w="12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(244,344 )</w:t>
            </w:r>
          </w:p>
        </w:tc>
      </w:tr>
      <w:tr>
        <w:trPr>
          <w:trHeight w:val="177"/>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491,222</w:t>
            </w:r>
          </w:p>
        </w:tc>
        <w:tc>
          <w:tcPr>
            <w:tcW w:w="2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502,187</w:t>
            </w:r>
          </w:p>
        </w:tc>
        <w:tc>
          <w:tcPr>
            <w:tcW w:w="80" w:type="dxa"/>
            <w:vAlign w:val="bottom"/>
          </w:tcPr>
          <w:p>
            <w:pPr>
              <w:spacing w:after="0"/>
              <w:rPr>
                <w:sz w:val="15"/>
                <w:szCs w:val="15"/>
                <w:color w:val="auto"/>
              </w:rPr>
            </w:pPr>
          </w:p>
        </w:tc>
      </w:tr>
      <w:tr>
        <w:trPr>
          <w:trHeight w:val="223"/>
        </w:trPr>
        <w:tc>
          <w:tcPr>
            <w:tcW w:w="7320" w:type="dxa"/>
            <w:vAlign w:val="bottom"/>
            <w:tcBorders>
              <w:bottom w:val="single" w:sz="8" w:color="CCECFF"/>
            </w:tcBorders>
            <w:shd w:val="clear" w:color="auto" w:fill="CCECFF"/>
          </w:tcPr>
          <w:p>
            <w:pPr>
              <w:ind w:left="660"/>
              <w:spacing w:after="0"/>
              <w:rPr>
                <w:sz w:val="20"/>
                <w:szCs w:val="20"/>
                <w:color w:val="auto"/>
              </w:rPr>
            </w:pPr>
            <w:r>
              <w:rPr>
                <w:rFonts w:ascii="Times New Roman" w:cs="Times New Roman" w:eastAsia="Times New Roman" w:hAnsi="Times New Roman"/>
                <w:sz w:val="13"/>
                <w:szCs w:val="13"/>
                <w:b w:val="1"/>
                <w:bCs w:val="1"/>
                <w:color w:val="auto"/>
              </w:rPr>
              <w:t>Total liabilities and net assets</w:t>
            </w:r>
          </w:p>
        </w:tc>
        <w:tc>
          <w:tcPr>
            <w:tcW w:w="200" w:type="dxa"/>
            <w:vAlign w:val="bottom"/>
            <w:tcBorders>
              <w:bottom w:val="single" w:sz="8" w:color="auto"/>
            </w:tcBorders>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1,332,698</w:t>
            </w:r>
          </w:p>
        </w:tc>
        <w:tc>
          <w:tcPr>
            <w:tcW w:w="28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1,156,977</w:t>
            </w:r>
          </w:p>
        </w:tc>
        <w:tc>
          <w:tcPr>
            <w:tcW w:w="80" w:type="dxa"/>
            <w:vAlign w:val="bottom"/>
            <w:tcBorders>
              <w:bottom w:val="single" w:sz="8" w:color="CCECFF"/>
            </w:tcBorders>
            <w:shd w:val="clear" w:color="auto" w:fill="CCECFF"/>
          </w:tcPr>
          <w:p>
            <w:pPr>
              <w:spacing w:after="0"/>
              <w:rPr>
                <w:sz w:val="19"/>
                <w:szCs w:val="19"/>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 value per share</w:t>
            </w:r>
          </w:p>
        </w:tc>
        <w:tc>
          <w:tcPr>
            <w:tcW w:w="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2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80" w:type="dxa"/>
            <w:vAlign w:val="bottom"/>
          </w:tcPr>
          <w:p>
            <w:pPr>
              <w:spacing w:after="0"/>
              <w:rPr>
                <w:sz w:val="13"/>
                <w:szCs w:val="13"/>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425450</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312" w:right="68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00" w:type="dxa"/>
            <w:vAlign w:val="bottom"/>
          </w:tcPr>
          <w:p>
            <w:pPr>
              <w:spacing w:after="0"/>
              <w:rPr>
                <w:sz w:val="15"/>
                <w:szCs w:val="15"/>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5"/>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Nine Months Ended June 30,</w:t>
            </w:r>
          </w:p>
        </w:tc>
        <w:tc>
          <w:tcPr>
            <w:tcW w:w="0" w:type="dxa"/>
            <w:vAlign w:val="bottom"/>
          </w:tcPr>
          <w:p>
            <w:pPr>
              <w:spacing w:after="0"/>
              <w:rPr>
                <w:sz w:val="1"/>
                <w:szCs w:val="1"/>
                <w:color w:val="auto"/>
              </w:rPr>
            </w:pPr>
          </w:p>
        </w:tc>
      </w:tr>
      <w:tr>
        <w:trPr>
          <w:trHeight w:val="184"/>
        </w:trPr>
        <w:tc>
          <w:tcPr>
            <w:tcW w:w="49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760" w:type="dxa"/>
            <w:vAlign w:val="bottom"/>
            <w:shd w:val="clear" w:color="auto" w:fill="CCECFF"/>
          </w:tcPr>
          <w:p>
            <w:pPr>
              <w:spacing w:after="0"/>
              <w:rPr>
                <w:sz w:val="16"/>
                <w:szCs w:val="16"/>
                <w:color w:val="auto"/>
              </w:rPr>
            </w:pPr>
          </w:p>
        </w:tc>
        <w:tc>
          <w:tcPr>
            <w:tcW w:w="46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4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From non-controlled, non-affiliated investments:</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760" w:type="dxa"/>
            <w:vAlign w:val="bottom"/>
            <w:shd w:val="clear" w:color="auto" w:fill="CCECFF"/>
          </w:tcPr>
          <w:p>
            <w:pPr>
              <w:jc w:val="right"/>
              <w:ind w:right="641"/>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17,383</w:t>
            </w:r>
          </w:p>
        </w:tc>
        <w:tc>
          <w:tcPr>
            <w:tcW w:w="240" w:type="dxa"/>
            <w:vAlign w:val="bottom"/>
            <w:shd w:val="clear" w:color="auto" w:fill="CCECFF"/>
          </w:tcPr>
          <w:p>
            <w:pPr>
              <w:spacing w:after="0"/>
              <w:rPr>
                <w:sz w:val="16"/>
                <w:szCs w:val="16"/>
                <w:color w:val="auto"/>
              </w:rPr>
            </w:pPr>
          </w:p>
        </w:tc>
        <w:tc>
          <w:tcPr>
            <w:tcW w:w="800" w:type="dxa"/>
            <w:vAlign w:val="bottom"/>
            <w:shd w:val="clear" w:color="auto" w:fill="CCECFF"/>
          </w:tcPr>
          <w:p>
            <w:pPr>
              <w:jc w:val="right"/>
              <w:ind w:right="65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23,189</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61,353</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72,179</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Payment-in-kind</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1,904</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Dividend income</w:t>
            </w:r>
          </w:p>
        </w:tc>
        <w:tc>
          <w:tcPr>
            <w:tcW w:w="760" w:type="dxa"/>
            <w:vAlign w:val="bottom"/>
            <w:shd w:val="clear" w:color="auto" w:fill="CCECFF"/>
          </w:tcPr>
          <w:p>
            <w:pPr>
              <w:spacing w:after="0"/>
              <w:rPr>
                <w:sz w:val="16"/>
                <w:szCs w:val="16"/>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24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11,786</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2,292</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12,917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From non-controlled, affiliated investments:</w:t>
            </w:r>
          </w:p>
        </w:tc>
        <w:tc>
          <w:tcPr>
            <w:tcW w:w="760" w:type="dxa"/>
            <w:vAlign w:val="bottom"/>
            <w:shd w:val="clear" w:color="auto" w:fill="CCECFF"/>
          </w:tcPr>
          <w:p>
            <w:pPr>
              <w:spacing w:after="0"/>
              <w:rPr>
                <w:sz w:val="16"/>
                <w:szCs w:val="16"/>
                <w:color w:val="auto"/>
              </w:rPr>
            </w:pPr>
          </w:p>
        </w:tc>
        <w:tc>
          <w:tcPr>
            <w:tcW w:w="46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4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76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Payment-in-kind</w:t>
            </w:r>
          </w:p>
        </w:tc>
        <w:tc>
          <w:tcPr>
            <w:tcW w:w="760" w:type="dxa"/>
            <w:vAlign w:val="bottom"/>
            <w:shd w:val="clear" w:color="auto" w:fill="CCECFF"/>
          </w:tcPr>
          <w:p>
            <w:pPr>
              <w:spacing w:after="0"/>
              <w:rPr>
                <w:sz w:val="16"/>
                <w:szCs w:val="16"/>
                <w:color w:val="auto"/>
              </w:rPr>
            </w:pPr>
          </w:p>
        </w:tc>
        <w:tc>
          <w:tcPr>
            <w:tcW w:w="7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CFF"/>
          </w:tcPr>
          <w:p>
            <w:pPr>
              <w:spacing w:after="0"/>
              <w:rPr>
                <w:sz w:val="16"/>
                <w:szCs w:val="16"/>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From controlled, affiliated investments:</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760" w:type="dxa"/>
            <w:vAlign w:val="bottom"/>
            <w:shd w:val="clear" w:color="auto" w:fill="CCECFF"/>
          </w:tcPr>
          <w:p>
            <w:pPr>
              <w:spacing w:after="0"/>
              <w:rPr>
                <w:sz w:val="16"/>
                <w:szCs w:val="16"/>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7,966</w:t>
            </w:r>
          </w:p>
        </w:tc>
        <w:tc>
          <w:tcPr>
            <w:tcW w:w="24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4,392</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19,389</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10,898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Payment-in-kind</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Dividend income</w:t>
            </w:r>
          </w:p>
        </w:tc>
        <w:tc>
          <w:tcPr>
            <w:tcW w:w="760" w:type="dxa"/>
            <w:vAlign w:val="bottom"/>
            <w:shd w:val="clear" w:color="auto" w:fill="CCECFF"/>
          </w:tcPr>
          <w:p>
            <w:pPr>
              <w:spacing w:after="0"/>
              <w:rPr>
                <w:sz w:val="16"/>
                <w:szCs w:val="16"/>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7,387</w:t>
            </w:r>
          </w:p>
        </w:tc>
        <w:tc>
          <w:tcPr>
            <w:tcW w:w="24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4,386</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16,765</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11,344</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9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7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37,004</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45,011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107,318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111,323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49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760" w:type="dxa"/>
            <w:vAlign w:val="bottom"/>
            <w:shd w:val="clear" w:color="auto" w:fill="CCECFF"/>
          </w:tcPr>
          <w:p>
            <w:pPr>
              <w:spacing w:after="0"/>
              <w:rPr>
                <w:sz w:val="16"/>
                <w:szCs w:val="16"/>
                <w:color w:val="auto"/>
              </w:rPr>
            </w:pPr>
          </w:p>
        </w:tc>
        <w:tc>
          <w:tcPr>
            <w:tcW w:w="46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4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and expenses on debt</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11,482</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10,139</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32,906</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Base management fee</w:t>
            </w:r>
          </w:p>
        </w:tc>
        <w:tc>
          <w:tcPr>
            <w:tcW w:w="760" w:type="dxa"/>
            <w:vAlign w:val="bottom"/>
            <w:shd w:val="clear" w:color="auto" w:fill="CCECFF"/>
          </w:tcPr>
          <w:p>
            <w:pPr>
              <w:spacing w:after="0"/>
              <w:rPr>
                <w:sz w:val="16"/>
                <w:szCs w:val="16"/>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4,216</w:t>
            </w:r>
          </w:p>
        </w:tc>
        <w:tc>
          <w:tcPr>
            <w:tcW w:w="24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3,993</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12,357</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12,635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Incentive fee</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3,345</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10,591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9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760" w:type="dxa"/>
            <w:vAlign w:val="bottom"/>
            <w:shd w:val="clear" w:color="auto" w:fill="CCECFF"/>
          </w:tcPr>
          <w:p>
            <w:pPr>
              <w:spacing w:after="0"/>
              <w:rPr>
                <w:sz w:val="20"/>
                <w:szCs w:val="2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240" w:type="dxa"/>
            <w:vAlign w:val="bottom"/>
            <w:shd w:val="clear" w:color="auto" w:fill="CCECFF"/>
          </w:tcPr>
          <w:p>
            <w:pPr>
              <w:spacing w:after="0"/>
              <w:rPr>
                <w:sz w:val="20"/>
                <w:szCs w:val="20"/>
                <w:color w:val="auto"/>
              </w:rPr>
            </w:pPr>
          </w:p>
        </w:tc>
        <w:tc>
          <w:tcPr>
            <w:tcW w:w="800" w:type="dxa"/>
            <w:vAlign w:val="bottom"/>
            <w:shd w:val="clear" w:color="auto" w:fill="CCECFF"/>
          </w:tcPr>
          <w:p>
            <w:pPr>
              <w:spacing w:after="0"/>
              <w:rPr>
                <w:sz w:val="20"/>
                <w:szCs w:val="2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1,032</w:t>
            </w:r>
          </w:p>
        </w:tc>
        <w:tc>
          <w:tcPr>
            <w:tcW w:w="2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3,623</w:t>
            </w:r>
          </w:p>
        </w:tc>
        <w:tc>
          <w:tcPr>
            <w:tcW w:w="24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2,707</w:t>
            </w:r>
          </w:p>
        </w:tc>
        <w:tc>
          <w:tcPr>
            <w:tcW w:w="8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Administrative services expenses</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Expenses before provision for taxes</w:t>
            </w:r>
          </w:p>
        </w:tc>
        <w:tc>
          <w:tcPr>
            <w:tcW w:w="760" w:type="dxa"/>
            <w:vAlign w:val="bottom"/>
            <w:shd w:val="clear" w:color="auto" w:fill="CCECFF"/>
          </w:tcPr>
          <w:p>
            <w:pPr>
              <w:spacing w:after="0"/>
              <w:rPr>
                <w:sz w:val="16"/>
                <w:szCs w:val="16"/>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20,523</w:t>
            </w:r>
          </w:p>
        </w:tc>
        <w:tc>
          <w:tcPr>
            <w:tcW w:w="24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20,874</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59,759</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57,761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Provision for taxes on net investment income</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0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expenses</w:t>
            </w:r>
          </w:p>
        </w:tc>
        <w:tc>
          <w:tcPr>
            <w:tcW w:w="760" w:type="dxa"/>
            <w:vAlign w:val="bottom"/>
            <w:tcBorders>
              <w:bottom w:val="single" w:sz="8" w:color="CCECFF"/>
            </w:tcBorders>
            <w:shd w:val="clear" w:color="auto" w:fill="CCECFF"/>
          </w:tcPr>
          <w:p>
            <w:pPr>
              <w:spacing w:after="0"/>
              <w:rPr>
                <w:sz w:val="18"/>
                <w:szCs w:val="18"/>
                <w:color w:val="auto"/>
              </w:rPr>
            </w:pPr>
          </w:p>
        </w:tc>
        <w:tc>
          <w:tcPr>
            <w:tcW w:w="4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21,258</w:t>
            </w:r>
          </w:p>
        </w:tc>
        <w:tc>
          <w:tcPr>
            <w:tcW w:w="240" w:type="dxa"/>
            <w:vAlign w:val="bottom"/>
            <w:tcBorders>
              <w:bottom w:val="single" w:sz="8" w:color="CCECFF"/>
            </w:tcBorders>
            <w:shd w:val="clear" w:color="auto" w:fill="CCECFF"/>
          </w:tcPr>
          <w:p>
            <w:pPr>
              <w:spacing w:after="0"/>
              <w:rPr>
                <w:sz w:val="18"/>
                <w:szCs w:val="18"/>
                <w:color w:val="auto"/>
              </w:rPr>
            </w:pPr>
          </w:p>
        </w:tc>
        <w:tc>
          <w:tcPr>
            <w:tcW w:w="800" w:type="dxa"/>
            <w:vAlign w:val="bottom"/>
            <w:tcBorders>
              <w:bottom w:val="single" w:sz="8" w:color="CCECFF"/>
            </w:tcBorders>
            <w:shd w:val="clear" w:color="auto" w:fill="CCECFF"/>
          </w:tcPr>
          <w:p>
            <w:pPr>
              <w:spacing w:after="0"/>
              <w:rPr>
                <w:sz w:val="18"/>
                <w:szCs w:val="18"/>
                <w:color w:val="auto"/>
              </w:rPr>
            </w:pPr>
          </w:p>
        </w:tc>
        <w:tc>
          <w:tcPr>
            <w:tcW w:w="4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22,055</w:t>
            </w:r>
          </w:p>
        </w:tc>
        <w:tc>
          <w:tcPr>
            <w:tcW w:w="24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9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61,661</w:t>
            </w:r>
          </w:p>
        </w:tc>
        <w:tc>
          <w:tcPr>
            <w:tcW w:w="24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9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61,392</w:t>
            </w:r>
          </w:p>
        </w:tc>
        <w:tc>
          <w:tcPr>
            <w:tcW w:w="8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9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15,746</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22,956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45,657</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 and debt:</w:t>
            </w:r>
          </w:p>
        </w:tc>
        <w:tc>
          <w:tcPr>
            <w:tcW w:w="760" w:type="dxa"/>
            <w:vAlign w:val="bottom"/>
            <w:shd w:val="clear" w:color="auto" w:fill="CCECFF"/>
          </w:tcPr>
          <w:p>
            <w:pPr>
              <w:spacing w:after="0"/>
              <w:rPr>
                <w:sz w:val="15"/>
                <w:szCs w:val="15"/>
                <w:color w:val="auto"/>
              </w:rPr>
            </w:pPr>
          </w:p>
        </w:tc>
        <w:tc>
          <w:tcPr>
            <w:tcW w:w="4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4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 and debt:</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760" w:type="dxa"/>
            <w:vAlign w:val="bottom"/>
            <w:shd w:val="clear" w:color="auto" w:fill="CCECFF"/>
          </w:tcPr>
          <w:p>
            <w:pPr>
              <w:spacing w:after="0"/>
              <w:rPr>
                <w:sz w:val="16"/>
                <w:szCs w:val="16"/>
                <w:color w:val="auto"/>
              </w:rPr>
            </w:pPr>
          </w:p>
        </w:tc>
        <w:tc>
          <w:tcPr>
            <w:tcW w:w="7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(1,590 )</w:t>
            </w:r>
          </w:p>
        </w:tc>
        <w:tc>
          <w:tcPr>
            <w:tcW w:w="80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(5,193 )</w:t>
            </w:r>
          </w:p>
        </w:tc>
        <w:tc>
          <w:tcPr>
            <w:tcW w:w="28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(444 )</w:t>
            </w: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(15,742 )</w:t>
            </w:r>
          </w:p>
        </w:tc>
        <w:tc>
          <w:tcPr>
            <w:tcW w:w="0" w:type="dxa"/>
            <w:vAlign w:val="bottom"/>
          </w:tcPr>
          <w:p>
            <w:pPr>
              <w:spacing w:after="0"/>
              <w:rPr>
                <w:sz w:val="1"/>
                <w:szCs w:val="1"/>
                <w:color w:val="auto"/>
              </w:rPr>
            </w:pPr>
          </w:p>
        </w:tc>
      </w:tr>
      <w:tr>
        <w:trPr>
          <w:trHeight w:val="176"/>
        </w:trPr>
        <w:tc>
          <w:tcPr>
            <w:tcW w:w="4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and controlled, affiliated investments</w:t>
            </w:r>
          </w:p>
        </w:tc>
        <w:tc>
          <w:tcPr>
            <w:tcW w:w="7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(5,305 )</w:t>
            </w:r>
          </w:p>
        </w:tc>
        <w:tc>
          <w:tcPr>
            <w:tcW w:w="80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(35,474 )</w:t>
            </w:r>
          </w:p>
        </w:tc>
        <w:tc>
          <w:tcPr>
            <w:tcW w:w="2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(133,098 )</w:t>
            </w:r>
          </w:p>
        </w:tc>
        <w:tc>
          <w:tcPr>
            <w:tcW w:w="0" w:type="dxa"/>
            <w:vAlign w:val="bottom"/>
          </w:tcPr>
          <w:p>
            <w:pPr>
              <w:spacing w:after="0"/>
              <w:rPr>
                <w:sz w:val="1"/>
                <w:szCs w:val="1"/>
                <w:color w:val="auto"/>
              </w:rPr>
            </w:pPr>
          </w:p>
        </w:tc>
      </w:tr>
      <w:tr>
        <w:trPr>
          <w:trHeight w:val="184"/>
        </w:trPr>
        <w:tc>
          <w:tcPr>
            <w:tcW w:w="49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Debt extinguishment</w:t>
            </w:r>
          </w:p>
        </w:tc>
        <w:tc>
          <w:tcPr>
            <w:tcW w:w="760" w:type="dxa"/>
            <w:vAlign w:val="bottom"/>
            <w:shd w:val="clear" w:color="auto" w:fill="CCECFF"/>
          </w:tcPr>
          <w:p>
            <w:pPr>
              <w:spacing w:after="0"/>
              <w:rPr>
                <w:sz w:val="16"/>
                <w:szCs w:val="16"/>
                <w:color w:val="auto"/>
              </w:rPr>
            </w:pPr>
          </w:p>
        </w:tc>
        <w:tc>
          <w:tcPr>
            <w:tcW w:w="7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(289 )</w:t>
            </w:r>
          </w:p>
        </w:tc>
        <w:tc>
          <w:tcPr>
            <w:tcW w:w="0" w:type="dxa"/>
            <w:vAlign w:val="bottom"/>
          </w:tcPr>
          <w:p>
            <w:pPr>
              <w:spacing w:after="0"/>
              <w:rPr>
                <w:sz w:val="1"/>
                <w:szCs w:val="1"/>
                <w:color w:val="auto"/>
              </w:rPr>
            </w:pPr>
          </w:p>
        </w:tc>
      </w:tr>
      <w:tr>
        <w:trPr>
          <w:trHeight w:val="176"/>
        </w:trPr>
        <w:tc>
          <w:tcPr>
            <w:tcW w:w="4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Provision for taxes on realized gain on investments</w:t>
            </w:r>
          </w:p>
        </w:tc>
        <w:tc>
          <w:tcPr>
            <w:tcW w:w="76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(1,700 )</w:t>
            </w:r>
          </w:p>
        </w:tc>
        <w:tc>
          <w:tcPr>
            <w:tcW w:w="2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(177 )</w:t>
            </w:r>
          </w:p>
        </w:tc>
        <w:tc>
          <w:tcPr>
            <w:tcW w:w="2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(2,417 )</w:t>
            </w:r>
          </w:p>
        </w:tc>
        <w:tc>
          <w:tcPr>
            <w:tcW w:w="0" w:type="dxa"/>
            <w:vAlign w:val="bottom"/>
          </w:tcPr>
          <w:p>
            <w:pPr>
              <w:spacing w:after="0"/>
              <w:rPr>
                <w:sz w:val="1"/>
                <w:szCs w:val="1"/>
                <w:color w:val="auto"/>
              </w:rPr>
            </w:pPr>
          </w:p>
        </w:tc>
      </w:tr>
      <w:tr>
        <w:trPr>
          <w:trHeight w:val="184"/>
        </w:trPr>
        <w:tc>
          <w:tcPr>
            <w:tcW w:w="49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realized gain (loss) on investments and debt</w:t>
            </w:r>
          </w:p>
        </w:tc>
        <w:tc>
          <w:tcPr>
            <w:tcW w:w="760" w:type="dxa"/>
            <w:vAlign w:val="bottom"/>
            <w:shd w:val="clear" w:color="auto" w:fill="CCECFF"/>
          </w:tcPr>
          <w:p>
            <w:pPr>
              <w:spacing w:after="0"/>
              <w:rPr>
                <w:sz w:val="16"/>
                <w:szCs w:val="16"/>
                <w:color w:val="auto"/>
              </w:rPr>
            </w:pPr>
          </w:p>
        </w:tc>
        <w:tc>
          <w:tcPr>
            <w:tcW w:w="7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(6,895 )</w:t>
            </w:r>
          </w:p>
        </w:tc>
        <w:tc>
          <w:tcPr>
            <w:tcW w:w="80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(6,893 )</w:t>
            </w:r>
          </w:p>
        </w:tc>
        <w:tc>
          <w:tcPr>
            <w:tcW w:w="28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(36,095 )</w:t>
            </w: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(151,546 )</w:t>
            </w:r>
          </w:p>
        </w:tc>
        <w:tc>
          <w:tcPr>
            <w:tcW w:w="0" w:type="dxa"/>
            <w:vAlign w:val="bottom"/>
          </w:tcPr>
          <w:p>
            <w:pPr>
              <w:spacing w:after="0"/>
              <w:rPr>
                <w:sz w:val="1"/>
                <w:szCs w:val="1"/>
                <w:color w:val="auto"/>
              </w:rPr>
            </w:pPr>
          </w:p>
        </w:tc>
      </w:tr>
      <w:tr>
        <w:trPr>
          <w:trHeight w:val="176"/>
        </w:trPr>
        <w:tc>
          <w:tcPr>
            <w:tcW w:w="4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760" w:type="dxa"/>
            <w:vAlign w:val="bottom"/>
            <w:shd w:val="clear" w:color="auto" w:fill="CCECFF"/>
          </w:tcPr>
          <w:p>
            <w:pPr>
              <w:spacing w:after="0"/>
              <w:rPr>
                <w:sz w:val="16"/>
                <w:szCs w:val="16"/>
                <w:color w:val="auto"/>
              </w:rPr>
            </w:pPr>
          </w:p>
        </w:tc>
        <w:tc>
          <w:tcPr>
            <w:tcW w:w="7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(1,614 )</w:t>
            </w:r>
          </w:p>
        </w:tc>
        <w:tc>
          <w:tcPr>
            <w:tcW w:w="800" w:type="dxa"/>
            <w:vAlign w:val="bottom"/>
            <w:shd w:val="clear" w:color="auto" w:fill="CCECFF"/>
          </w:tcPr>
          <w:p>
            <w:pPr>
              <w:spacing w:after="0"/>
              <w:rPr>
                <w:sz w:val="16"/>
                <w:szCs w:val="16"/>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13,056</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(15,412 )</w:t>
            </w: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(33,513 )</w:t>
            </w:r>
          </w:p>
        </w:tc>
        <w:tc>
          <w:tcPr>
            <w:tcW w:w="0" w:type="dxa"/>
            <w:vAlign w:val="bottom"/>
          </w:tcPr>
          <w:p>
            <w:pPr>
              <w:spacing w:after="0"/>
              <w:rPr>
                <w:sz w:val="1"/>
                <w:szCs w:val="1"/>
                <w:color w:val="auto"/>
              </w:rPr>
            </w:pPr>
          </w:p>
        </w:tc>
      </w:tr>
      <w:tr>
        <w:trPr>
          <w:trHeight w:val="176"/>
        </w:trPr>
        <w:tc>
          <w:tcPr>
            <w:tcW w:w="4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and controlled, affiliated investments</w:t>
            </w:r>
          </w:p>
        </w:tc>
        <w:tc>
          <w:tcPr>
            <w:tcW w:w="7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(3,483 )</w:t>
            </w: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38,592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Provision for taxes on unrealized appreciation (depreciation) on investments</w:t>
            </w:r>
          </w:p>
        </w:tc>
        <w:tc>
          <w:tcPr>
            <w:tcW w:w="760" w:type="dxa"/>
            <w:vAlign w:val="bottom"/>
            <w:shd w:val="clear" w:color="auto" w:fill="CCECFF"/>
          </w:tcPr>
          <w:p>
            <w:pPr>
              <w:spacing w:after="0"/>
              <w:rPr>
                <w:sz w:val="16"/>
                <w:szCs w:val="16"/>
                <w:color w:val="auto"/>
              </w:rPr>
            </w:pPr>
          </w:p>
        </w:tc>
        <w:tc>
          <w:tcPr>
            <w:tcW w:w="7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(680 )</w:t>
            </w: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Debt appreciation (depreciation)</w:t>
            </w:r>
          </w:p>
        </w:tc>
        <w:tc>
          <w:tcPr>
            <w:tcW w:w="7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(8 )</w:t>
            </w:r>
          </w:p>
        </w:tc>
        <w:tc>
          <w:tcPr>
            <w:tcW w:w="80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(8,393 )</w:t>
            </w:r>
          </w:p>
        </w:tc>
        <w:tc>
          <w:tcPr>
            <w:tcW w:w="2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(1,578 )</w:t>
            </w:r>
          </w:p>
        </w:tc>
        <w:tc>
          <w:tcPr>
            <w:tcW w:w="2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(2,474 )</w:t>
            </w:r>
          </w:p>
        </w:tc>
        <w:tc>
          <w:tcPr>
            <w:tcW w:w="0" w:type="dxa"/>
            <w:vAlign w:val="bottom"/>
          </w:tcPr>
          <w:p>
            <w:pPr>
              <w:spacing w:after="0"/>
              <w:rPr>
                <w:sz w:val="1"/>
                <w:szCs w:val="1"/>
                <w:color w:val="auto"/>
              </w:rPr>
            </w:pPr>
          </w:p>
        </w:tc>
      </w:tr>
      <w:tr>
        <w:trPr>
          <w:trHeight w:val="184"/>
        </w:trPr>
        <w:tc>
          <w:tcPr>
            <w:tcW w:w="49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change in unrealized appreciation (depreciation) on investments and debt</w:t>
            </w:r>
          </w:p>
        </w:tc>
        <w:tc>
          <w:tcPr>
            <w:tcW w:w="760" w:type="dxa"/>
            <w:vAlign w:val="bottom"/>
            <w:shd w:val="clear" w:color="auto" w:fill="CCECFF"/>
          </w:tcPr>
          <w:p>
            <w:pPr>
              <w:spacing w:after="0"/>
              <w:rPr>
                <w:sz w:val="16"/>
                <w:szCs w:val="16"/>
                <w:color w:val="auto"/>
              </w:rPr>
            </w:pPr>
          </w:p>
        </w:tc>
        <w:tc>
          <w:tcPr>
            <w:tcW w:w="7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(5,105 )</w:t>
            </w:r>
          </w:p>
        </w:tc>
        <w:tc>
          <w:tcPr>
            <w:tcW w:w="800" w:type="dxa"/>
            <w:vAlign w:val="bottom"/>
            <w:shd w:val="clear" w:color="auto" w:fill="CCECFF"/>
          </w:tcPr>
          <w:p>
            <w:pPr>
              <w:spacing w:after="0"/>
              <w:rPr>
                <w:sz w:val="16"/>
                <w:szCs w:val="16"/>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4,886</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20,922</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55,543</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from investments and debt</w:t>
            </w:r>
          </w:p>
        </w:tc>
        <w:tc>
          <w:tcPr>
            <w:tcW w:w="7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(12,000 )</w:t>
            </w:r>
          </w:p>
        </w:tc>
        <w:tc>
          <w:tcPr>
            <w:tcW w:w="80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(2,007 )</w:t>
            </w:r>
          </w:p>
        </w:tc>
        <w:tc>
          <w:tcPr>
            <w:tcW w:w="2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(15,173 )</w:t>
            </w:r>
          </w:p>
        </w:tc>
        <w:tc>
          <w:tcPr>
            <w:tcW w:w="2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(96,003 )</w:t>
            </w:r>
          </w:p>
        </w:tc>
        <w:tc>
          <w:tcPr>
            <w:tcW w:w="0" w:type="dxa"/>
            <w:vAlign w:val="bottom"/>
          </w:tcPr>
          <w:p>
            <w:pPr>
              <w:spacing w:after="0"/>
              <w:rPr>
                <w:sz w:val="1"/>
                <w:szCs w:val="1"/>
                <w:color w:val="auto"/>
              </w:rPr>
            </w:pPr>
          </w:p>
        </w:tc>
      </w:tr>
      <w:tr>
        <w:trPr>
          <w:trHeight w:val="203"/>
        </w:trPr>
        <w:tc>
          <w:tcPr>
            <w:tcW w:w="4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760" w:type="dxa"/>
            <w:vAlign w:val="bottom"/>
            <w:shd w:val="clear" w:color="auto" w:fill="CCECFF"/>
          </w:tcPr>
          <w:p>
            <w:pPr>
              <w:jc w:val="right"/>
              <w:ind w:right="641"/>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3,746</w:t>
            </w:r>
          </w:p>
        </w:tc>
        <w:tc>
          <w:tcPr>
            <w:tcW w:w="240" w:type="dxa"/>
            <w:vAlign w:val="bottom"/>
            <w:shd w:val="clear" w:color="auto" w:fill="CCECFF"/>
          </w:tcPr>
          <w:p>
            <w:pPr>
              <w:spacing w:after="0"/>
              <w:rPr>
                <w:sz w:val="17"/>
                <w:szCs w:val="17"/>
                <w:color w:val="auto"/>
              </w:rPr>
            </w:pPr>
          </w:p>
        </w:tc>
        <w:tc>
          <w:tcPr>
            <w:tcW w:w="800" w:type="dxa"/>
            <w:vAlign w:val="bottom"/>
            <w:shd w:val="clear" w:color="auto" w:fill="CCECFF"/>
          </w:tcPr>
          <w:p>
            <w:pPr>
              <w:jc w:val="right"/>
              <w:ind w:right="65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20,949</w:t>
            </w:r>
          </w:p>
        </w:tc>
        <w:tc>
          <w:tcPr>
            <w:tcW w:w="240" w:type="dxa"/>
            <w:vAlign w:val="bottom"/>
            <w:shd w:val="clear" w:color="auto" w:fill="CCECFF"/>
          </w:tcPr>
          <w:p>
            <w:pPr>
              <w:spacing w:after="0"/>
              <w:rPr>
                <w:sz w:val="17"/>
                <w:szCs w:val="17"/>
                <w:color w:val="auto"/>
              </w:rPr>
            </w:pPr>
          </w:p>
        </w:tc>
        <w:tc>
          <w:tcPr>
            <w:tcW w:w="2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30,484</w:t>
            </w:r>
          </w:p>
        </w:tc>
        <w:tc>
          <w:tcPr>
            <w:tcW w:w="240" w:type="dxa"/>
            <w:vAlign w:val="bottom"/>
            <w:shd w:val="clear" w:color="auto" w:fill="CCECFF"/>
          </w:tcPr>
          <w:p>
            <w:pPr>
              <w:spacing w:after="0"/>
              <w:rPr>
                <w:sz w:val="17"/>
                <w:szCs w:val="17"/>
                <w:color w:val="auto"/>
              </w:rPr>
            </w:pPr>
          </w:p>
        </w:tc>
        <w:tc>
          <w:tcPr>
            <w:tcW w:w="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CFF"/>
          </w:tcPr>
          <w:p>
            <w:pPr>
              <w:jc w:val="right"/>
              <w:ind w:right="40"/>
              <w:spacing w:after="0" w:line="184" w:lineRule="exact"/>
              <w:rPr>
                <w:sz w:val="20"/>
                <w:szCs w:val="20"/>
                <w:color w:val="auto"/>
              </w:rPr>
            </w:pPr>
            <w:r>
              <w:rPr>
                <w:rFonts w:ascii="Times New Roman" w:cs="Times New Roman" w:eastAsia="Times New Roman" w:hAnsi="Times New Roman"/>
                <w:sz w:val="11"/>
                <w:szCs w:val="11"/>
                <w:color w:val="auto"/>
              </w:rPr>
              <w:t xml:space="preserve">(46,072 </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20"/>
        </w:trPr>
        <w:tc>
          <w:tcPr>
            <w:tcW w:w="4900" w:type="dxa"/>
            <w:vAlign w:val="bottom"/>
            <w:tcBorders>
              <w:top w:val="single" w:sz="8" w:color="CCECFF"/>
            </w:tcBorders>
            <w:shd w:val="clear" w:color="auto" w:fill="CCEC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 per common share</w:t>
            </w:r>
          </w:p>
        </w:tc>
        <w:tc>
          <w:tcPr>
            <w:tcW w:w="760" w:type="dxa"/>
            <w:vAlign w:val="bottom"/>
          </w:tcPr>
          <w:p>
            <w:pPr>
              <w:jc w:val="right"/>
              <w:ind w:right="641"/>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240" w:type="dxa"/>
            <w:vAlign w:val="bottom"/>
          </w:tcPr>
          <w:p>
            <w:pPr>
              <w:spacing w:after="0"/>
              <w:rPr>
                <w:sz w:val="13"/>
                <w:szCs w:val="13"/>
                <w:color w:val="auto"/>
              </w:rPr>
            </w:pPr>
          </w:p>
        </w:tc>
        <w:tc>
          <w:tcPr>
            <w:tcW w:w="800" w:type="dxa"/>
            <w:vAlign w:val="bottom"/>
          </w:tcPr>
          <w:p>
            <w:pPr>
              <w:jc w:val="right"/>
              <w:ind w:right="65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240" w:type="dxa"/>
            <w:vAlign w:val="bottom"/>
          </w:tcPr>
          <w:p>
            <w:pPr>
              <w:spacing w:after="0"/>
              <w:rPr>
                <w:sz w:val="13"/>
                <w:szCs w:val="13"/>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0.47</w:t>
            </w:r>
          </w:p>
        </w:tc>
        <w:tc>
          <w:tcPr>
            <w:tcW w:w="240" w:type="dxa"/>
            <w:vAlign w:val="bottom"/>
          </w:tcPr>
          <w:p>
            <w:pPr>
              <w:spacing w:after="0"/>
              <w:rPr>
                <w:sz w:val="13"/>
                <w:szCs w:val="13"/>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0"/>
                <w:szCs w:val="10"/>
                <w:color w:val="auto"/>
              </w:rPr>
              <w:t xml:space="preserve">(0.71 </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investment income per common share</w:t>
            </w:r>
          </w:p>
        </w:tc>
        <w:tc>
          <w:tcPr>
            <w:tcW w:w="760" w:type="dxa"/>
            <w:vAlign w:val="bottom"/>
            <w:tcBorders>
              <w:bottom w:val="single" w:sz="8" w:color="auto"/>
            </w:tcBorders>
            <w:shd w:val="clear" w:color="auto" w:fill="CCECFF"/>
          </w:tcPr>
          <w:p>
            <w:pPr>
              <w:jc w:val="right"/>
              <w:ind w:right="641"/>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240" w:type="dxa"/>
            <w:vAlign w:val="bottom"/>
            <w:tcBorders>
              <w:bottom w:val="single" w:sz="8" w:color="CCECFF"/>
            </w:tcBorders>
            <w:shd w:val="clear" w:color="auto" w:fill="CCECFF"/>
          </w:tcPr>
          <w:p>
            <w:pPr>
              <w:spacing w:after="0"/>
              <w:rPr>
                <w:sz w:val="17"/>
                <w:szCs w:val="17"/>
                <w:color w:val="auto"/>
              </w:rPr>
            </w:pPr>
          </w:p>
        </w:tc>
        <w:tc>
          <w:tcPr>
            <w:tcW w:w="800" w:type="dxa"/>
            <w:vAlign w:val="bottom"/>
            <w:tcBorders>
              <w:bottom w:val="single" w:sz="8" w:color="auto"/>
            </w:tcBorders>
            <w:shd w:val="clear" w:color="auto" w:fill="CCECFF"/>
          </w:tcPr>
          <w:p>
            <w:pPr>
              <w:jc w:val="right"/>
              <w:ind w:right="65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24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0.70</w:t>
            </w:r>
          </w:p>
        </w:tc>
        <w:tc>
          <w:tcPr>
            <w:tcW w:w="24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0.77</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NET ASSETS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40" w:type="dxa"/>
            <w:vAlign w:val="bottom"/>
          </w:tcPr>
          <w:p>
            <w:pPr>
              <w:spacing w:after="0"/>
              <w:rPr>
                <w:sz w:val="15"/>
                <w:szCs w:val="15"/>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6"/>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Nine Months Ended June 30,</w:t>
            </w:r>
          </w:p>
        </w:tc>
      </w:tr>
      <w:tr>
        <w:trPr>
          <w:trHeight w:val="184"/>
        </w:trPr>
        <w:tc>
          <w:tcPr>
            <w:tcW w:w="5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6"/>
                <w:szCs w:val="16"/>
                <w:color w:val="auto"/>
              </w:rPr>
            </w:pPr>
          </w:p>
        </w:tc>
      </w:tr>
      <w:tr>
        <w:trPr>
          <w:trHeight w:val="184"/>
        </w:trPr>
        <w:tc>
          <w:tcPr>
            <w:tcW w:w="5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720" w:type="dxa"/>
            <w:vAlign w:val="bottom"/>
            <w:shd w:val="clear" w:color="auto" w:fill="CCECFF"/>
          </w:tcPr>
          <w:p>
            <w:pPr>
              <w:spacing w:after="0"/>
              <w:rPr>
                <w:sz w:val="16"/>
                <w:szCs w:val="16"/>
                <w:color w:val="auto"/>
              </w:rPr>
            </w:pPr>
          </w:p>
        </w:tc>
        <w:tc>
          <w:tcPr>
            <w:tcW w:w="46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740" w:type="dxa"/>
            <w:vAlign w:val="bottom"/>
            <w:shd w:val="clear" w:color="auto" w:fill="CCECFF"/>
          </w:tcPr>
          <w:p>
            <w:pPr>
              <w:spacing w:after="0"/>
              <w:rPr>
                <w:sz w:val="16"/>
                <w:szCs w:val="16"/>
                <w:color w:val="auto"/>
              </w:rPr>
            </w:pPr>
          </w:p>
        </w:tc>
        <w:tc>
          <w:tcPr>
            <w:tcW w:w="4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r>
      <w:tr>
        <w:trPr>
          <w:trHeight w:val="176"/>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investment income</w:t>
            </w:r>
          </w:p>
        </w:tc>
        <w:tc>
          <w:tcPr>
            <w:tcW w:w="72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15,746</w:t>
            </w:r>
          </w:p>
        </w:tc>
        <w:tc>
          <w:tcPr>
            <w:tcW w:w="240" w:type="dxa"/>
            <w:vAlign w:val="bottom"/>
          </w:tcPr>
          <w:p>
            <w:pPr>
              <w:spacing w:after="0"/>
              <w:rPr>
                <w:sz w:val="15"/>
                <w:szCs w:val="15"/>
                <w:color w:val="auto"/>
              </w:rPr>
            </w:pPr>
          </w:p>
        </w:tc>
        <w:tc>
          <w:tcPr>
            <w:tcW w:w="740" w:type="dxa"/>
            <w:vAlign w:val="bottom"/>
          </w:tcPr>
          <w:p>
            <w:pPr>
              <w:jc w:val="right"/>
              <w:ind w:right="59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22,956</w:t>
            </w:r>
          </w:p>
        </w:tc>
        <w:tc>
          <w:tcPr>
            <w:tcW w:w="220" w:type="dxa"/>
            <w:vAlign w:val="bottom"/>
          </w:tcPr>
          <w:p>
            <w:pPr>
              <w:spacing w:after="0"/>
              <w:rPr>
                <w:sz w:val="15"/>
                <w:szCs w:val="15"/>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45,657</w:t>
            </w:r>
          </w:p>
        </w:tc>
        <w:tc>
          <w:tcPr>
            <w:tcW w:w="100" w:type="dxa"/>
            <w:vAlign w:val="bottom"/>
          </w:tcPr>
          <w:p>
            <w:pPr>
              <w:spacing w:after="0"/>
              <w:rPr>
                <w:sz w:val="15"/>
                <w:szCs w:val="15"/>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49,931</w:t>
            </w:r>
          </w:p>
        </w:tc>
        <w:tc>
          <w:tcPr>
            <w:tcW w:w="80" w:type="dxa"/>
            <w:vAlign w:val="bottom"/>
          </w:tcPr>
          <w:p>
            <w:pPr>
              <w:spacing w:after="0"/>
              <w:rPr>
                <w:sz w:val="15"/>
                <w:szCs w:val="15"/>
                <w:color w:val="auto"/>
              </w:rPr>
            </w:pPr>
          </w:p>
        </w:tc>
      </w:tr>
      <w:tr>
        <w:trPr>
          <w:trHeight w:val="184"/>
        </w:trPr>
        <w:tc>
          <w:tcPr>
            <w:tcW w:w="51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realized gain (loss) on investments and debt</w:t>
            </w:r>
          </w:p>
        </w:tc>
        <w:tc>
          <w:tcPr>
            <w:tcW w:w="720" w:type="dxa"/>
            <w:vAlign w:val="bottom"/>
            <w:shd w:val="clear" w:color="auto" w:fill="CCECFF"/>
          </w:tcPr>
          <w:p>
            <w:pPr>
              <w:spacing w:after="0"/>
              <w:rPr>
                <w:sz w:val="16"/>
                <w:szCs w:val="16"/>
                <w:color w:val="auto"/>
              </w:rPr>
            </w:pPr>
          </w:p>
        </w:tc>
        <w:tc>
          <w:tcPr>
            <w:tcW w:w="7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(6,895 )</w:t>
            </w:r>
          </w:p>
        </w:tc>
        <w:tc>
          <w:tcPr>
            <w:tcW w:w="740" w:type="dxa"/>
            <w:vAlign w:val="bottom"/>
            <w:shd w:val="clear" w:color="auto" w:fill="CCECFF"/>
          </w:tcPr>
          <w:p>
            <w:pPr>
              <w:spacing w:after="0"/>
              <w:rPr>
                <w:sz w:val="16"/>
                <w:szCs w:val="16"/>
                <w:color w:val="auto"/>
              </w:rPr>
            </w:pPr>
          </w:p>
        </w:tc>
        <w:tc>
          <w:tcPr>
            <w:tcW w:w="6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(5,193 )</w:t>
            </w:r>
          </w:p>
        </w:tc>
        <w:tc>
          <w:tcPr>
            <w:tcW w:w="26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(35,918 )</w:t>
            </w:r>
          </w:p>
        </w:tc>
        <w:tc>
          <w:tcPr>
            <w:tcW w:w="1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(149,129 )</w:t>
            </w:r>
          </w:p>
        </w:tc>
      </w:tr>
      <w:tr>
        <w:trPr>
          <w:trHeight w:val="176"/>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72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(5,097 )</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57,121</w:t>
            </w:r>
          </w:p>
        </w:tc>
        <w:tc>
          <w:tcPr>
            <w:tcW w:w="80" w:type="dxa"/>
            <w:vAlign w:val="bottom"/>
          </w:tcPr>
          <w:p>
            <w:pPr>
              <w:spacing w:after="0"/>
              <w:rPr>
                <w:sz w:val="15"/>
                <w:szCs w:val="15"/>
                <w:color w:val="auto"/>
              </w:rPr>
            </w:pPr>
          </w:p>
        </w:tc>
      </w:tr>
      <w:tr>
        <w:trPr>
          <w:trHeight w:val="184"/>
        </w:trPr>
        <w:tc>
          <w:tcPr>
            <w:tcW w:w="51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change in provision for taxes on net realized gain (loss) on investments</w:t>
            </w:r>
          </w:p>
        </w:tc>
        <w:tc>
          <w:tcPr>
            <w:tcW w:w="720" w:type="dxa"/>
            <w:vAlign w:val="bottom"/>
            <w:shd w:val="clear" w:color="auto" w:fill="CCECFF"/>
          </w:tcPr>
          <w:p>
            <w:pPr>
              <w:spacing w:after="0"/>
              <w:rPr>
                <w:sz w:val="16"/>
                <w:szCs w:val="16"/>
                <w:color w:val="auto"/>
              </w:rPr>
            </w:pPr>
          </w:p>
        </w:tc>
        <w:tc>
          <w:tcPr>
            <w:tcW w:w="7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CFF"/>
          </w:tcPr>
          <w:p>
            <w:pPr>
              <w:spacing w:after="0"/>
              <w:rPr>
                <w:sz w:val="16"/>
                <w:szCs w:val="16"/>
                <w:color w:val="auto"/>
              </w:rPr>
            </w:pPr>
          </w:p>
        </w:tc>
        <w:tc>
          <w:tcPr>
            <w:tcW w:w="6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(1,700 )</w:t>
            </w:r>
          </w:p>
        </w:tc>
        <w:tc>
          <w:tcPr>
            <w:tcW w:w="26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(177 )</w:t>
            </w:r>
          </w:p>
        </w:tc>
        <w:tc>
          <w:tcPr>
            <w:tcW w:w="1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(2,417 )</w:t>
            </w:r>
          </w:p>
        </w:tc>
      </w:tr>
      <w:tr>
        <w:trPr>
          <w:trHeight w:val="176"/>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provision for taxes on unrealized appreciation (depreciation) on investments</w:t>
            </w:r>
          </w:p>
        </w:tc>
        <w:tc>
          <w:tcPr>
            <w:tcW w:w="72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(680 )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80" w:type="dxa"/>
            <w:vAlign w:val="bottom"/>
          </w:tcPr>
          <w:p>
            <w:pPr>
              <w:spacing w:after="0"/>
              <w:rPr>
                <w:sz w:val="15"/>
                <w:szCs w:val="15"/>
                <w:color w:val="auto"/>
              </w:rPr>
            </w:pPr>
          </w:p>
        </w:tc>
      </w:tr>
      <w:tr>
        <w:trPr>
          <w:trHeight w:val="184"/>
        </w:trPr>
        <w:tc>
          <w:tcPr>
            <w:tcW w:w="51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debt</w:t>
            </w:r>
          </w:p>
        </w:tc>
        <w:tc>
          <w:tcPr>
            <w:tcW w:w="720" w:type="dxa"/>
            <w:vAlign w:val="bottom"/>
            <w:shd w:val="clear" w:color="auto" w:fill="CCECFF"/>
          </w:tcPr>
          <w:p>
            <w:pPr>
              <w:spacing w:after="0"/>
              <w:rPr>
                <w:sz w:val="16"/>
                <w:szCs w:val="16"/>
                <w:color w:val="auto"/>
              </w:rPr>
            </w:pPr>
          </w:p>
        </w:tc>
        <w:tc>
          <w:tcPr>
            <w:tcW w:w="7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(8 )</w:t>
            </w:r>
          </w:p>
        </w:tc>
        <w:tc>
          <w:tcPr>
            <w:tcW w:w="740" w:type="dxa"/>
            <w:vAlign w:val="bottom"/>
            <w:shd w:val="clear" w:color="auto" w:fill="CCECFF"/>
          </w:tcPr>
          <w:p>
            <w:pPr>
              <w:spacing w:after="0"/>
              <w:rPr>
                <w:sz w:val="16"/>
                <w:szCs w:val="16"/>
                <w:color w:val="auto"/>
              </w:rPr>
            </w:pPr>
          </w:p>
        </w:tc>
        <w:tc>
          <w:tcPr>
            <w:tcW w:w="6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(8,393 )</w:t>
            </w:r>
          </w:p>
        </w:tc>
        <w:tc>
          <w:tcPr>
            <w:tcW w:w="26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(1,578 )</w:t>
            </w:r>
          </w:p>
        </w:tc>
        <w:tc>
          <w:tcPr>
            <w:tcW w:w="1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(2,474 )</w:t>
            </w:r>
          </w:p>
        </w:tc>
      </w:tr>
      <w:tr>
        <w:trPr>
          <w:trHeight w:val="177"/>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7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3,746</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20,949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(46,072 )</w:t>
            </w:r>
          </w:p>
        </w:tc>
      </w:tr>
      <w:tr>
        <w:trPr>
          <w:trHeight w:val="183"/>
        </w:trPr>
        <w:tc>
          <w:tcPr>
            <w:tcW w:w="5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Distributions to stockholders:</w:t>
            </w:r>
          </w:p>
        </w:tc>
        <w:tc>
          <w:tcPr>
            <w:tcW w:w="720" w:type="dxa"/>
            <w:vAlign w:val="bottom"/>
            <w:shd w:val="clear" w:color="auto" w:fill="CCECFF"/>
          </w:tcPr>
          <w:p>
            <w:pPr>
              <w:spacing w:after="0"/>
              <w:rPr>
                <w:sz w:val="15"/>
                <w:szCs w:val="15"/>
                <w:color w:val="auto"/>
              </w:rPr>
            </w:pPr>
          </w:p>
        </w:tc>
        <w:tc>
          <w:tcPr>
            <w:tcW w:w="4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740" w:type="dxa"/>
            <w:vAlign w:val="bottom"/>
            <w:shd w:val="clear" w:color="auto" w:fill="CCECFF"/>
          </w:tcPr>
          <w:p>
            <w:pPr>
              <w:spacing w:after="0"/>
              <w:rPr>
                <w:sz w:val="15"/>
                <w:szCs w:val="15"/>
                <w:color w:val="auto"/>
              </w:rPr>
            </w:pPr>
          </w:p>
        </w:tc>
        <w:tc>
          <w:tcPr>
            <w:tcW w:w="4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6"/>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 of net investment income</w:t>
            </w:r>
          </w:p>
        </w:tc>
        <w:tc>
          <w:tcPr>
            <w:tcW w:w="72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(14,355 )</w:t>
            </w:r>
          </w:p>
        </w:tc>
        <w:tc>
          <w:tcPr>
            <w:tcW w:w="7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(13,045 )</w:t>
            </w:r>
          </w:p>
        </w:tc>
        <w:tc>
          <w:tcPr>
            <w:tcW w:w="2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(41,751 )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(35,874 )</w:t>
            </w:r>
          </w:p>
        </w:tc>
      </w:tr>
      <w:tr>
        <w:trPr>
          <w:trHeight w:val="184"/>
        </w:trPr>
        <w:tc>
          <w:tcPr>
            <w:tcW w:w="51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distributions to stockholders</w:t>
            </w:r>
          </w:p>
        </w:tc>
        <w:tc>
          <w:tcPr>
            <w:tcW w:w="720" w:type="dxa"/>
            <w:vAlign w:val="bottom"/>
            <w:shd w:val="clear" w:color="auto" w:fill="CCECFF"/>
          </w:tcPr>
          <w:p>
            <w:pPr>
              <w:spacing w:after="0"/>
              <w:rPr>
                <w:sz w:val="16"/>
                <w:szCs w:val="16"/>
                <w:color w:val="auto"/>
              </w:rPr>
            </w:pPr>
          </w:p>
        </w:tc>
        <w:tc>
          <w:tcPr>
            <w:tcW w:w="7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(14,355 )</w:t>
            </w:r>
          </w:p>
        </w:tc>
        <w:tc>
          <w:tcPr>
            <w:tcW w:w="740" w:type="dxa"/>
            <w:vAlign w:val="bottom"/>
            <w:shd w:val="clear" w:color="auto" w:fill="CCECFF"/>
          </w:tcPr>
          <w:p>
            <w:pPr>
              <w:spacing w:after="0"/>
              <w:rPr>
                <w:sz w:val="16"/>
                <w:szCs w:val="16"/>
                <w:color w:val="auto"/>
              </w:rPr>
            </w:pPr>
          </w:p>
        </w:tc>
        <w:tc>
          <w:tcPr>
            <w:tcW w:w="6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(13,045 )</w:t>
            </w:r>
          </w:p>
        </w:tc>
        <w:tc>
          <w:tcPr>
            <w:tcW w:w="26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(41,751 )</w:t>
            </w:r>
          </w:p>
        </w:tc>
        <w:tc>
          <w:tcPr>
            <w:tcW w:w="120" w:type="dxa"/>
            <w:vAlign w:val="bottom"/>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(35,874 )</w:t>
            </w:r>
          </w:p>
        </w:tc>
      </w:tr>
      <w:tr>
        <w:trPr>
          <w:trHeight w:val="177"/>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Capital Transactions:</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51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Public offering</w:t>
            </w:r>
          </w:p>
        </w:tc>
        <w:tc>
          <w:tcPr>
            <w:tcW w:w="720" w:type="dxa"/>
            <w:vAlign w:val="bottom"/>
            <w:shd w:val="clear" w:color="auto" w:fill="CCECFF"/>
          </w:tcPr>
          <w:p>
            <w:pPr>
              <w:spacing w:after="0"/>
              <w:rPr>
                <w:sz w:val="15"/>
                <w:szCs w:val="15"/>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240" w:type="dxa"/>
            <w:vAlign w:val="bottom"/>
            <w:shd w:val="clear" w:color="auto" w:fill="CCECFF"/>
          </w:tcPr>
          <w:p>
            <w:pPr>
              <w:spacing w:after="0"/>
              <w:rPr>
                <w:sz w:val="15"/>
                <w:szCs w:val="15"/>
                <w:color w:val="auto"/>
              </w:rPr>
            </w:pPr>
          </w:p>
        </w:tc>
        <w:tc>
          <w:tcPr>
            <w:tcW w:w="740" w:type="dxa"/>
            <w:vAlign w:val="bottom"/>
            <w:shd w:val="clear" w:color="auto" w:fill="CCECFF"/>
          </w:tcPr>
          <w:p>
            <w:pPr>
              <w:spacing w:after="0"/>
              <w:rPr>
                <w:sz w:val="15"/>
                <w:szCs w:val="15"/>
                <w:color w:val="auto"/>
              </w:rPr>
            </w:pPr>
          </w:p>
        </w:tc>
        <w:tc>
          <w:tcPr>
            <w:tcW w:w="6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5"/>
                <w:szCs w:val="15"/>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Offering costs</w:t>
            </w:r>
          </w:p>
        </w:tc>
        <w:tc>
          <w:tcPr>
            <w:tcW w:w="72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(250 )</w:t>
            </w:r>
          </w:p>
        </w:tc>
        <w:tc>
          <w:tcPr>
            <w:tcW w:w="74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(250 )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1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increase in net assets resulting from capital transactions</w:t>
            </w:r>
          </w:p>
        </w:tc>
        <w:tc>
          <w:tcPr>
            <w:tcW w:w="720" w:type="dxa"/>
            <w:vAlign w:val="bottom"/>
            <w:shd w:val="clear" w:color="auto" w:fill="CCECFF"/>
          </w:tcPr>
          <w:p>
            <w:pPr>
              <w:spacing w:after="0"/>
              <w:rPr>
                <w:sz w:val="16"/>
                <w:szCs w:val="16"/>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240" w:type="dxa"/>
            <w:vAlign w:val="bottom"/>
            <w:shd w:val="clear" w:color="auto" w:fill="CCECFF"/>
          </w:tcPr>
          <w:p>
            <w:pPr>
              <w:spacing w:after="0"/>
              <w:rPr>
                <w:sz w:val="16"/>
                <w:szCs w:val="16"/>
                <w:color w:val="auto"/>
              </w:rPr>
            </w:pPr>
          </w:p>
        </w:tc>
        <w:tc>
          <w:tcPr>
            <w:tcW w:w="740" w:type="dxa"/>
            <w:vAlign w:val="bottom"/>
            <w:shd w:val="clear" w:color="auto" w:fill="CCECFF"/>
          </w:tcPr>
          <w:p>
            <w:pPr>
              <w:spacing w:after="0"/>
              <w:rPr>
                <w:sz w:val="16"/>
                <w:szCs w:val="16"/>
                <w:color w:val="auto"/>
              </w:rPr>
            </w:pPr>
          </w:p>
        </w:tc>
        <w:tc>
          <w:tcPr>
            <w:tcW w:w="6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6"/>
                <w:szCs w:val="16"/>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00" w:type="dxa"/>
            <w:vAlign w:val="bottom"/>
            <w:shd w:val="clear" w:color="auto" w:fill="CCECFF"/>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w:t>
            </w:r>
          </w:p>
        </w:tc>
        <w:tc>
          <w:tcPr>
            <w:tcW w:w="72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(10,307 )</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(10,965 )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(81,946 )</w:t>
            </w:r>
          </w:p>
        </w:tc>
      </w:tr>
      <w:tr>
        <w:trPr>
          <w:trHeight w:val="183"/>
        </w:trPr>
        <w:tc>
          <w:tcPr>
            <w:tcW w:w="5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720" w:type="dxa"/>
            <w:vAlign w:val="bottom"/>
            <w:shd w:val="clear" w:color="auto" w:fill="CCECFF"/>
          </w:tcPr>
          <w:p>
            <w:pPr>
              <w:spacing w:after="0"/>
              <w:rPr>
                <w:sz w:val="15"/>
                <w:szCs w:val="15"/>
                <w:color w:val="auto"/>
              </w:rPr>
            </w:pPr>
          </w:p>
        </w:tc>
        <w:tc>
          <w:tcPr>
            <w:tcW w:w="4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740" w:type="dxa"/>
            <w:vAlign w:val="bottom"/>
            <w:shd w:val="clear" w:color="auto" w:fill="CCECFF"/>
          </w:tcPr>
          <w:p>
            <w:pPr>
              <w:spacing w:after="0"/>
              <w:rPr>
                <w:sz w:val="15"/>
                <w:szCs w:val="15"/>
                <w:color w:val="auto"/>
              </w:rPr>
            </w:pPr>
          </w:p>
        </w:tc>
        <w:tc>
          <w:tcPr>
            <w:tcW w:w="4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6"/>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Beginning of period</w:t>
            </w:r>
          </w:p>
        </w:tc>
        <w:tc>
          <w:tcPr>
            <w:tcW w:w="7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501,529</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495,715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502,187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585,565</w:t>
            </w:r>
          </w:p>
        </w:tc>
        <w:tc>
          <w:tcPr>
            <w:tcW w:w="80" w:type="dxa"/>
            <w:vAlign w:val="bottom"/>
          </w:tcPr>
          <w:p>
            <w:pPr>
              <w:spacing w:after="0"/>
              <w:rPr>
                <w:sz w:val="15"/>
                <w:szCs w:val="15"/>
                <w:color w:val="auto"/>
              </w:rPr>
            </w:pPr>
          </w:p>
        </w:tc>
      </w:tr>
      <w:tr>
        <w:trPr>
          <w:trHeight w:val="224"/>
        </w:trPr>
        <w:tc>
          <w:tcPr>
            <w:tcW w:w="51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End of period</w:t>
            </w:r>
          </w:p>
        </w:tc>
        <w:tc>
          <w:tcPr>
            <w:tcW w:w="720" w:type="dxa"/>
            <w:vAlign w:val="bottom"/>
            <w:shd w:val="clear" w:color="auto" w:fill="CCEC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9"/>
              </w:rPr>
              <w:t>491,222</w:t>
            </w:r>
          </w:p>
        </w:tc>
        <w:tc>
          <w:tcPr>
            <w:tcW w:w="240" w:type="dxa"/>
            <w:vAlign w:val="bottom"/>
            <w:shd w:val="clear" w:color="auto" w:fill="CCECFF"/>
          </w:tcPr>
          <w:p>
            <w:pPr>
              <w:spacing w:after="0"/>
              <w:rPr>
                <w:sz w:val="19"/>
                <w:szCs w:val="19"/>
                <w:color w:val="auto"/>
              </w:rPr>
            </w:pPr>
          </w:p>
        </w:tc>
        <w:tc>
          <w:tcPr>
            <w:tcW w:w="740" w:type="dxa"/>
            <w:vAlign w:val="bottom"/>
            <w:shd w:val="clear" w:color="auto" w:fill="CCECFF"/>
          </w:tcPr>
          <w:p>
            <w:pPr>
              <w:jc w:val="right"/>
              <w:ind w:right="59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4"/>
              </w:rPr>
              <w:t>503,619</w:t>
            </w:r>
          </w:p>
        </w:tc>
        <w:tc>
          <w:tcPr>
            <w:tcW w:w="220" w:type="dxa"/>
            <w:vAlign w:val="bottom"/>
            <w:shd w:val="clear" w:color="auto" w:fill="CCECFF"/>
          </w:tcPr>
          <w:p>
            <w:pPr>
              <w:spacing w:after="0"/>
              <w:rPr>
                <w:sz w:val="19"/>
                <w:szCs w:val="19"/>
                <w:color w:val="auto"/>
              </w:rPr>
            </w:pPr>
          </w:p>
        </w:tc>
        <w:tc>
          <w:tcPr>
            <w:tcW w:w="260" w:type="dxa"/>
            <w:vAlign w:val="bottom"/>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491,222</w:t>
            </w:r>
          </w:p>
        </w:tc>
        <w:tc>
          <w:tcPr>
            <w:tcW w:w="100" w:type="dxa"/>
            <w:vAlign w:val="bottom"/>
            <w:shd w:val="clear" w:color="auto" w:fill="CCECFF"/>
          </w:tcPr>
          <w:p>
            <w:pPr>
              <w:spacing w:after="0"/>
              <w:rPr>
                <w:sz w:val="19"/>
                <w:szCs w:val="19"/>
                <w:color w:val="auto"/>
              </w:rPr>
            </w:pPr>
          </w:p>
        </w:tc>
        <w:tc>
          <w:tcPr>
            <w:tcW w:w="3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503,619</w:t>
            </w:r>
          </w:p>
        </w:tc>
        <w:tc>
          <w:tcPr>
            <w:tcW w:w="80" w:type="dxa"/>
            <w:vAlign w:val="bottom"/>
            <w:shd w:val="clear" w:color="auto" w:fill="CCECFF"/>
          </w:tcPr>
          <w:p>
            <w:pPr>
              <w:spacing w:after="0"/>
              <w:rPr>
                <w:sz w:val="19"/>
                <w:szCs w:val="19"/>
                <w:color w:val="auto"/>
              </w:rPr>
            </w:pPr>
          </w:p>
        </w:tc>
      </w:tr>
      <w:tr>
        <w:trPr>
          <w:trHeight w:val="153"/>
        </w:trPr>
        <w:tc>
          <w:tcPr>
            <w:tcW w:w="514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Capital share activity:</w:t>
            </w:r>
          </w:p>
        </w:tc>
        <w:tc>
          <w:tcPr>
            <w:tcW w:w="7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40" w:type="dxa"/>
            <w:vAlign w:val="bottom"/>
            <w:tcBorders>
              <w:top w:val="single" w:sz="8" w:color="CCECFF"/>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Borders>
              <w:top w:val="single" w:sz="8" w:color="CCEC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120" w:type="dxa"/>
            <w:vAlign w:val="bottom"/>
            <w:tcBorders>
              <w:top w:val="single" w:sz="8" w:color="CCEC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CCECFF"/>
            </w:tcBorders>
          </w:tcPr>
          <w:p>
            <w:pPr>
              <w:spacing w:after="0"/>
              <w:rPr>
                <w:sz w:val="13"/>
                <w:szCs w:val="13"/>
                <w:color w:val="auto"/>
              </w:rPr>
            </w:pPr>
          </w:p>
        </w:tc>
      </w:tr>
      <w:tr>
        <w:trPr>
          <w:trHeight w:val="223"/>
        </w:trPr>
        <w:tc>
          <w:tcPr>
            <w:tcW w:w="514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Shares issued from public offering</w:t>
            </w:r>
          </w:p>
        </w:tc>
        <w:tc>
          <w:tcPr>
            <w:tcW w:w="720" w:type="dxa"/>
            <w:vAlign w:val="bottom"/>
            <w:tcBorders>
              <w:bottom w:val="single" w:sz="8" w:color="auto"/>
            </w:tcBorders>
            <w:shd w:val="clear" w:color="auto" w:fill="CCECFF"/>
          </w:tcPr>
          <w:p>
            <w:pPr>
              <w:spacing w:after="0"/>
              <w:rPr>
                <w:sz w:val="19"/>
                <w:szCs w:val="19"/>
                <w:color w:val="auto"/>
              </w:rPr>
            </w:pP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71,594</w:t>
            </w:r>
          </w:p>
        </w:tc>
        <w:tc>
          <w:tcPr>
            <w:tcW w:w="240" w:type="dxa"/>
            <w:vAlign w:val="bottom"/>
            <w:tcBorders>
              <w:bottom w:val="single" w:sz="8" w:color="CCECFF"/>
            </w:tcBorders>
            <w:shd w:val="clear" w:color="auto" w:fill="CCECFF"/>
          </w:tcPr>
          <w:p>
            <w:pPr>
              <w:spacing w:after="0"/>
              <w:rPr>
                <w:sz w:val="19"/>
                <w:szCs w:val="19"/>
                <w:color w:val="auto"/>
              </w:rPr>
            </w:pPr>
          </w:p>
        </w:tc>
        <w:tc>
          <w:tcPr>
            <w:tcW w:w="740" w:type="dxa"/>
            <w:vAlign w:val="bottom"/>
            <w:tcBorders>
              <w:bottom w:val="single" w:sz="8" w:color="auto"/>
            </w:tcBorders>
            <w:shd w:val="clear" w:color="auto" w:fill="CCECFF"/>
          </w:tcPr>
          <w:p>
            <w:pPr>
              <w:spacing w:after="0"/>
              <w:rPr>
                <w:sz w:val="19"/>
                <w:szCs w:val="19"/>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71,594</w:t>
            </w:r>
          </w:p>
        </w:tc>
        <w:tc>
          <w:tcPr>
            <w:tcW w:w="10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CFF"/>
            </w:tcBorders>
            <w:shd w:val="clear" w:color="auto" w:fill="CCECFF"/>
          </w:tcPr>
          <w:p>
            <w:pPr>
              <w:spacing w:after="0"/>
              <w:rPr>
                <w:sz w:val="19"/>
                <w:szCs w:val="19"/>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20" w:type="dxa"/>
            <w:vAlign w:val="bottom"/>
            <w:gridSpan w:val="3"/>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Nine Months Ended June 30,</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40" w:type="dxa"/>
            <w:vAlign w:val="bottom"/>
            <w:shd w:val="clear" w:color="auto" w:fill="CCECFF"/>
          </w:tcPr>
          <w:p>
            <w:pPr>
              <w:spacing w:after="0"/>
              <w:rPr>
                <w:sz w:val="16"/>
                <w:szCs w:val="16"/>
                <w:color w:val="auto"/>
              </w:rPr>
            </w:pPr>
          </w:p>
        </w:tc>
        <w:tc>
          <w:tcPr>
            <w:tcW w:w="11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30,484</w:t>
            </w:r>
          </w:p>
        </w:tc>
        <w:tc>
          <w:tcPr>
            <w:tcW w:w="260" w:type="dxa"/>
            <w:vAlign w:val="bottom"/>
          </w:tcPr>
          <w:p>
            <w:pPr>
              <w:spacing w:after="0"/>
              <w:rPr>
                <w:sz w:val="15"/>
                <w:szCs w:val="15"/>
                <w:color w:val="auto"/>
              </w:rPr>
            </w:pP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(46,072 )</w:t>
            </w:r>
          </w:p>
        </w:tc>
        <w:tc>
          <w:tcPr>
            <w:tcW w:w="0" w:type="dxa"/>
            <w:vAlign w:val="bottom"/>
          </w:tcPr>
          <w:p>
            <w:pPr>
              <w:spacing w:after="0"/>
              <w:rPr>
                <w:sz w:val="1"/>
                <w:szCs w:val="1"/>
                <w:color w:val="auto"/>
              </w:rPr>
            </w:pPr>
          </w:p>
        </w:tc>
      </w:tr>
      <w:tr>
        <w:trPr>
          <w:trHeight w:val="160"/>
        </w:trPr>
        <w:tc>
          <w:tcPr>
            <w:tcW w:w="726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Adjustments to reconcile net increase (decrease) in net assets resulting from</w:t>
            </w:r>
          </w:p>
        </w:tc>
        <w:tc>
          <w:tcPr>
            <w:tcW w:w="34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3"/>
                <w:szCs w:val="13"/>
                <w:color w:val="auto"/>
              </w:rPr>
              <w:t>operations to net cash provided by (used in) operating activities:</w:t>
            </w:r>
          </w:p>
        </w:tc>
        <w:tc>
          <w:tcPr>
            <w:tcW w:w="340" w:type="dxa"/>
            <w:vAlign w:val="bottom"/>
            <w:shd w:val="clear" w:color="auto" w:fill="CCECFF"/>
          </w:tcPr>
          <w:p>
            <w:pPr>
              <w:spacing w:after="0"/>
              <w:rPr>
                <w:sz w:val="15"/>
                <w:szCs w:val="15"/>
                <w:color w:val="auto"/>
              </w:rPr>
            </w:pPr>
          </w:p>
        </w:tc>
        <w:tc>
          <w:tcPr>
            <w:tcW w:w="11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change in net unrealized (appreciation) depreciation on investments</w:t>
            </w: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(23,180 )</w:t>
            </w: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(57,121 )</w:t>
            </w: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Net change in unrealized appreciation (depreciation) on debt</w:t>
            </w:r>
          </w:p>
        </w:tc>
        <w:tc>
          <w:tcPr>
            <w:tcW w:w="34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1,578</w:t>
            </w: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2,474</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35,918</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Debt extinguishment realized loss</w:t>
            </w:r>
          </w:p>
        </w:tc>
        <w:tc>
          <w:tcPr>
            <w:tcW w:w="34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accretion of discount and amortization of premium</w:t>
            </w: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(2,102 )</w:t>
            </w: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(5,210 )</w:t>
            </w: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Purchases of investments</w:t>
            </w:r>
          </w:p>
        </w:tc>
        <w:tc>
          <w:tcPr>
            <w:tcW w:w="34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(752,062 )</w:t>
            </w:r>
          </w:p>
        </w:tc>
        <w:tc>
          <w:tcPr>
            <w:tcW w:w="920" w:type="dxa"/>
            <w:vAlign w:val="bottom"/>
            <w:shd w:val="clear" w:color="auto" w:fill="CCECFF"/>
          </w:tcPr>
          <w:p>
            <w:pPr>
              <w:spacing w:after="0"/>
              <w:rPr>
                <w:sz w:val="16"/>
                <w:szCs w:val="16"/>
                <w:color w:val="auto"/>
              </w:rPr>
            </w:pPr>
          </w:p>
        </w:tc>
        <w:tc>
          <w:tcPr>
            <w:tcW w:w="6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(214,355 )</w:t>
            </w:r>
          </w:p>
        </w:tc>
        <w:tc>
          <w:tcPr>
            <w:tcW w:w="0" w:type="dxa"/>
            <w:vAlign w:val="bottom"/>
          </w:tcPr>
          <w:p>
            <w:pPr>
              <w:spacing w:after="0"/>
              <w:rPr>
                <w:sz w:val="1"/>
                <w:szCs w:val="1"/>
                <w:color w:val="auto"/>
              </w:rPr>
            </w:pPr>
          </w:p>
        </w:tc>
      </w:tr>
      <w:tr>
        <w:trPr>
          <w:trHeight w:val="17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Payment-in-kind income</w:t>
            </w: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(4,924 )</w:t>
            </w: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(2,476 )</w:t>
            </w: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Proceeds from dispositions of investments</w:t>
            </w:r>
          </w:p>
        </w:tc>
        <w:tc>
          <w:tcPr>
            <w:tcW w:w="34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589,390</w:t>
            </w: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280,467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(Increase) decrease in:</w:t>
            </w:r>
          </w:p>
        </w:tc>
        <w:tc>
          <w:tcPr>
            <w:tcW w:w="340" w:type="dxa"/>
            <w:vAlign w:val="bottom"/>
            <w:shd w:val="clear" w:color="auto" w:fill="CCECFF"/>
          </w:tcPr>
          <w:p>
            <w:pPr>
              <w:spacing w:after="0"/>
              <w:rPr>
                <w:sz w:val="16"/>
                <w:szCs w:val="16"/>
                <w:color w:val="auto"/>
              </w:rPr>
            </w:pPr>
          </w:p>
        </w:tc>
        <w:tc>
          <w:tcPr>
            <w:tcW w:w="11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Interest receivable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(1,377 )</w:t>
            </w: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Receivables from investments sold</w:t>
            </w:r>
          </w:p>
        </w:tc>
        <w:tc>
          <w:tcPr>
            <w:tcW w:w="34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13,864</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Distribution receivable</w:t>
            </w: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(2,885 )</w:t>
            </w: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(2,659 )</w:t>
            </w: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Due from affiliate</w:t>
            </w:r>
          </w:p>
        </w:tc>
        <w:tc>
          <w:tcPr>
            <w:tcW w:w="34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(139 )</w:t>
            </w:r>
          </w:p>
        </w:tc>
        <w:tc>
          <w:tcPr>
            <w:tcW w:w="920" w:type="dxa"/>
            <w:vAlign w:val="bottom"/>
            <w:shd w:val="clear" w:color="auto" w:fill="CCECFF"/>
          </w:tcPr>
          <w:p>
            <w:pPr>
              <w:spacing w:after="0"/>
              <w:rPr>
                <w:sz w:val="16"/>
                <w:szCs w:val="16"/>
                <w:color w:val="auto"/>
              </w:rPr>
            </w:pPr>
          </w:p>
        </w:tc>
        <w:tc>
          <w:tcPr>
            <w:tcW w:w="6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72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3,386</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(8,000 )</w:t>
            </w: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Increase (decrease) in:</w:t>
            </w:r>
          </w:p>
        </w:tc>
        <w:tc>
          <w:tcPr>
            <w:tcW w:w="340" w:type="dxa"/>
            <w:vAlign w:val="bottom"/>
            <w:shd w:val="clear" w:color="auto" w:fill="CCECFF"/>
          </w:tcPr>
          <w:p>
            <w:pPr>
              <w:spacing w:after="0"/>
              <w:rPr>
                <w:sz w:val="16"/>
                <w:szCs w:val="16"/>
                <w:color w:val="auto"/>
              </w:rPr>
            </w:pPr>
          </w:p>
        </w:tc>
        <w:tc>
          <w:tcPr>
            <w:tcW w:w="11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Due to affiliate</w:t>
            </w: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(4,066 )</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34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(35,398 )</w:t>
            </w: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6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rPr>
              <w:t>Interest payable on debt</w:t>
            </w:r>
          </w:p>
        </w:tc>
        <w:tc>
          <w:tcPr>
            <w:tcW w:w="340" w:type="dxa"/>
            <w:vAlign w:val="bottom"/>
          </w:tcPr>
          <w:p>
            <w:pPr>
              <w:spacing w:after="0"/>
              <w:rPr>
                <w:sz w:val="22"/>
                <w:szCs w:val="22"/>
                <w:color w:val="auto"/>
              </w:rPr>
            </w:pPr>
          </w:p>
        </w:tc>
        <w:tc>
          <w:tcPr>
            <w:tcW w:w="1400" w:type="dxa"/>
            <w:vAlign w:val="bottom"/>
            <w:gridSpan w:val="2"/>
          </w:tcPr>
          <w:p>
            <w:pPr>
              <w:jc w:val="right"/>
              <w:ind w:right="200"/>
              <w:spacing w:after="0" w:line="263" w:lineRule="exact"/>
              <w:rPr>
                <w:sz w:val="20"/>
                <w:szCs w:val="20"/>
                <w:color w:val="auto"/>
              </w:rPr>
            </w:pPr>
            <w:r>
              <w:rPr>
                <w:rFonts w:ascii="Times New Roman" w:cs="Times New Roman" w:eastAsia="Times New Roman" w:hAnsi="Times New Roman"/>
                <w:sz w:val="13"/>
                <w:szCs w:val="13"/>
                <w:color w:val="auto"/>
              </w:rPr>
              <w:t xml:space="preserve">(3,107 </w:t>
            </w:r>
            <w:r>
              <w:rPr>
                <w:rFonts w:ascii="Times New Roman" w:cs="Times New Roman" w:eastAsia="Times New Roman" w:hAnsi="Times New Roman"/>
                <w:sz w:val="26"/>
                <w:szCs w:val="26"/>
                <w:color w:val="auto"/>
                <w:vertAlign w:val="subscript"/>
              </w:rPr>
              <w:t>)</w:t>
            </w:r>
          </w:p>
        </w:tc>
        <w:tc>
          <w:tcPr>
            <w:tcW w:w="920" w:type="dxa"/>
            <w:vAlign w:val="bottom"/>
          </w:tcPr>
          <w:p>
            <w:pPr>
              <w:spacing w:after="0"/>
              <w:rPr>
                <w:sz w:val="22"/>
                <w:szCs w:val="22"/>
                <w:color w:val="auto"/>
              </w:rPr>
            </w:pPr>
          </w:p>
        </w:tc>
        <w:tc>
          <w:tcPr>
            <w:tcW w:w="640" w:type="dxa"/>
            <w:vAlign w:val="bottom"/>
            <w:gridSpan w:val="2"/>
          </w:tcPr>
          <w:p>
            <w:pPr>
              <w:jc w:val="right"/>
              <w:ind w:right="40"/>
              <w:spacing w:after="0" w:line="263" w:lineRule="exact"/>
              <w:rPr>
                <w:sz w:val="20"/>
                <w:szCs w:val="20"/>
                <w:color w:val="auto"/>
              </w:rPr>
            </w:pPr>
            <w:r>
              <w:rPr>
                <w:rFonts w:ascii="Times New Roman" w:cs="Times New Roman" w:eastAsia="Times New Roman" w:hAnsi="Times New Roman"/>
                <w:sz w:val="13"/>
                <w:szCs w:val="13"/>
                <w:color w:val="auto"/>
              </w:rPr>
              <w:t xml:space="preserve">(3,464 </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44"/>
        </w:trPr>
        <w:tc>
          <w:tcPr>
            <w:tcW w:w="726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Base management fee payable, net</w:t>
            </w:r>
          </w:p>
        </w:tc>
        <w:tc>
          <w:tcPr>
            <w:tcW w:w="34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6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(856 )</w:t>
            </w:r>
          </w:p>
        </w:tc>
        <w:tc>
          <w:tcPr>
            <w:tcW w:w="0" w:type="dxa"/>
            <w:vAlign w:val="bottom"/>
          </w:tcPr>
          <w:p>
            <w:pPr>
              <w:spacing w:after="0"/>
              <w:rPr>
                <w:sz w:val="1"/>
                <w:szCs w:val="1"/>
                <w:color w:val="auto"/>
              </w:rPr>
            </w:pPr>
          </w:p>
        </w:tc>
      </w:tr>
      <w:tr>
        <w:trPr>
          <w:trHeight w:val="176"/>
        </w:trPr>
        <w:tc>
          <w:tcPr>
            <w:tcW w:w="72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Incentive fee payable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Deferred tax liability</w:t>
            </w:r>
          </w:p>
        </w:tc>
        <w:tc>
          <w:tcPr>
            <w:tcW w:w="34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CFF"/>
          </w:tcPr>
          <w:p>
            <w:pPr>
              <w:spacing w:after="0"/>
              <w:rPr>
                <w:sz w:val="16"/>
                <w:szCs w:val="16"/>
                <w:color w:val="auto"/>
              </w:rPr>
            </w:pPr>
          </w:p>
        </w:tc>
        <w:tc>
          <w:tcPr>
            <w:tcW w:w="6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(896 )</w:t>
            </w:r>
          </w:p>
        </w:tc>
        <w:tc>
          <w:tcPr>
            <w:tcW w:w="0" w:type="dxa"/>
            <w:vAlign w:val="bottom"/>
          </w:tcPr>
          <w:p>
            <w:pPr>
              <w:spacing w:after="0"/>
              <w:rPr>
                <w:sz w:val="1"/>
                <w:szCs w:val="1"/>
                <w:color w:val="auto"/>
              </w:rPr>
            </w:pPr>
          </w:p>
        </w:tc>
      </w:tr>
      <w:tr>
        <w:trPr>
          <w:trHeight w:val="176"/>
        </w:trPr>
        <w:tc>
          <w:tcPr>
            <w:tcW w:w="72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(3,536 )</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98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34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(167,739 )</w:t>
            </w: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115,721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Proceeds from public offering</w:t>
            </w:r>
          </w:p>
        </w:tc>
        <w:tc>
          <w:tcPr>
            <w:tcW w:w="3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260" w:type="dxa"/>
            <w:vAlign w:val="bottom"/>
            <w:shd w:val="clear" w:color="auto" w:fill="CCECFF"/>
          </w:tcPr>
          <w:p>
            <w:pPr>
              <w:spacing w:after="0"/>
              <w:rPr>
                <w:sz w:val="15"/>
                <w:szCs w:val="15"/>
                <w:color w:val="auto"/>
              </w:rPr>
            </w:pPr>
          </w:p>
        </w:tc>
        <w:tc>
          <w:tcPr>
            <w:tcW w:w="920" w:type="dxa"/>
            <w:vAlign w:val="bottom"/>
            <w:shd w:val="clear" w:color="auto" w:fill="CCECFF"/>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Offering costs</w:t>
            </w: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(250 )</w:t>
            </w:r>
          </w:p>
        </w:tc>
        <w:tc>
          <w:tcPr>
            <w:tcW w:w="92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Distributions paid to stockholders</w:t>
            </w:r>
          </w:p>
        </w:tc>
        <w:tc>
          <w:tcPr>
            <w:tcW w:w="34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(50,222 )</w:t>
            </w:r>
          </w:p>
        </w:tc>
        <w:tc>
          <w:tcPr>
            <w:tcW w:w="920" w:type="dxa"/>
            <w:vAlign w:val="bottom"/>
            <w:shd w:val="clear" w:color="auto" w:fill="CCECFF"/>
          </w:tcPr>
          <w:p>
            <w:pPr>
              <w:spacing w:after="0"/>
              <w:rPr>
                <w:sz w:val="16"/>
                <w:szCs w:val="16"/>
                <w:color w:val="auto"/>
              </w:rPr>
            </w:pPr>
          </w:p>
        </w:tc>
        <w:tc>
          <w:tcPr>
            <w:tcW w:w="6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(32,612 )</w:t>
            </w:r>
          </w:p>
        </w:tc>
        <w:tc>
          <w:tcPr>
            <w:tcW w:w="0" w:type="dxa"/>
            <w:vAlign w:val="bottom"/>
          </w:tcPr>
          <w:p>
            <w:pPr>
              <w:spacing w:after="0"/>
              <w:rPr>
                <w:sz w:val="1"/>
                <w:szCs w:val="1"/>
                <w:color w:val="auto"/>
              </w:rPr>
            </w:pPr>
          </w:p>
        </w:tc>
      </w:tr>
      <w:tr>
        <w:trPr>
          <w:trHeight w:val="17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Repayments under SBA debetures</w:t>
            </w:r>
          </w:p>
        </w:tc>
        <w:tc>
          <w:tcPr>
            <w:tcW w:w="34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(20,000 )</w:t>
            </w:r>
          </w:p>
        </w:tc>
        <w:tc>
          <w:tcPr>
            <w:tcW w:w="0" w:type="dxa"/>
            <w:vAlign w:val="bottom"/>
          </w:tcPr>
          <w:p>
            <w:pPr>
              <w:spacing w:after="0"/>
              <w:rPr>
                <w:sz w:val="1"/>
                <w:szCs w:val="1"/>
                <w:color w:val="auto"/>
              </w:rPr>
            </w:pPr>
          </w:p>
        </w:tc>
      </w:tr>
      <w:tr>
        <w:trPr>
          <w:trHeight w:val="184"/>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Borrowings under Truist Credit Facility</w:t>
            </w:r>
          </w:p>
        </w:tc>
        <w:tc>
          <w:tcPr>
            <w:tcW w:w="34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423,036</w:t>
            </w: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122,500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Repayments under Truist Credit Facility</w:t>
            </w:r>
          </w:p>
        </w:tc>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(185,000 )</w:t>
            </w: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(194,000 )</w:t>
            </w:r>
          </w:p>
        </w:tc>
        <w:tc>
          <w:tcPr>
            <w:tcW w:w="0" w:type="dxa"/>
            <w:vAlign w:val="bottom"/>
          </w:tcPr>
          <w:p>
            <w:pPr>
              <w:spacing w:after="0"/>
              <w:rPr>
                <w:sz w:val="1"/>
                <w:szCs w:val="1"/>
                <w:color w:val="auto"/>
              </w:rPr>
            </w:pPr>
          </w:p>
        </w:tc>
      </w:tr>
      <w:tr>
        <w:trPr>
          <w:trHeight w:val="136"/>
        </w:trPr>
        <w:tc>
          <w:tcPr>
            <w:tcW w:w="7260" w:type="dxa"/>
            <w:vAlign w:val="bottom"/>
            <w:vMerge w:val="restart"/>
            <w:shd w:val="clear" w:color="auto" w:fill="CCECFF"/>
          </w:tcPr>
          <w:p>
            <w:pPr>
              <w:ind w:left="98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340" w:type="dxa"/>
            <w:vAlign w:val="bottom"/>
            <w:shd w:val="clear" w:color="auto" w:fill="CCECFF"/>
          </w:tcPr>
          <w:p>
            <w:pPr>
              <w:spacing w:after="0"/>
              <w:rPr>
                <w:sz w:val="11"/>
                <w:szCs w:val="11"/>
                <w:color w:val="auto"/>
              </w:rPr>
            </w:pPr>
          </w:p>
        </w:tc>
        <w:tc>
          <w:tcPr>
            <w:tcW w:w="11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188,116</w:t>
            </w:r>
          </w:p>
        </w:tc>
        <w:tc>
          <w:tcPr>
            <w:tcW w:w="2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640" w:type="dxa"/>
            <w:vAlign w:val="bottom"/>
            <w:gridSpan w:val="2"/>
            <w:shd w:val="clear" w:color="auto" w:fill="CCECFF"/>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260" w:type="dxa"/>
            <w:vAlign w:val="bottom"/>
            <w:vMerge w:val="continue"/>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vMerge w:val="continue"/>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(124,112</w:t>
            </w:r>
          </w:p>
        </w:tc>
        <w:tc>
          <w:tcPr>
            <w:tcW w:w="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equivalents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20,377</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(8,391 )</w:t>
            </w:r>
          </w:p>
        </w:tc>
        <w:tc>
          <w:tcPr>
            <w:tcW w:w="0" w:type="dxa"/>
            <w:vAlign w:val="bottom"/>
          </w:tcPr>
          <w:p>
            <w:pPr>
              <w:spacing w:after="0"/>
              <w:rPr>
                <w:sz w:val="1"/>
                <w:szCs w:val="1"/>
                <w:color w:val="auto"/>
              </w:rPr>
            </w:pPr>
          </w:p>
        </w:tc>
      </w:tr>
      <w:tr>
        <w:trPr>
          <w:trHeight w:val="183"/>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34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beginning of period</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54,775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end of period</w:t>
            </w:r>
          </w:p>
        </w:tc>
        <w:tc>
          <w:tcPr>
            <w:tcW w:w="340" w:type="dxa"/>
            <w:vAlign w:val="bottom"/>
            <w:tcBorders>
              <w:bottom w:val="single" w:sz="8" w:color="auto"/>
            </w:tcBorders>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59,152</w:t>
            </w:r>
          </w:p>
        </w:tc>
        <w:tc>
          <w:tcPr>
            <w:tcW w:w="26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auto"/>
            </w:tcBorders>
            <w:shd w:val="clear" w:color="auto" w:fill="CCECFF"/>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46,659</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726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paid</w:t>
            </w:r>
          </w:p>
        </w:tc>
        <w:tc>
          <w:tcPr>
            <w:tcW w:w="340" w:type="dxa"/>
            <w:vAlign w:val="bottom"/>
            <w:tcBorders>
              <w:bottom w:val="single" w:sz="8" w:color="CCECFF"/>
            </w:tcBorders>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34,697</w:t>
            </w:r>
          </w:p>
        </w:tc>
        <w:tc>
          <w:tcPr>
            <w:tcW w:w="260" w:type="dxa"/>
            <w:vAlign w:val="bottom"/>
            <w:tcBorders>
              <w:bottom w:val="single" w:sz="8" w:color="CCECFF"/>
            </w:tcBorders>
            <w:shd w:val="clear" w:color="auto" w:fill="CCECFF"/>
          </w:tcPr>
          <w:p>
            <w:pPr>
              <w:spacing w:after="0"/>
              <w:rPr>
                <w:sz w:val="23"/>
                <w:szCs w:val="23"/>
                <w:color w:val="auto"/>
              </w:rPr>
            </w:pPr>
          </w:p>
        </w:tc>
        <w:tc>
          <w:tcPr>
            <w:tcW w:w="920" w:type="dxa"/>
            <w:vAlign w:val="bottom"/>
            <w:tcBorders>
              <w:bottom w:val="single" w:sz="8" w:color="CCECFF"/>
            </w:tcBorders>
            <w:shd w:val="clear" w:color="auto" w:fill="CCECFF"/>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32,578</w:t>
            </w:r>
          </w:p>
        </w:tc>
        <w:tc>
          <w:tcPr>
            <w:tcW w:w="80" w:type="dxa"/>
            <w:vAlign w:val="bottom"/>
            <w:tcBorders>
              <w:bottom w:val="single" w:sz="8" w:color="CCECFF"/>
            </w:tcBorders>
            <w:shd w:val="clear" w:color="auto" w:fill="CCECFF"/>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7260" w:type="dxa"/>
            <w:vAlign w:val="bottom"/>
            <w:tcBorders>
              <w:top w:val="single" w:sz="8" w:color="CCECFF"/>
            </w:tcBorders>
          </w:tcPr>
          <w:p>
            <w:pPr>
              <w:ind w:left="180"/>
              <w:spacing w:after="0"/>
              <w:rPr>
                <w:sz w:val="20"/>
                <w:szCs w:val="20"/>
                <w:color w:val="auto"/>
              </w:rPr>
            </w:pPr>
            <w:r>
              <w:rPr>
                <w:rFonts w:ascii="Times New Roman" w:cs="Times New Roman" w:eastAsia="Times New Roman" w:hAnsi="Times New Roman"/>
                <w:sz w:val="13"/>
                <w:szCs w:val="13"/>
                <w:color w:val="auto"/>
              </w:rPr>
              <w:t>Taxes paid</w:t>
            </w:r>
          </w:p>
        </w:tc>
        <w:tc>
          <w:tcPr>
            <w:tcW w:w="34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6,308</w:t>
            </w:r>
          </w:p>
        </w:tc>
        <w:tc>
          <w:tcPr>
            <w:tcW w:w="260" w:type="dxa"/>
            <w:vAlign w:val="bottom"/>
            <w:tcBorders>
              <w:top w:val="single" w:sz="8" w:color="CCECFF"/>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80" w:type="dxa"/>
            <w:vAlign w:val="bottom"/>
            <w:tcBorders>
              <w:top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Non-cash exchanges and conversions</w:t>
            </w:r>
          </w:p>
        </w:tc>
        <w:tc>
          <w:tcPr>
            <w:tcW w:w="340" w:type="dxa"/>
            <w:vAlign w:val="bottom"/>
            <w:tcBorders>
              <w:bottom w:val="single" w:sz="8" w:color="auto"/>
            </w:tcBorders>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28,835</w:t>
            </w:r>
          </w:p>
        </w:tc>
        <w:tc>
          <w:tcPr>
            <w:tcW w:w="260" w:type="dxa"/>
            <w:vAlign w:val="bottom"/>
            <w:tcBorders>
              <w:bottom w:val="single" w:sz="8" w:color="CCECFF"/>
            </w:tcBorders>
            <w:shd w:val="clear" w:color="auto" w:fill="CCECFF"/>
          </w:tcPr>
          <w:p>
            <w:pPr>
              <w:spacing w:after="0"/>
              <w:rPr>
                <w:sz w:val="17"/>
                <w:szCs w:val="17"/>
                <w:color w:val="auto"/>
              </w:rPr>
            </w:pPr>
          </w:p>
        </w:tc>
        <w:tc>
          <w:tcPr>
            <w:tcW w:w="920" w:type="dxa"/>
            <w:vAlign w:val="bottom"/>
            <w:tcBorders>
              <w:bottom w:val="single" w:sz="8" w:color="auto"/>
            </w:tcBorders>
            <w:shd w:val="clear" w:color="auto" w:fill="CCECFF"/>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15,720</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tcPr>
          <w:p>
            <w:pPr>
              <w:spacing w:after="0"/>
              <w:rPr>
                <w:sz w:val="10"/>
                <w:szCs w:val="10"/>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140" w:type="dxa"/>
            <w:vAlign w:val="bottom"/>
          </w:tcPr>
          <w:p>
            <w:pPr>
              <w:spacing w:after="0"/>
              <w:rPr>
                <w:sz w:val="10"/>
                <w:szCs w:val="10"/>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140" w:type="dxa"/>
            <w:vAlign w:val="bottom"/>
          </w:tcPr>
          <w:p>
            <w:pPr>
              <w:ind w:left="86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20" w:type="dxa"/>
            <w:vAlign w:val="bottom"/>
          </w:tcPr>
          <w:p>
            <w:pPr>
              <w:jc w:val="center"/>
              <w:ind w:right="9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0" w:type="dxa"/>
            <w:vAlign w:val="bottom"/>
          </w:tcPr>
          <w:p>
            <w:pPr>
              <w:spacing w:after="0"/>
              <w:rPr>
                <w:sz w:val="11"/>
                <w:szCs w:val="11"/>
                <w:color w:val="auto"/>
              </w:rPr>
            </w:pPr>
          </w:p>
        </w:tc>
        <w:tc>
          <w:tcPr>
            <w:tcW w:w="4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1"/>
                <w:szCs w:val="11"/>
                <w:color w:val="auto"/>
              </w:rPr>
            </w:pPr>
          </w:p>
        </w:tc>
        <w:tc>
          <w:tcPr>
            <w:tcW w:w="700" w:type="dxa"/>
            <w:vAlign w:val="bottom"/>
          </w:tcPr>
          <w:p>
            <w:pPr>
              <w:jc w:val="right"/>
              <w:ind w:right="112"/>
              <w:spacing w:after="0" w:line="134"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(3)</w:t>
            </w:r>
          </w:p>
        </w:tc>
        <w:tc>
          <w:tcPr>
            <w:tcW w:w="0" w:type="dxa"/>
            <w:vAlign w:val="bottom"/>
          </w:tcPr>
          <w:p>
            <w:pPr>
              <w:spacing w:after="0"/>
              <w:rPr>
                <w:sz w:val="1"/>
                <w:szCs w:val="1"/>
                <w:color w:val="auto"/>
              </w:rPr>
            </w:pPr>
          </w:p>
        </w:tc>
      </w:tr>
      <w:tr>
        <w:trPr>
          <w:trHeight w:val="131"/>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in Non-Controlled, Non-Affiliated Portfolio Companies</w:t>
            </w:r>
          </w:p>
        </w:tc>
        <w:tc>
          <w:tcPr>
            <w:tcW w:w="1000" w:type="dxa"/>
            <w:vAlign w:val="bottom"/>
            <w:shd w:val="clear" w:color="auto" w:fill="CCECFF"/>
          </w:tcPr>
          <w:p>
            <w:pPr>
              <w:spacing w:after="0"/>
              <w:rPr>
                <w:sz w:val="11"/>
                <w:szCs w:val="11"/>
                <w:color w:val="auto"/>
              </w:rPr>
            </w:pPr>
          </w:p>
        </w:tc>
        <w:tc>
          <w:tcPr>
            <w:tcW w:w="2140" w:type="dxa"/>
            <w:vAlign w:val="bottom"/>
            <w:shd w:val="clear" w:color="auto" w:fill="CCECFF"/>
          </w:tcPr>
          <w:p>
            <w:pPr>
              <w:spacing w:after="0"/>
              <w:rPr>
                <w:sz w:val="11"/>
                <w:szCs w:val="11"/>
                <w:color w:val="auto"/>
              </w:rPr>
            </w:pPr>
          </w:p>
        </w:tc>
        <w:tc>
          <w:tcPr>
            <w:tcW w:w="10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20" w:type="dxa"/>
            <w:vAlign w:val="bottom"/>
            <w:shd w:val="clear" w:color="auto" w:fill="CCECFF"/>
          </w:tcPr>
          <w:p>
            <w:pPr>
              <w:ind w:left="20"/>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—173.9% of Net Assets </w:t>
            </w:r>
            <w:r>
              <w:rPr>
                <w:rFonts w:ascii="Times New Roman" w:cs="Times New Roman" w:eastAsia="Times New Roman" w:hAnsi="Times New Roman"/>
                <w:sz w:val="12"/>
                <w:szCs w:val="12"/>
                <w:b w:val="1"/>
                <w:bCs w:val="1"/>
                <w:color w:val="auto"/>
                <w:vertAlign w:val="superscript"/>
              </w:rPr>
              <w:t>(1), (2)</w:t>
            </w:r>
          </w:p>
        </w:tc>
        <w:tc>
          <w:tcPr>
            <w:tcW w:w="1000" w:type="dxa"/>
            <w:vAlign w:val="bottom"/>
            <w:shd w:val="clear" w:color="auto" w:fill="CCECFF"/>
          </w:tcPr>
          <w:p>
            <w:pPr>
              <w:spacing w:after="0"/>
              <w:rPr>
                <w:sz w:val="11"/>
                <w:szCs w:val="11"/>
                <w:color w:val="auto"/>
              </w:rPr>
            </w:pPr>
          </w:p>
        </w:tc>
        <w:tc>
          <w:tcPr>
            <w:tcW w:w="2140" w:type="dxa"/>
            <w:vAlign w:val="bottom"/>
            <w:shd w:val="clear" w:color="auto" w:fill="CCECFF"/>
          </w:tcPr>
          <w:p>
            <w:pPr>
              <w:spacing w:after="0"/>
              <w:rPr>
                <w:sz w:val="11"/>
                <w:szCs w:val="11"/>
                <w:color w:val="auto"/>
              </w:rPr>
            </w:pPr>
          </w:p>
        </w:tc>
        <w:tc>
          <w:tcPr>
            <w:tcW w:w="10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Debt—115.7% of Net Assets</w:t>
            </w:r>
          </w:p>
        </w:tc>
        <w:tc>
          <w:tcPr>
            <w:tcW w:w="10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12/22/2028</w:t>
            </w:r>
          </w:p>
        </w:tc>
        <w:tc>
          <w:tcPr>
            <w:tcW w:w="21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11.44 %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SOFR+610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5,105</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5,042</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5,105</w:t>
            </w:r>
          </w:p>
        </w:tc>
        <w:tc>
          <w:tcPr>
            <w:tcW w:w="0" w:type="dxa"/>
            <w:vAlign w:val="bottom"/>
          </w:tcPr>
          <w:p>
            <w:pPr>
              <w:spacing w:after="0"/>
              <w:rPr>
                <w:sz w:val="1"/>
                <w:szCs w:val="1"/>
                <w:color w:val="auto"/>
              </w:rPr>
            </w:pP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A1 Garage Merger Sub, LLC - Unfunded Term Loan </w:t>
            </w:r>
            <w:r>
              <w:rPr>
                <w:rFonts w:ascii="Times New Roman" w:cs="Times New Roman" w:eastAsia="Times New Roman" w:hAnsi="Times New Roman"/>
                <w:sz w:val="12"/>
                <w:szCs w:val="12"/>
                <w:color w:val="auto"/>
                <w:vertAlign w:val="superscript"/>
              </w:rPr>
              <w:t>(8)</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12/21/2024</w:t>
            </w:r>
          </w:p>
        </w:tc>
        <w:tc>
          <w:tcPr>
            <w:tcW w:w="21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1,788</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w:t>
            </w:r>
          </w:p>
        </w:tc>
        <w:tc>
          <w:tcPr>
            <w:tcW w:w="0" w:type="dxa"/>
            <w:vAlign w:val="bottom"/>
          </w:tcPr>
          <w:p>
            <w:pPr>
              <w:spacing w:after="0"/>
              <w:rPr>
                <w:sz w:val="1"/>
                <w:szCs w:val="1"/>
                <w:color w:val="auto"/>
              </w:rPr>
            </w:pP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A1 Garage Merger Sub, LLC - Revolver </w:t>
            </w:r>
            <w:r>
              <w:rPr>
                <w:rFonts w:ascii="Times New Roman" w:cs="Times New Roman" w:eastAsia="Times New Roman" w:hAnsi="Times New Roman"/>
                <w:sz w:val="12"/>
                <w:szCs w:val="12"/>
                <w:color w:val="auto"/>
                <w:vertAlign w:val="superscript"/>
              </w:rPr>
              <w:t>(8)</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12/22/2028</w:t>
            </w:r>
          </w:p>
        </w:tc>
        <w:tc>
          <w:tcPr>
            <w:tcW w:w="21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2,532</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10/02/2029</w:t>
            </w:r>
          </w:p>
        </w:tc>
        <w:tc>
          <w:tcPr>
            <w:tcW w:w="21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10.57 %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SOFR+525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1,247</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1,209</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ACP Avenu Buyer, LLC - Unfunded Term Loan </w:t>
            </w:r>
            <w:r>
              <w:rPr>
                <w:rFonts w:ascii="Times New Roman" w:cs="Times New Roman" w:eastAsia="Times New Roman" w:hAnsi="Times New Roman"/>
                <w:sz w:val="12"/>
                <w:szCs w:val="12"/>
                <w:color w:val="auto"/>
                <w:vertAlign w:val="superscript"/>
              </w:rPr>
              <w:t>(8)</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04/02/2025</w:t>
            </w:r>
          </w:p>
        </w:tc>
        <w:tc>
          <w:tcPr>
            <w:tcW w:w="21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1,799</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(29 )</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 - Revolver</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10/02/2029</w:t>
            </w:r>
          </w:p>
        </w:tc>
        <w:tc>
          <w:tcPr>
            <w:tcW w:w="21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10.58 %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SOFR+525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ACP Avenu Buyer, LLC - Revolver </w:t>
            </w:r>
            <w:r>
              <w:rPr>
                <w:rFonts w:ascii="Times New Roman" w:cs="Times New Roman" w:eastAsia="Times New Roman" w:hAnsi="Times New Roman"/>
                <w:sz w:val="12"/>
                <w:szCs w:val="12"/>
                <w:color w:val="auto"/>
                <w:vertAlign w:val="superscript"/>
              </w:rPr>
              <w:t>(8)</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10/02/2029</w:t>
            </w:r>
          </w:p>
        </w:tc>
        <w:tc>
          <w:tcPr>
            <w:tcW w:w="21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1,069</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(32 )</w:t>
            </w:r>
          </w:p>
        </w:tc>
        <w:tc>
          <w:tcPr>
            <w:tcW w:w="0" w:type="dxa"/>
            <w:vAlign w:val="bottom"/>
          </w:tcPr>
          <w:p>
            <w:pPr>
              <w:spacing w:after="0"/>
              <w:rPr>
                <w:sz w:val="1"/>
                <w:szCs w:val="1"/>
                <w:color w:val="auto"/>
              </w:rPr>
            </w:pP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ACP Falcon Buyer, Inc. - Revolver </w:t>
            </w:r>
            <w:r>
              <w:rPr>
                <w:rFonts w:ascii="Times New Roman" w:cs="Times New Roman" w:eastAsia="Times New Roman" w:hAnsi="Times New Roman"/>
                <w:sz w:val="12"/>
                <w:szCs w:val="12"/>
                <w:color w:val="auto"/>
                <w:vertAlign w:val="superscript"/>
              </w:rPr>
              <w:t>(8)</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08/01/2029</w:t>
            </w:r>
          </w:p>
        </w:tc>
        <w:tc>
          <w:tcPr>
            <w:tcW w:w="21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2,533</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Ad.net Acquisition, LLC - Revolver </w:t>
            </w:r>
            <w:r>
              <w:rPr>
                <w:rFonts w:ascii="Times New Roman" w:cs="Times New Roman" w:eastAsia="Times New Roman" w:hAnsi="Times New Roman"/>
                <w:sz w:val="12"/>
                <w:szCs w:val="12"/>
                <w:color w:val="auto"/>
                <w:vertAlign w:val="superscript"/>
              </w:rPr>
              <w:t>(8)</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05/07/2026</w:t>
            </w:r>
          </w:p>
        </w:tc>
        <w:tc>
          <w:tcPr>
            <w:tcW w:w="21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444</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Adweek Purchaser, LLC</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05/30/2027</w:t>
            </w:r>
          </w:p>
        </w:tc>
        <w:tc>
          <w:tcPr>
            <w:tcW w:w="21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12.33 %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SOFR+700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2,000</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1,961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1,960</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Adweek Purchaser, LLC - Unfunded Term Loan </w:t>
            </w:r>
            <w:r>
              <w:rPr>
                <w:rFonts w:ascii="Times New Roman" w:cs="Times New Roman" w:eastAsia="Times New Roman" w:hAnsi="Times New Roman"/>
                <w:sz w:val="12"/>
                <w:szCs w:val="12"/>
                <w:color w:val="auto"/>
                <w:vertAlign w:val="superscript"/>
              </w:rPr>
              <w:t>(8)</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11/30/2025</w:t>
            </w:r>
          </w:p>
        </w:tc>
        <w:tc>
          <w:tcPr>
            <w:tcW w:w="21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400</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 xml:space="preserve">Aeronix, Inc. - Revolver </w:t>
            </w:r>
            <w:r>
              <w:rPr>
                <w:rFonts w:ascii="Times New Roman" w:cs="Times New Roman" w:eastAsia="Times New Roman" w:hAnsi="Times New Roman"/>
                <w:sz w:val="12"/>
                <w:szCs w:val="12"/>
                <w:color w:val="auto"/>
                <w:vertAlign w:val="superscript"/>
              </w:rPr>
              <w:t>(8)</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12/12/2028</w:t>
            </w:r>
          </w:p>
        </w:tc>
        <w:tc>
          <w:tcPr>
            <w:tcW w:w="214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60" w:type="dxa"/>
            <w:vAlign w:val="bottom"/>
            <w:vMerge w:val="restart"/>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2,489</w:t>
            </w:r>
          </w:p>
        </w:tc>
        <w:tc>
          <w:tcPr>
            <w:tcW w:w="200" w:type="dxa"/>
            <w:vAlign w:val="bottom"/>
          </w:tcPr>
          <w:p>
            <w:pPr>
              <w:spacing w:after="0"/>
              <w:rPr>
                <w:sz w:val="11"/>
                <w:szCs w:val="11"/>
                <w:color w:val="auto"/>
              </w:rPr>
            </w:pPr>
          </w:p>
        </w:tc>
        <w:tc>
          <w:tcPr>
            <w:tcW w:w="4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80"/>
        </w:trPr>
        <w:tc>
          <w:tcPr>
            <w:tcW w:w="31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21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AFC Dell Holding Corp.</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04/09/2027</w:t>
            </w:r>
          </w:p>
        </w:tc>
        <w:tc>
          <w:tcPr>
            <w:tcW w:w="21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11.75 %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SOFR+640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13,340</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13,340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13,206</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Atlas Purchaser, Inc. - Third Out</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05/06/2028</w:t>
            </w:r>
          </w:p>
        </w:tc>
        <w:tc>
          <w:tcPr>
            <w:tcW w:w="21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12.46 %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SOFR+700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8,840</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7,440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7,717</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Atlas Purchaser, Inc. - Fourth Out</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05/06/2028</w:t>
            </w:r>
          </w:p>
        </w:tc>
        <w:tc>
          <w:tcPr>
            <w:tcW w:w="21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12.46 %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SOFR+700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4,760</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655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652</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Holdings Inc (fka MeritDirect)</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06/30/2026</w:t>
            </w:r>
          </w:p>
        </w:tc>
        <w:tc>
          <w:tcPr>
            <w:tcW w:w="21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11.23 %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SOFR+590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1,189</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1,189</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 - Funded Revolver</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06/30/2026</w:t>
            </w:r>
          </w:p>
        </w:tc>
        <w:tc>
          <w:tcPr>
            <w:tcW w:w="21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11.18 %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SOFR+585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230</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w:t>
            </w:r>
          </w:p>
        </w:tc>
        <w:tc>
          <w:tcPr>
            <w:tcW w:w="0" w:type="dxa"/>
            <w:vAlign w:val="bottom"/>
          </w:tcPr>
          <w:p>
            <w:pPr>
              <w:spacing w:after="0"/>
              <w:rPr>
                <w:sz w:val="1"/>
                <w:szCs w:val="1"/>
                <w:color w:val="auto"/>
              </w:rPr>
            </w:pP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Anteriad, LLC (f/k/a MeritDirect, LLC) - Revolver </w:t>
            </w:r>
            <w:r>
              <w:rPr>
                <w:rFonts w:ascii="Times New Roman" w:cs="Times New Roman" w:eastAsia="Times New Roman" w:hAnsi="Times New Roman"/>
                <w:sz w:val="12"/>
                <w:szCs w:val="12"/>
                <w:color w:val="auto"/>
                <w:vertAlign w:val="superscript"/>
              </w:rPr>
              <w:t>(8)</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06/30/2026</w:t>
            </w:r>
          </w:p>
        </w:tc>
        <w:tc>
          <w:tcPr>
            <w:tcW w:w="21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1,382</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12/29/2026</w:t>
            </w:r>
          </w:p>
        </w:tc>
        <w:tc>
          <w:tcPr>
            <w:tcW w:w="21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11.23 %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SOFR+585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1,991</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1,961</w:t>
            </w:r>
          </w:p>
        </w:tc>
        <w:tc>
          <w:tcPr>
            <w:tcW w:w="0" w:type="dxa"/>
            <w:vAlign w:val="bottom"/>
          </w:tcPr>
          <w:p>
            <w:pPr>
              <w:spacing w:after="0"/>
              <w:rPr>
                <w:sz w:val="1"/>
                <w:szCs w:val="1"/>
                <w:color w:val="auto"/>
              </w:rPr>
            </w:pP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Applied Technical Services, LLC - Unfunded Term Loan </w:t>
            </w:r>
            <w:r>
              <w:rPr>
                <w:rFonts w:ascii="Times New Roman" w:cs="Times New Roman" w:eastAsia="Times New Roman" w:hAnsi="Times New Roman"/>
                <w:sz w:val="12"/>
                <w:szCs w:val="12"/>
                <w:color w:val="auto"/>
                <w:vertAlign w:val="superscript"/>
              </w:rPr>
              <w:t>(8)</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07/17/2025</w:t>
            </w:r>
          </w:p>
        </w:tc>
        <w:tc>
          <w:tcPr>
            <w:tcW w:w="21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2,637</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 Revolver</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12/29/2026</w:t>
            </w:r>
          </w:p>
        </w:tc>
        <w:tc>
          <w:tcPr>
            <w:tcW w:w="21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13.25 %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SOFR+475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1,081</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1,081</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1,065</w:t>
            </w:r>
          </w:p>
        </w:tc>
        <w:tc>
          <w:tcPr>
            <w:tcW w:w="0" w:type="dxa"/>
            <w:vAlign w:val="bottom"/>
          </w:tcPr>
          <w:p>
            <w:pPr>
              <w:spacing w:after="0"/>
              <w:rPr>
                <w:sz w:val="1"/>
                <w:szCs w:val="1"/>
                <w:color w:val="auto"/>
              </w:rPr>
            </w:pP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Applied Technical Services, LLC - Revolver </w:t>
            </w:r>
            <w:r>
              <w:rPr>
                <w:rFonts w:ascii="Times New Roman" w:cs="Times New Roman" w:eastAsia="Times New Roman" w:hAnsi="Times New Roman"/>
                <w:sz w:val="12"/>
                <w:szCs w:val="12"/>
                <w:color w:val="auto"/>
                <w:vertAlign w:val="superscript"/>
              </w:rPr>
              <w:t>(8)</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12/29/2026</w:t>
            </w:r>
          </w:p>
        </w:tc>
        <w:tc>
          <w:tcPr>
            <w:tcW w:w="21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721</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92"/>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Arcfield Acquisition Corp. - Revolver </w:t>
            </w:r>
            <w:r>
              <w:rPr>
                <w:rFonts w:ascii="Times New Roman" w:cs="Times New Roman" w:eastAsia="Times New Roman" w:hAnsi="Times New Roman"/>
                <w:sz w:val="12"/>
                <w:szCs w:val="12"/>
                <w:color w:val="auto"/>
                <w:vertAlign w:val="superscript"/>
              </w:rPr>
              <w:t>(8)</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08/04/2028</w:t>
            </w:r>
          </w:p>
        </w:tc>
        <w:tc>
          <w:tcPr>
            <w:tcW w:w="21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3,521</w:t>
            </w:r>
          </w:p>
        </w:tc>
        <w:tc>
          <w:tcPr>
            <w:tcW w:w="200" w:type="dxa"/>
            <w:vAlign w:val="bottom"/>
            <w:shd w:val="clear" w:color="auto" w:fill="CCECFF"/>
          </w:tcPr>
          <w:p>
            <w:pPr>
              <w:spacing w:after="0"/>
              <w:rPr>
                <w:sz w:val="16"/>
                <w:szCs w:val="16"/>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6"/>
                <w:szCs w:val="16"/>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Beacon Behavioral Support Service, LLC</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06/21/2029</w:t>
            </w:r>
          </w:p>
        </w:tc>
        <w:tc>
          <w:tcPr>
            <w:tcW w:w="21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10.85 %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SOFR+550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15,000</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14,775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14,775</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Beacon Behavioral Support Service, LLC - Unfunded Term Loan </w:t>
            </w:r>
            <w:r>
              <w:rPr>
                <w:rFonts w:ascii="Times New Roman" w:cs="Times New Roman" w:eastAsia="Times New Roman" w:hAnsi="Times New Roman"/>
                <w:sz w:val="12"/>
                <w:szCs w:val="12"/>
                <w:color w:val="auto"/>
                <w:vertAlign w:val="superscript"/>
              </w:rPr>
              <w:t>(8)</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12/21/2025</w:t>
            </w:r>
          </w:p>
        </w:tc>
        <w:tc>
          <w:tcPr>
            <w:tcW w:w="21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6,143</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Beacon Behavioral Support Service, LLC - Revolver </w:t>
            </w:r>
            <w:r>
              <w:rPr>
                <w:rFonts w:ascii="Times New Roman" w:cs="Times New Roman" w:eastAsia="Times New Roman" w:hAnsi="Times New Roman"/>
                <w:sz w:val="12"/>
                <w:szCs w:val="12"/>
                <w:color w:val="auto"/>
                <w:vertAlign w:val="superscript"/>
              </w:rPr>
              <w:t>(8)</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06/21/2029</w:t>
            </w:r>
          </w:p>
        </w:tc>
        <w:tc>
          <w:tcPr>
            <w:tcW w:w="21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1,206</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Berwick Industrial Park</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05/02/2024</w:t>
            </w:r>
          </w:p>
        </w:tc>
        <w:tc>
          <w:tcPr>
            <w:tcW w:w="21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Buildings and Real Estate</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11.50 %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4,000</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4,062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3,972</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07/01/2029</w:t>
            </w:r>
          </w:p>
        </w:tc>
        <w:tc>
          <w:tcPr>
            <w:tcW w:w="21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11.08 %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SOFR+575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4,925</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4,855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4,827</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Big Top Holdings, LLC - Unfunded Revolver </w:t>
            </w:r>
            <w:r>
              <w:rPr>
                <w:rFonts w:ascii="Times New Roman" w:cs="Times New Roman" w:eastAsia="Times New Roman" w:hAnsi="Times New Roman"/>
                <w:sz w:val="12"/>
                <w:szCs w:val="12"/>
                <w:color w:val="auto"/>
                <w:vertAlign w:val="superscript"/>
              </w:rPr>
              <w:t>(8)</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02/07/2030</w:t>
            </w:r>
          </w:p>
        </w:tc>
        <w:tc>
          <w:tcPr>
            <w:tcW w:w="21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1,155</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(9 )</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 - Revolver</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01/31/2028</w:t>
            </w:r>
          </w:p>
        </w:tc>
        <w:tc>
          <w:tcPr>
            <w:tcW w:w="21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11.82 %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SOFR+650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589</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582</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BioDerm, Inc. - Revolver </w:t>
            </w:r>
            <w:r>
              <w:rPr>
                <w:rFonts w:ascii="Times New Roman" w:cs="Times New Roman" w:eastAsia="Times New Roman" w:hAnsi="Times New Roman"/>
                <w:sz w:val="12"/>
                <w:szCs w:val="12"/>
                <w:color w:val="auto"/>
                <w:vertAlign w:val="superscript"/>
              </w:rPr>
              <w:t>(8)</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01/31/2028</w:t>
            </w:r>
          </w:p>
        </w:tc>
        <w:tc>
          <w:tcPr>
            <w:tcW w:w="21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482</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09/17/2026</w:t>
            </w:r>
          </w:p>
        </w:tc>
        <w:tc>
          <w:tcPr>
            <w:tcW w:w="21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11.73 %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SOFR+640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6,295</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6,251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6,247</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2140" w:type="dxa"/>
            <w:vAlign w:val="bottom"/>
            <w:shd w:val="clear" w:color="auto" w:fill="CCECFF"/>
          </w:tcPr>
          <w:p>
            <w:pPr>
              <w:spacing w:after="0"/>
              <w:rPr>
                <w:sz w:val="12"/>
                <w:szCs w:val="12"/>
                <w:color w:val="auto"/>
              </w:rPr>
            </w:pP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2.0%)</w:t>
            </w:r>
          </w:p>
        </w:tc>
        <w:tc>
          <w:tcPr>
            <w:tcW w:w="9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Blackhawk Industrial Distribution, Inc. - Unfunded Term Loan </w:t>
            </w:r>
            <w:r>
              <w:rPr>
                <w:rFonts w:ascii="Times New Roman" w:cs="Times New Roman" w:eastAsia="Times New Roman" w:hAnsi="Times New Roman"/>
                <w:sz w:val="12"/>
                <w:szCs w:val="12"/>
                <w:color w:val="auto"/>
                <w:vertAlign w:val="superscript"/>
              </w:rPr>
              <w:t>(8)</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09/17/2026</w:t>
            </w:r>
          </w:p>
        </w:tc>
        <w:tc>
          <w:tcPr>
            <w:tcW w:w="21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2,368</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 - Revolver</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09/17/2026</w:t>
            </w:r>
          </w:p>
        </w:tc>
        <w:tc>
          <w:tcPr>
            <w:tcW w:w="21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11.73 %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SOFR+640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1,487</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1,480</w:t>
            </w:r>
          </w:p>
        </w:tc>
        <w:tc>
          <w:tcPr>
            <w:tcW w:w="0" w:type="dxa"/>
            <w:vAlign w:val="bottom"/>
          </w:tcPr>
          <w:p>
            <w:pPr>
              <w:spacing w:after="0"/>
              <w:rPr>
                <w:sz w:val="1"/>
                <w:szCs w:val="1"/>
                <w:color w:val="auto"/>
              </w:rPr>
            </w:pP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Blackhawk Industrial Distribution, Inc. - Revolver </w:t>
            </w:r>
            <w:r>
              <w:rPr>
                <w:rFonts w:ascii="Times New Roman" w:cs="Times New Roman" w:eastAsia="Times New Roman" w:hAnsi="Times New Roman"/>
                <w:sz w:val="12"/>
                <w:szCs w:val="12"/>
                <w:color w:val="auto"/>
                <w:vertAlign w:val="superscript"/>
              </w:rPr>
              <w:t>(8)</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09/17/2026</w:t>
            </w:r>
          </w:p>
        </w:tc>
        <w:tc>
          <w:tcPr>
            <w:tcW w:w="21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1,945</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10/31/2025</w:t>
            </w:r>
          </w:p>
        </w:tc>
        <w:tc>
          <w:tcPr>
            <w:tcW w:w="21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10.08 %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SOFR+475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1,112</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1,096</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12/04/2025</w:t>
            </w:r>
          </w:p>
        </w:tc>
        <w:tc>
          <w:tcPr>
            <w:tcW w:w="21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11.60 %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SOFR+626</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9,589</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9,589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9,589</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Carisk Buyer, Inc. - Unfunded Term Loan </w:t>
            </w:r>
            <w:r>
              <w:rPr>
                <w:rFonts w:ascii="Times New Roman" w:cs="Times New Roman" w:eastAsia="Times New Roman" w:hAnsi="Times New Roman"/>
                <w:sz w:val="12"/>
                <w:szCs w:val="12"/>
                <w:color w:val="auto"/>
                <w:vertAlign w:val="superscript"/>
              </w:rPr>
              <w:t>(8)</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12/01/2029</w:t>
            </w:r>
          </w:p>
        </w:tc>
        <w:tc>
          <w:tcPr>
            <w:tcW w:w="21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4,813</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w:t>
            </w:r>
          </w:p>
        </w:tc>
        <w:tc>
          <w:tcPr>
            <w:tcW w:w="0" w:type="dxa"/>
            <w:vAlign w:val="bottom"/>
          </w:tcPr>
          <w:p>
            <w:pPr>
              <w:spacing w:after="0"/>
              <w:rPr>
                <w:sz w:val="1"/>
                <w:szCs w:val="1"/>
                <w:color w:val="auto"/>
              </w:rPr>
            </w:pP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Carisk Buyer, Inc. - Revolver </w:t>
            </w:r>
            <w:r>
              <w:rPr>
                <w:rFonts w:ascii="Times New Roman" w:cs="Times New Roman" w:eastAsia="Times New Roman" w:hAnsi="Times New Roman"/>
                <w:sz w:val="12"/>
                <w:szCs w:val="12"/>
                <w:color w:val="auto"/>
                <w:vertAlign w:val="superscript"/>
              </w:rPr>
              <w:t>(8)</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12/01/2029</w:t>
            </w:r>
          </w:p>
        </w:tc>
        <w:tc>
          <w:tcPr>
            <w:tcW w:w="21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1,750</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(9 )</w:t>
            </w:r>
          </w:p>
        </w:tc>
        <w:tc>
          <w:tcPr>
            <w:tcW w:w="0" w:type="dxa"/>
            <w:vAlign w:val="bottom"/>
          </w:tcPr>
          <w:p>
            <w:pPr>
              <w:spacing w:after="0"/>
              <w:rPr>
                <w:sz w:val="1"/>
                <w:szCs w:val="1"/>
                <w:color w:val="auto"/>
              </w:rPr>
            </w:pP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02/07/2030</w:t>
            </w:r>
          </w:p>
        </w:tc>
        <w:tc>
          <w:tcPr>
            <w:tcW w:w="21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8"/>
              </w:rPr>
              <w:t>Education</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10.84 %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SOFR+550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12,968</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12,776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12,773</w:t>
            </w:r>
          </w:p>
        </w:tc>
        <w:tc>
          <w:tcPr>
            <w:tcW w:w="0" w:type="dxa"/>
            <w:vAlign w:val="bottom"/>
          </w:tcPr>
          <w:p>
            <w:pPr>
              <w:spacing w:after="0"/>
              <w:rPr>
                <w:sz w:val="1"/>
                <w:szCs w:val="1"/>
                <w:color w:val="auto"/>
              </w:rPr>
            </w:pP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Carnegie Dartlet, LLC - Unfunded Term Loan </w:t>
            </w:r>
            <w:r>
              <w:rPr>
                <w:rFonts w:ascii="Times New Roman" w:cs="Times New Roman" w:eastAsia="Times New Roman" w:hAnsi="Times New Roman"/>
                <w:sz w:val="12"/>
                <w:szCs w:val="12"/>
                <w:color w:val="auto"/>
                <w:vertAlign w:val="superscript"/>
              </w:rPr>
              <w:t>(8)</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02/07/2026</w:t>
            </w:r>
          </w:p>
        </w:tc>
        <w:tc>
          <w:tcPr>
            <w:tcW w:w="21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8"/>
              </w:rPr>
              <w:t>Education</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10,017</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(50 )</w:t>
            </w:r>
          </w:p>
        </w:tc>
        <w:tc>
          <w:tcPr>
            <w:tcW w:w="0" w:type="dxa"/>
            <w:vAlign w:val="bottom"/>
          </w:tcPr>
          <w:p>
            <w:pPr>
              <w:spacing w:after="0"/>
              <w:rPr>
                <w:sz w:val="1"/>
                <w:szCs w:val="1"/>
                <w:color w:val="auto"/>
              </w:rPr>
            </w:pP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Carnegie Dartlet, LLC - Unfunded Revolver </w:t>
            </w:r>
            <w:r>
              <w:rPr>
                <w:rFonts w:ascii="Times New Roman" w:cs="Times New Roman" w:eastAsia="Times New Roman" w:hAnsi="Times New Roman"/>
                <w:sz w:val="12"/>
                <w:szCs w:val="12"/>
                <w:color w:val="auto"/>
                <w:vertAlign w:val="superscript"/>
              </w:rPr>
              <w:t>(8)</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02/07/2030</w:t>
            </w:r>
          </w:p>
        </w:tc>
        <w:tc>
          <w:tcPr>
            <w:tcW w:w="21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8"/>
              </w:rPr>
              <w:t>Education</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3,339</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(50 )</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06/14/2028</w:t>
            </w:r>
          </w:p>
        </w:tc>
        <w:tc>
          <w:tcPr>
            <w:tcW w:w="21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11.08 %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SOFR+575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28,810</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28,385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28,810</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 - Revolver</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06/14/2028</w:t>
            </w:r>
          </w:p>
        </w:tc>
        <w:tc>
          <w:tcPr>
            <w:tcW w:w="21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11.08 %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SOFR+575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1,265</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0" w:type="dxa"/>
            <w:vAlign w:val="bottom"/>
          </w:tcPr>
          <w:p>
            <w:pPr>
              <w:spacing w:after="0"/>
              <w:rPr>
                <w:sz w:val="1"/>
                <w:szCs w:val="1"/>
                <w:color w:val="auto"/>
              </w:rPr>
            </w:pP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Cartessa Aesthetics, LLC - Revolver </w:t>
            </w:r>
            <w:r>
              <w:rPr>
                <w:rFonts w:ascii="Times New Roman" w:cs="Times New Roman" w:eastAsia="Times New Roman" w:hAnsi="Times New Roman"/>
                <w:sz w:val="12"/>
                <w:szCs w:val="12"/>
                <w:color w:val="auto"/>
                <w:vertAlign w:val="superscript"/>
              </w:rPr>
              <w:t>(8)</w:t>
            </w:r>
          </w:p>
        </w:tc>
        <w:tc>
          <w:tcPr>
            <w:tcW w:w="10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06/14/2028</w:t>
            </w:r>
          </w:p>
        </w:tc>
        <w:tc>
          <w:tcPr>
            <w:tcW w:w="21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2,297</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10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08/20/2026</w:t>
            </w:r>
          </w:p>
        </w:tc>
        <w:tc>
          <w:tcPr>
            <w:tcW w:w="21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11.53 %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SOFR+619</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6,542</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6,488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6,444</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tcPr>
          <w:p>
            <w:pPr>
              <w:spacing w:after="0"/>
              <w:rPr>
                <w:sz w:val="10"/>
                <w:szCs w:val="10"/>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220" w:type="dxa"/>
            <w:vAlign w:val="bottom"/>
          </w:tcPr>
          <w:p>
            <w:pPr>
              <w:spacing w:after="0"/>
              <w:rPr>
                <w:sz w:val="10"/>
                <w:szCs w:val="1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6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Par /</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20" w:type="dxa"/>
            <w:vAlign w:val="bottom"/>
          </w:tcPr>
          <w:p>
            <w:pPr>
              <w:jc w:val="center"/>
              <w:ind w:right="9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1"/>
                <w:szCs w:val="11"/>
                <w:color w:val="auto"/>
              </w:rPr>
            </w:pPr>
          </w:p>
        </w:tc>
        <w:tc>
          <w:tcPr>
            <w:tcW w:w="700" w:type="dxa"/>
            <w:vAlign w:val="bottom"/>
          </w:tcPr>
          <w:p>
            <w:pPr>
              <w:jc w:val="right"/>
              <w:ind w:right="112"/>
              <w:spacing w:after="0" w:line="134"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(3)</w:t>
            </w:r>
          </w:p>
        </w:tc>
        <w:tc>
          <w:tcPr>
            <w:tcW w:w="0" w:type="dxa"/>
            <w:vAlign w:val="bottom"/>
          </w:tcPr>
          <w:p>
            <w:pPr>
              <w:spacing w:after="0"/>
              <w:rPr>
                <w:sz w:val="1"/>
                <w:szCs w:val="1"/>
                <w:color w:val="auto"/>
              </w:rPr>
            </w:pP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CF512, Inc. - Revolver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08/20/2026</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909</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Compex Legal Services, Inc.</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02/09/2026</w:t>
            </w: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10.88 %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SOFR+555</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941</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941</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Compex Legal Services, Inc. - Revolver</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02/07/2025</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10.88 %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SOFR+555</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459</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459</w:t>
            </w: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Compex Legal Services, Inc. - Revolver </w:t>
            </w:r>
            <w:r>
              <w:rPr>
                <w:rFonts w:ascii="Times New Roman" w:cs="Times New Roman" w:eastAsia="Times New Roman" w:hAnsi="Times New Roman"/>
                <w:sz w:val="12"/>
                <w:szCs w:val="12"/>
                <w:color w:val="auto"/>
                <w:vertAlign w:val="superscript"/>
              </w:rPr>
              <w:t>(8)</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02/07/2025</w:t>
            </w: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197</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11/30/2028</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12.84 %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SOFR+750</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1,975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1,854</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1,975</w:t>
            </w: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Connatix Buyer, Inc. - Revolver </w:t>
            </w:r>
            <w:r>
              <w:rPr>
                <w:rFonts w:ascii="Times New Roman" w:cs="Times New Roman" w:eastAsia="Times New Roman" w:hAnsi="Times New Roman"/>
                <w:sz w:val="12"/>
                <w:szCs w:val="12"/>
                <w:color w:val="auto"/>
                <w:vertAlign w:val="superscript"/>
              </w:rPr>
              <w:t>(8)</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07/13/2027</w:t>
            </w: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1,875</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(38 )</w:t>
            </w:r>
          </w:p>
        </w:tc>
        <w:tc>
          <w:tcPr>
            <w:tcW w:w="0" w:type="dxa"/>
            <w:vAlign w:val="bottom"/>
          </w:tcPr>
          <w:p>
            <w:pPr>
              <w:spacing w:after="0"/>
              <w:rPr>
                <w:sz w:val="1"/>
                <w:szCs w:val="1"/>
                <w:color w:val="auto"/>
              </w:rPr>
            </w:pP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 - Revolver</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08/16/2027</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10.19 %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SOFR+486</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287</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287</w:t>
            </w: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Crane 1 Services, Inc. - Revolver </w:t>
            </w:r>
            <w:r>
              <w:rPr>
                <w:rFonts w:ascii="Times New Roman" w:cs="Times New Roman" w:eastAsia="Times New Roman" w:hAnsi="Times New Roman"/>
                <w:sz w:val="12"/>
                <w:szCs w:val="12"/>
                <w:color w:val="auto"/>
                <w:vertAlign w:val="superscript"/>
              </w:rPr>
              <w:t>(8)</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08/16/2027</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435</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08/31/2027</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11.17 %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SOFR+585</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8,142</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8,079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8,142</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 - Funded Revolver</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08/31/2027</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11.19 %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SOFR+585</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2,326</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2,326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2,326</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11/03/2025</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11.69 %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SOFR+635</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6</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DRS Holdings III, Inc. - Revolver </w:t>
            </w:r>
            <w:r>
              <w:rPr>
                <w:rFonts w:ascii="Times New Roman" w:cs="Times New Roman" w:eastAsia="Times New Roman" w:hAnsi="Times New Roman"/>
                <w:sz w:val="12"/>
                <w:szCs w:val="12"/>
                <w:color w:val="auto"/>
                <w:vertAlign w:val="superscript"/>
              </w:rPr>
              <w:t>(8)</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11/03/2025</w:t>
            </w: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1,783</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12/22/2028</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11.08 %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SOFR+575</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17,292</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17,073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17,033</w:t>
            </w: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EDS Buyer, LLC - Revolver Loan </w:t>
            </w:r>
            <w:r>
              <w:rPr>
                <w:rFonts w:ascii="Times New Roman" w:cs="Times New Roman" w:eastAsia="Times New Roman" w:hAnsi="Times New Roman"/>
                <w:sz w:val="12"/>
                <w:szCs w:val="12"/>
                <w:color w:val="auto"/>
                <w:vertAlign w:val="superscript"/>
              </w:rPr>
              <w:t>(8)</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12/22/2028</w:t>
            </w: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1,915</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(29 )</w:t>
            </w:r>
          </w:p>
        </w:tc>
        <w:tc>
          <w:tcPr>
            <w:tcW w:w="0" w:type="dxa"/>
            <w:vAlign w:val="bottom"/>
          </w:tcPr>
          <w:p>
            <w:pPr>
              <w:spacing w:after="0"/>
              <w:rPr>
                <w:sz w:val="1"/>
                <w:szCs w:val="1"/>
                <w:color w:val="auto"/>
              </w:rPr>
            </w:pP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 - Revolver</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05/25/2029</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11.83 %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SOFR+650</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1,215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1,215</w:t>
            </w: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ETE Intermediate II, LLC - Revolver </w:t>
            </w:r>
            <w:r>
              <w:rPr>
                <w:rFonts w:ascii="Times New Roman" w:cs="Times New Roman" w:eastAsia="Times New Roman" w:hAnsi="Times New Roman"/>
                <w:sz w:val="12"/>
                <w:szCs w:val="12"/>
                <w:color w:val="auto"/>
                <w:vertAlign w:val="superscript"/>
              </w:rPr>
              <w:t>(8)</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05/25/2029</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442</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Eval Home Health Solutions Intermediate, LLC</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05/10/2030</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11.09 %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SOFR+575</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7,980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7,861</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7,860</w:t>
            </w: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Eval Home Health Solutions Intermediate, LLC - Revolver </w:t>
            </w:r>
            <w:r>
              <w:rPr>
                <w:rFonts w:ascii="Times New Roman" w:cs="Times New Roman" w:eastAsia="Times New Roman" w:hAnsi="Times New Roman"/>
                <w:sz w:val="12"/>
                <w:szCs w:val="12"/>
                <w:color w:val="auto"/>
                <w:vertAlign w:val="superscript"/>
              </w:rPr>
              <w:t>(8)</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05/10/2030</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822</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03/15/2027</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11.69 %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SOFR+635</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24,189</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23,959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24,008</w:t>
            </w: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Exigo Intermediate II, LLC - Revolver </w:t>
            </w:r>
            <w:r>
              <w:rPr>
                <w:rFonts w:ascii="Times New Roman" w:cs="Times New Roman" w:eastAsia="Times New Roman" w:hAnsi="Times New Roman"/>
                <w:sz w:val="12"/>
                <w:szCs w:val="12"/>
                <w:color w:val="auto"/>
                <w:vertAlign w:val="superscript"/>
              </w:rPr>
              <w:t>(8)</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03/15/2027</w:t>
            </w: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1,856</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33"/>
        </w:trPr>
        <w:tc>
          <w:tcPr>
            <w:tcW w:w="32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102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02/23/2028</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Entertainment</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12.50 %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SOFR+710</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196</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196</w:t>
            </w:r>
          </w:p>
        </w:tc>
        <w:tc>
          <w:tcPr>
            <w:tcW w:w="16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w:t>
            </w: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26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Five Star Buyer, Inc. - Revolver </w:t>
            </w:r>
            <w:r>
              <w:rPr>
                <w:rFonts w:ascii="Times New Roman" w:cs="Times New Roman" w:eastAsia="Times New Roman" w:hAnsi="Times New Roman"/>
                <w:sz w:val="12"/>
                <w:szCs w:val="12"/>
                <w:color w:val="auto"/>
                <w:vertAlign w:val="superscript"/>
              </w:rPr>
              <w:t>(8)</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02/23/2028</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Entertainment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741</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ETE Blocker, LLC - Promissory Note</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05/19/2029</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12.56 %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215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08/10/2027</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10.93 %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SOFR+560</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884</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875</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Graffiti Buyer, Inc. - Unfunded Term Loan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08/10/2027</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1,079</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Graffiti Buyer, Inc. - Revolver </w:t>
            </w:r>
            <w:r>
              <w:rPr>
                <w:rFonts w:ascii="Times New Roman" w:cs="Times New Roman" w:eastAsia="Times New Roman" w:hAnsi="Times New Roman"/>
                <w:sz w:val="12"/>
                <w:szCs w:val="12"/>
                <w:color w:val="auto"/>
                <w:vertAlign w:val="superscript"/>
              </w:rPr>
              <w:t>(8)</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08/10/2027</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769</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(8 )</w:t>
            </w:r>
          </w:p>
        </w:tc>
        <w:tc>
          <w:tcPr>
            <w:tcW w:w="0" w:type="dxa"/>
            <w:vAlign w:val="bottom"/>
          </w:tcPr>
          <w:p>
            <w:pPr>
              <w:spacing w:after="0"/>
              <w:rPr>
                <w:sz w:val="1"/>
                <w:szCs w:val="1"/>
                <w:color w:val="auto"/>
              </w:rPr>
            </w:pP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Halo Buyer, Inc.</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06/30/2025</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9.94 %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SOFR+460</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1,660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1,498</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12/31/2026</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Insurance</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10.94 %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SOFR+560</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680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639</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Hancock Roofing and Construction L.L.C. - Revolver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12/31/2026</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Insurance</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70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HEC Purchaser Corp.</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06/17/2029</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10.84 %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SOFR+550</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8,000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7,900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7,900</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Hills Distribution, Inc. - Unfunded Term Loan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11/07/2025</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9,144</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12/17/2026</w:t>
            </w: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11.73 %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SOFR+640</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276</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264</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 - Revolver</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12/17/2026</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11.73 %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SOFR+640</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1,200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1,146</w:t>
            </w: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HV Watterson Holdings, LLC - Revolver </w:t>
            </w:r>
            <w:r>
              <w:rPr>
                <w:rFonts w:ascii="Times New Roman" w:cs="Times New Roman" w:eastAsia="Times New Roman" w:hAnsi="Times New Roman"/>
                <w:sz w:val="12"/>
                <w:szCs w:val="12"/>
                <w:color w:val="auto"/>
                <w:vertAlign w:val="superscript"/>
              </w:rPr>
              <w:t>(8)</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12/17/2026</w:t>
            </w: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05/10/2026</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11.68 %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SOFR+640</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11,182</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11,153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11,182</w:t>
            </w:r>
          </w:p>
        </w:tc>
        <w:tc>
          <w:tcPr>
            <w:tcW w:w="0" w:type="dxa"/>
            <w:vAlign w:val="bottom"/>
          </w:tcPr>
          <w:p>
            <w:pPr>
              <w:spacing w:after="0"/>
              <w:rPr>
                <w:sz w:val="1"/>
                <w:szCs w:val="1"/>
                <w:color w:val="auto"/>
              </w:rPr>
            </w:pPr>
          </w:p>
        </w:tc>
      </w:tr>
      <w:tr>
        <w:trPr>
          <w:trHeight w:val="17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HW Holdco, LLC - Revolver </w:t>
            </w:r>
            <w:r>
              <w:rPr>
                <w:rFonts w:ascii="Times New Roman" w:cs="Times New Roman" w:eastAsia="Times New Roman" w:hAnsi="Times New Roman"/>
                <w:sz w:val="12"/>
                <w:szCs w:val="12"/>
                <w:color w:val="auto"/>
                <w:vertAlign w:val="superscript"/>
              </w:rPr>
              <w:t>(8)</w:t>
            </w: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auto"/>
              </w:rPr>
              <w:t>05/10/2026</w:t>
            </w:r>
          </w:p>
        </w:tc>
        <w:tc>
          <w:tcPr>
            <w:tcW w:w="222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vMerge w:val="restart"/>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vMerge w:val="restart"/>
          </w:tcPr>
          <w:p>
            <w:pPr>
              <w:jc w:val="right"/>
              <w:ind w:right="132"/>
              <w:spacing w:after="0"/>
              <w:rPr>
                <w:sz w:val="20"/>
                <w:szCs w:val="20"/>
                <w:color w:val="auto"/>
              </w:rPr>
            </w:pPr>
            <w:r>
              <w:rPr>
                <w:rFonts w:ascii="Times New Roman" w:cs="Times New Roman" w:eastAsia="Times New Roman" w:hAnsi="Times New Roman"/>
                <w:sz w:val="10"/>
                <w:szCs w:val="10"/>
                <w:color w:val="auto"/>
              </w:rPr>
              <w:t>3,387</w:t>
            </w:r>
          </w:p>
        </w:tc>
        <w:tc>
          <w:tcPr>
            <w:tcW w:w="6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4"/>
                <w:szCs w:val="14"/>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66"/>
        </w:trPr>
        <w:tc>
          <w:tcPr>
            <w:tcW w:w="32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2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IG Investment Holdings LLC</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09/22/2028</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11.33 %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SOFR+600</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105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w:t>
            </w: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IG Investments Holdings, LLC - Revolver </w:t>
            </w:r>
            <w:r>
              <w:rPr>
                <w:rFonts w:ascii="Times New Roman" w:cs="Times New Roman" w:eastAsia="Times New Roman" w:hAnsi="Times New Roman"/>
                <w:sz w:val="12"/>
                <w:szCs w:val="12"/>
                <w:color w:val="auto"/>
                <w:vertAlign w:val="superscript"/>
              </w:rPr>
              <w:t>(8)</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09/22/2027</w:t>
            </w: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722</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Imagine Acquisitionco, LLC - Revolver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11/15/2027</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1,685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(8 )</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12/28/2028</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12.19 %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SOFR+685</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3,749</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3,739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3,749</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Infinity Home Services Holdco, Inc. (CAD) </w:t>
            </w:r>
            <w:r>
              <w:rPr>
                <w:rFonts w:ascii="Times New Roman" w:cs="Times New Roman" w:eastAsia="Times New Roman" w:hAnsi="Times New Roman"/>
                <w:sz w:val="12"/>
                <w:szCs w:val="12"/>
                <w:color w:val="auto"/>
                <w:vertAlign w:val="superscript"/>
              </w:rPr>
              <w:t>(11)</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12/28/2028</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10.96 %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SOFR+600</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CAD 2,562</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1,845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1,845</w:t>
            </w: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Infinity Home Services Holdco, Inc. - 1st Amendment Unfunded Term Loan </w:t>
            </w:r>
            <w:r>
              <w:rPr>
                <w:rFonts w:ascii="Times New Roman" w:cs="Times New Roman" w:eastAsia="Times New Roman" w:hAnsi="Times New Roman"/>
                <w:sz w:val="12"/>
                <w:szCs w:val="12"/>
                <w:color w:val="auto"/>
                <w:vertAlign w:val="superscript"/>
              </w:rPr>
              <w:t>(8)</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11/17/2025</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8,241</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(21 )</w:t>
            </w:r>
          </w:p>
        </w:tc>
        <w:tc>
          <w:tcPr>
            <w:tcW w:w="0" w:type="dxa"/>
            <w:vAlign w:val="bottom"/>
          </w:tcPr>
          <w:p>
            <w:pPr>
              <w:spacing w:after="0"/>
              <w:rPr>
                <w:sz w:val="1"/>
                <w:szCs w:val="1"/>
                <w:color w:val="auto"/>
              </w:rPr>
            </w:pPr>
          </w:p>
        </w:tc>
      </w:tr>
      <w:tr>
        <w:trPr>
          <w:trHeight w:val="136"/>
        </w:trPr>
        <w:tc>
          <w:tcPr>
            <w:tcW w:w="326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 - Revolver</w:t>
            </w:r>
          </w:p>
        </w:tc>
        <w:tc>
          <w:tcPr>
            <w:tcW w:w="820" w:type="dxa"/>
            <w:vAlign w:val="bottom"/>
            <w:vMerge w:val="restart"/>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12/28/2028</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2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14.25 %</w:t>
            </w:r>
          </w:p>
        </w:tc>
        <w:tc>
          <w:tcPr>
            <w:tcW w:w="920" w:type="dxa"/>
            <w:vAlign w:val="bottom"/>
            <w:vMerge w:val="restart"/>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SOFR+575</w:t>
            </w:r>
          </w:p>
        </w:tc>
        <w:tc>
          <w:tcPr>
            <w:tcW w:w="860" w:type="dxa"/>
            <w:vAlign w:val="bottom"/>
            <w:vMerge w:val="restart"/>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194</w:t>
            </w:r>
          </w:p>
        </w:tc>
        <w:tc>
          <w:tcPr>
            <w:tcW w:w="60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194</w:t>
            </w:r>
          </w:p>
        </w:tc>
        <w:tc>
          <w:tcPr>
            <w:tcW w:w="160" w:type="dxa"/>
            <w:vAlign w:val="bottom"/>
            <w:shd w:val="clear" w:color="auto" w:fill="CCECFF"/>
          </w:tcPr>
          <w:p>
            <w:pPr>
              <w:spacing w:after="0"/>
              <w:rPr>
                <w:sz w:val="11"/>
                <w:szCs w:val="11"/>
                <w:color w:val="auto"/>
              </w:rPr>
            </w:pPr>
          </w:p>
        </w:tc>
        <w:tc>
          <w:tcPr>
            <w:tcW w:w="7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w:t>
            </w:r>
          </w:p>
        </w:tc>
        <w:tc>
          <w:tcPr>
            <w:tcW w:w="0" w:type="dxa"/>
            <w:vAlign w:val="bottom"/>
          </w:tcPr>
          <w:p>
            <w:pPr>
              <w:spacing w:after="0"/>
              <w:rPr>
                <w:sz w:val="1"/>
                <w:szCs w:val="1"/>
                <w:color w:val="auto"/>
              </w:rPr>
            </w:pPr>
          </w:p>
        </w:tc>
      </w:tr>
      <w:tr>
        <w:trPr>
          <w:trHeight w:val="92"/>
        </w:trPr>
        <w:tc>
          <w:tcPr>
            <w:tcW w:w="3260" w:type="dxa"/>
            <w:vAlign w:val="bottom"/>
            <w:vMerge w:val="continue"/>
            <w:shd w:val="clear" w:color="auto" w:fill="CCECFF"/>
          </w:tcPr>
          <w:p>
            <w:pPr>
              <w:spacing w:after="0"/>
              <w:rPr>
                <w:sz w:val="8"/>
                <w:szCs w:val="8"/>
                <w:color w:val="auto"/>
              </w:rPr>
            </w:pPr>
          </w:p>
        </w:tc>
        <w:tc>
          <w:tcPr>
            <w:tcW w:w="820" w:type="dxa"/>
            <w:vAlign w:val="bottom"/>
            <w:vMerge w:val="continue"/>
            <w:shd w:val="clear" w:color="auto" w:fill="CCECFF"/>
          </w:tcPr>
          <w:p>
            <w:pPr>
              <w:spacing w:after="0"/>
              <w:rPr>
                <w:sz w:val="8"/>
                <w:szCs w:val="8"/>
                <w:color w:val="auto"/>
              </w:rPr>
            </w:pPr>
          </w:p>
        </w:tc>
        <w:tc>
          <w:tcPr>
            <w:tcW w:w="2220" w:type="dxa"/>
            <w:vAlign w:val="bottom"/>
            <w:shd w:val="clear" w:color="auto" w:fill="CCECFF"/>
          </w:tcPr>
          <w:p>
            <w:pPr>
              <w:spacing w:after="0"/>
              <w:rPr>
                <w:sz w:val="8"/>
                <w:szCs w:val="8"/>
                <w:color w:val="auto"/>
              </w:rPr>
            </w:pPr>
          </w:p>
        </w:tc>
        <w:tc>
          <w:tcPr>
            <w:tcW w:w="1020" w:type="dxa"/>
            <w:vAlign w:val="bottom"/>
            <w:vMerge w:val="continue"/>
            <w:shd w:val="clear" w:color="auto" w:fill="CCECFF"/>
          </w:tcPr>
          <w:p>
            <w:pPr>
              <w:spacing w:after="0"/>
              <w:rPr>
                <w:sz w:val="8"/>
                <w:szCs w:val="8"/>
                <w:color w:val="auto"/>
              </w:rPr>
            </w:pPr>
          </w:p>
        </w:tc>
        <w:tc>
          <w:tcPr>
            <w:tcW w:w="920" w:type="dxa"/>
            <w:vAlign w:val="bottom"/>
            <w:vMerge w:val="continue"/>
            <w:shd w:val="clear" w:color="auto" w:fill="CCECFF"/>
          </w:tcPr>
          <w:p>
            <w:pPr>
              <w:spacing w:after="0"/>
              <w:rPr>
                <w:sz w:val="8"/>
                <w:szCs w:val="8"/>
                <w:color w:val="auto"/>
              </w:rPr>
            </w:pPr>
          </w:p>
        </w:tc>
        <w:tc>
          <w:tcPr>
            <w:tcW w:w="860" w:type="dxa"/>
            <w:vAlign w:val="bottom"/>
            <w:vMerge w:val="continue"/>
            <w:shd w:val="clear" w:color="auto" w:fill="CCECFF"/>
          </w:tcPr>
          <w:p>
            <w:pPr>
              <w:spacing w:after="0"/>
              <w:rPr>
                <w:sz w:val="8"/>
                <w:szCs w:val="8"/>
                <w:color w:val="auto"/>
              </w:rPr>
            </w:pPr>
          </w:p>
        </w:tc>
        <w:tc>
          <w:tcPr>
            <w:tcW w:w="600" w:type="dxa"/>
            <w:vAlign w:val="bottom"/>
            <w:vMerge w:val="continue"/>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700" w:type="dxa"/>
            <w:vAlign w:val="bottom"/>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Infinity Home Services Holdco, Inc. - Revolver </w:t>
            </w:r>
            <w:r>
              <w:rPr>
                <w:rFonts w:ascii="Times New Roman" w:cs="Times New Roman" w:eastAsia="Times New Roman" w:hAnsi="Times New Roman"/>
                <w:sz w:val="12"/>
                <w:szCs w:val="12"/>
                <w:color w:val="auto"/>
                <w:vertAlign w:val="superscript"/>
              </w:rPr>
              <w:t>(8)</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12/28/2028</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1,098</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11/01/2026</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10.84 %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SOFR+550</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2,697</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2,669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2,670</w:t>
            </w:r>
          </w:p>
        </w:tc>
        <w:tc>
          <w:tcPr>
            <w:tcW w:w="0" w:type="dxa"/>
            <w:vAlign w:val="bottom"/>
          </w:tcPr>
          <w:p>
            <w:pPr>
              <w:spacing w:after="0"/>
              <w:rPr>
                <w:sz w:val="1"/>
                <w:szCs w:val="1"/>
                <w:color w:val="auto"/>
              </w:rPr>
            </w:pPr>
          </w:p>
        </w:tc>
      </w:tr>
      <w:tr>
        <w:trPr>
          <w:trHeight w:val="108"/>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auto"/>
              </w:rPr>
              <w:t>08/27/2026</w:t>
            </w:r>
          </w:p>
        </w:tc>
        <w:tc>
          <w:tcPr>
            <w:tcW w:w="222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7"/>
              </w:rPr>
              <w:t>Insurance</w:t>
            </w:r>
          </w:p>
        </w:tc>
        <w:tc>
          <w:tcPr>
            <w:tcW w:w="1020" w:type="dxa"/>
            <w:vAlign w:val="bottom"/>
          </w:tcPr>
          <w:p>
            <w:pPr>
              <w:jc w:val="right"/>
              <w:ind w:right="132"/>
              <w:spacing w:after="0" w:line="109" w:lineRule="exact"/>
              <w:rPr>
                <w:sz w:val="20"/>
                <w:szCs w:val="20"/>
                <w:color w:val="auto"/>
              </w:rPr>
            </w:pPr>
            <w:r>
              <w:rPr>
                <w:rFonts w:ascii="Times New Roman" w:cs="Times New Roman" w:eastAsia="Times New Roman" w:hAnsi="Times New Roman"/>
                <w:sz w:val="10"/>
                <w:szCs w:val="10"/>
                <w:color w:val="auto"/>
              </w:rPr>
              <w:t>11.48</w:t>
            </w:r>
          </w:p>
        </w:tc>
        <w:tc>
          <w:tcPr>
            <w:tcW w:w="92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3M SOFR+615</w:t>
            </w:r>
          </w:p>
        </w:tc>
        <w:tc>
          <w:tcPr>
            <w:tcW w:w="860" w:type="dxa"/>
            <w:vAlign w:val="bottom"/>
            <w:vMerge w:val="restart"/>
          </w:tcPr>
          <w:p>
            <w:pPr>
              <w:jc w:val="right"/>
              <w:ind w:right="132"/>
              <w:spacing w:after="0"/>
              <w:rPr>
                <w:sz w:val="20"/>
                <w:szCs w:val="20"/>
                <w:color w:val="auto"/>
              </w:rPr>
            </w:pPr>
            <w:r>
              <w:rPr>
                <w:rFonts w:ascii="Times New Roman" w:cs="Times New Roman" w:eastAsia="Times New Roman" w:hAnsi="Times New Roman"/>
                <w:sz w:val="10"/>
                <w:szCs w:val="10"/>
                <w:color w:val="auto"/>
              </w:rPr>
              <w:t>10,597</w:t>
            </w:r>
          </w:p>
        </w:tc>
        <w:tc>
          <w:tcPr>
            <w:tcW w:w="6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10,564</w:t>
            </w:r>
          </w:p>
        </w:tc>
        <w:tc>
          <w:tcPr>
            <w:tcW w:w="160" w:type="dxa"/>
            <w:vAlign w:val="bottom"/>
          </w:tcPr>
          <w:p>
            <w:pPr>
              <w:spacing w:after="0"/>
              <w:rPr>
                <w:sz w:val="9"/>
                <w:szCs w:val="9"/>
                <w:color w:val="auto"/>
              </w:rPr>
            </w:pPr>
          </w:p>
        </w:tc>
        <w:tc>
          <w:tcPr>
            <w:tcW w:w="700" w:type="dxa"/>
            <w:vAlign w:val="bottom"/>
          </w:tcPr>
          <w:p>
            <w:pPr>
              <w:jc w:val="right"/>
              <w:ind w:right="52"/>
              <w:spacing w:after="0" w:line="109" w:lineRule="exact"/>
              <w:rPr>
                <w:sz w:val="20"/>
                <w:szCs w:val="20"/>
                <w:color w:val="auto"/>
              </w:rPr>
            </w:pPr>
            <w:r>
              <w:rPr>
                <w:rFonts w:ascii="Times New Roman" w:cs="Times New Roman" w:eastAsia="Times New Roman" w:hAnsi="Times New Roman"/>
                <w:sz w:val="10"/>
                <w:szCs w:val="10"/>
                <w:color w:val="auto"/>
              </w:rPr>
              <w:t>10,544</w:t>
            </w:r>
          </w:p>
        </w:tc>
        <w:tc>
          <w:tcPr>
            <w:tcW w:w="0" w:type="dxa"/>
            <w:vAlign w:val="bottom"/>
          </w:tcPr>
          <w:p>
            <w:pPr>
              <w:spacing w:after="0"/>
              <w:rPr>
                <w:sz w:val="1"/>
                <w:szCs w:val="1"/>
                <w:color w:val="auto"/>
              </w:rPr>
            </w:pPr>
          </w:p>
        </w:tc>
      </w:tr>
      <w:tr>
        <w:trPr>
          <w:trHeight w:val="128"/>
        </w:trPr>
        <w:tc>
          <w:tcPr>
            <w:tcW w:w="32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220" w:type="dxa"/>
            <w:vAlign w:val="bottom"/>
            <w:vMerge w:val="continue"/>
          </w:tcPr>
          <w:p>
            <w:pPr>
              <w:spacing w:after="0"/>
              <w:rPr>
                <w:sz w:val="11"/>
                <w:szCs w:val="1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Integrity Marketing Acquisition, LLC - Unfunded Term Loan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08/31/2025</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Insurance</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1,614</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Integrity Marketing Acquisition, LLC - Revolver </w:t>
            </w:r>
            <w:r>
              <w:rPr>
                <w:rFonts w:ascii="Times New Roman" w:cs="Times New Roman" w:eastAsia="Times New Roman" w:hAnsi="Times New Roman"/>
                <w:sz w:val="12"/>
                <w:szCs w:val="12"/>
                <w:color w:val="auto"/>
                <w:vertAlign w:val="superscript"/>
              </w:rPr>
              <w:t>(8)</w:t>
            </w:r>
          </w:p>
        </w:tc>
        <w:tc>
          <w:tcPr>
            <w:tcW w:w="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08/31/2025</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Insurance</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160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Inventus Power, Inc. - Revolver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06/30/2025</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Electronics</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1,729</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5"/>
                <w:szCs w:val="15"/>
                <w:color w:val="auto"/>
              </w:rPr>
            </w:pPr>
          </w:p>
        </w:tc>
        <w:tc>
          <w:tcPr>
            <w:tcW w:w="700" w:type="dxa"/>
            <w:vAlign w:val="bottom"/>
            <w:shd w:val="clear" w:color="auto" w:fill="CCECFF"/>
          </w:tcPr>
          <w:p>
            <w:pPr>
              <w:jc w:val="right"/>
              <w:spacing w:after="0" w:line="180" w:lineRule="exact"/>
              <w:rPr>
                <w:sz w:val="20"/>
                <w:szCs w:val="20"/>
                <w:color w:val="auto"/>
              </w:rPr>
            </w:pPr>
            <w:r>
              <w:rPr>
                <w:rFonts w:ascii="Times New Roman" w:cs="Times New Roman" w:eastAsia="Times New Roman" w:hAnsi="Times New Roman"/>
                <w:sz w:val="10"/>
                <w:szCs w:val="10"/>
                <w:color w:val="auto"/>
              </w:rPr>
              <w:t xml:space="preserve">(35 </w:t>
            </w:r>
            <w:r>
              <w:rPr>
                <w:rFonts w:ascii="Times New Roman" w:cs="Times New Roman" w:eastAsia="Times New Roman" w:hAnsi="Times New Roman"/>
                <w:sz w:val="19"/>
                <w:szCs w:val="19"/>
                <w:color w:val="auto"/>
                <w:vertAlign w:val="superscript"/>
              </w:rPr>
              <w:t>)</w:t>
            </w:r>
          </w:p>
        </w:tc>
        <w:tc>
          <w:tcPr>
            <w:tcW w:w="0" w:type="dxa"/>
            <w:vAlign w:val="bottom"/>
          </w:tcPr>
          <w:p>
            <w:pPr>
              <w:spacing w:after="0"/>
              <w:rPr>
                <w:sz w:val="1"/>
                <w:szCs w:val="1"/>
                <w:color w:val="auto"/>
              </w:rPr>
            </w:pPr>
          </w:p>
        </w:tc>
      </w:tr>
    </w:tbl>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80" w:type="dxa"/>
            <w:vAlign w:val="bottom"/>
          </w:tcPr>
          <w:p>
            <w:pPr>
              <w:spacing w:after="0"/>
              <w:rPr>
                <w:sz w:val="10"/>
                <w:szCs w:val="10"/>
                <w:color w:val="auto"/>
              </w:rPr>
            </w:pP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060" w:type="dxa"/>
            <w:vAlign w:val="bottom"/>
          </w:tcPr>
          <w:p>
            <w:pPr>
              <w:spacing w:after="0"/>
              <w:rPr>
                <w:sz w:val="10"/>
                <w:szCs w:val="10"/>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20" w:type="dxa"/>
            <w:vAlign w:val="bottom"/>
          </w:tcPr>
          <w:p>
            <w:pPr>
              <w:jc w:val="center"/>
              <w:ind w:right="9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0" w:type="dxa"/>
            <w:vAlign w:val="bottom"/>
          </w:tcPr>
          <w:p>
            <w:pPr>
              <w:spacing w:after="0"/>
              <w:rPr>
                <w:sz w:val="11"/>
                <w:szCs w:val="11"/>
                <w:color w:val="auto"/>
              </w:rPr>
            </w:pPr>
          </w:p>
        </w:tc>
        <w:tc>
          <w:tcPr>
            <w:tcW w:w="4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1"/>
                <w:szCs w:val="11"/>
                <w:color w:val="auto"/>
              </w:rPr>
            </w:pPr>
          </w:p>
        </w:tc>
        <w:tc>
          <w:tcPr>
            <w:tcW w:w="700" w:type="dxa"/>
            <w:vAlign w:val="bottom"/>
          </w:tcPr>
          <w:p>
            <w:pPr>
              <w:jc w:val="right"/>
              <w:ind w:right="112"/>
              <w:spacing w:after="0" w:line="134"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(3)</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03/03/2028</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10.98 %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SOFR+565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8,770</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8,662</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8,770</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ITI Holdings, Inc. - Revolver</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03/03/2028</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13.00 %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SOFR+450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1,180</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1,180</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ITI Holdings, Inc. -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03/03/2028</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310</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11/10/2027</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11.48 %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SOFR+615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3,099</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3,019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3,099</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Kinetic Purchaser, LLC -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11/10/2026</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4,854</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02/18/2027</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13.18 %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SOFR+785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2,865</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2,831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2,836</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12"/>
                <w:szCs w:val="12"/>
                <w:color w:val="auto"/>
              </w:rPr>
            </w:pPr>
          </w:p>
        </w:tc>
        <w:tc>
          <w:tcPr>
            <w:tcW w:w="1180" w:type="dxa"/>
            <w:vAlign w:val="bottom"/>
            <w:shd w:val="clear" w:color="auto" w:fill="CCECFF"/>
          </w:tcPr>
          <w:p>
            <w:pPr>
              <w:spacing w:after="0"/>
              <w:rPr>
                <w:sz w:val="12"/>
                <w:szCs w:val="12"/>
                <w:color w:val="auto"/>
              </w:rPr>
            </w:pPr>
          </w:p>
        </w:tc>
        <w:tc>
          <w:tcPr>
            <w:tcW w:w="2060" w:type="dxa"/>
            <w:vAlign w:val="bottom"/>
            <w:shd w:val="clear" w:color="auto" w:fill="CCECFF"/>
          </w:tcPr>
          <w:p>
            <w:pPr>
              <w:spacing w:after="0"/>
              <w:rPr>
                <w:sz w:val="12"/>
                <w:szCs w:val="12"/>
                <w:color w:val="auto"/>
              </w:rPr>
            </w:pP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5.1%)</w:t>
            </w:r>
          </w:p>
        </w:tc>
        <w:tc>
          <w:tcPr>
            <w:tcW w:w="9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 - Revolver</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08/16/2026</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13.18 %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SOFR+785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2,650</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2,650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2,624</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12"/>
                <w:szCs w:val="12"/>
                <w:color w:val="auto"/>
              </w:rPr>
            </w:pPr>
          </w:p>
        </w:tc>
        <w:tc>
          <w:tcPr>
            <w:tcW w:w="1180" w:type="dxa"/>
            <w:vAlign w:val="bottom"/>
            <w:shd w:val="clear" w:color="auto" w:fill="CCECFF"/>
          </w:tcPr>
          <w:p>
            <w:pPr>
              <w:spacing w:after="0"/>
              <w:rPr>
                <w:sz w:val="12"/>
                <w:szCs w:val="12"/>
                <w:color w:val="auto"/>
              </w:rPr>
            </w:pPr>
          </w:p>
        </w:tc>
        <w:tc>
          <w:tcPr>
            <w:tcW w:w="2060" w:type="dxa"/>
            <w:vAlign w:val="bottom"/>
            <w:shd w:val="clear" w:color="auto" w:fill="CCECFF"/>
          </w:tcPr>
          <w:p>
            <w:pPr>
              <w:spacing w:after="0"/>
              <w:rPr>
                <w:sz w:val="12"/>
                <w:szCs w:val="12"/>
                <w:color w:val="auto"/>
              </w:rPr>
            </w:pP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5.1%)</w:t>
            </w:r>
          </w:p>
        </w:tc>
        <w:tc>
          <w:tcPr>
            <w:tcW w:w="9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Lash OpCo, LLC - Revolver </w:t>
            </w:r>
            <w:r>
              <w:rPr>
                <w:rFonts w:ascii="Times New Roman" w:cs="Times New Roman" w:eastAsia="Times New Roman" w:hAnsi="Times New Roman"/>
                <w:sz w:val="12"/>
                <w:szCs w:val="12"/>
                <w:color w:val="auto"/>
                <w:vertAlign w:val="superscript"/>
              </w:rPr>
              <w:t>(8)</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08/16/2026</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317</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33"/>
        </w:trPr>
        <w:tc>
          <w:tcPr>
            <w:tcW w:w="2980" w:type="dxa"/>
            <w:vAlign w:val="bottom"/>
            <w:shd w:val="clear" w:color="auto" w:fill="CCECFF"/>
          </w:tcPr>
          <w:p>
            <w:pPr>
              <w:spacing w:after="0"/>
              <w:rPr>
                <w:sz w:val="11"/>
                <w:szCs w:val="11"/>
                <w:color w:val="auto"/>
              </w:rPr>
            </w:pPr>
          </w:p>
        </w:tc>
        <w:tc>
          <w:tcPr>
            <w:tcW w:w="1180" w:type="dxa"/>
            <w:vAlign w:val="bottom"/>
            <w:shd w:val="clear" w:color="auto" w:fill="CCECFF"/>
          </w:tcPr>
          <w:p>
            <w:pPr>
              <w:spacing w:after="0"/>
              <w:rPr>
                <w:sz w:val="11"/>
                <w:szCs w:val="11"/>
                <w:color w:val="auto"/>
              </w:rPr>
            </w:pP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110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10/31/2025</w:t>
            </w:r>
          </w:p>
        </w:tc>
        <w:tc>
          <w:tcPr>
            <w:tcW w:w="206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Entertainment</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11.76 %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SOFR+643</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2,037</w:t>
            </w:r>
          </w:p>
        </w:tc>
        <w:tc>
          <w:tcPr>
            <w:tcW w:w="200" w:type="dxa"/>
            <w:vAlign w:val="bottom"/>
            <w:shd w:val="clear" w:color="auto" w:fill="CCECFF"/>
          </w:tcPr>
          <w:p>
            <w:pPr>
              <w:spacing w:after="0"/>
              <w:rPr>
                <w:sz w:val="11"/>
                <w:szCs w:val="11"/>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2,037</w:t>
            </w:r>
          </w:p>
        </w:tc>
        <w:tc>
          <w:tcPr>
            <w:tcW w:w="16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2,013</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Ledge Lounger, Inc.</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11/09/2026</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11.98 %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SOFR+665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9,016</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8,921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8,835</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Ledge Lounger, Inc. - Revolver</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11/09/2026</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11.98 %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SOFR+665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644</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644</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631</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Ledge Lounger, Inc. - Revolver </w:t>
            </w:r>
            <w:r>
              <w:rPr>
                <w:rFonts w:ascii="Times New Roman" w:cs="Times New Roman" w:eastAsia="Times New Roman" w:hAnsi="Times New Roman"/>
                <w:sz w:val="12"/>
                <w:szCs w:val="12"/>
                <w:color w:val="auto"/>
                <w:vertAlign w:val="superscript"/>
              </w:rPr>
              <w:t>(8)</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11/09/2026</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1,288</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02/03/2026</w:t>
            </w:r>
          </w:p>
        </w:tc>
        <w:tc>
          <w:tcPr>
            <w:tcW w:w="206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10.69 %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SOFR+535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2,181</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2,173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2,181</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Lightspeed Buyer Inc. - Revolver </w:t>
            </w:r>
            <w:r>
              <w:rPr>
                <w:rFonts w:ascii="Times New Roman" w:cs="Times New Roman" w:eastAsia="Times New Roman" w:hAnsi="Times New Roman"/>
                <w:sz w:val="12"/>
                <w:szCs w:val="12"/>
                <w:color w:val="auto"/>
                <w:vertAlign w:val="superscript"/>
              </w:rPr>
              <w:t>(8)</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02/03/2026</w:t>
            </w:r>
          </w:p>
        </w:tc>
        <w:tc>
          <w:tcPr>
            <w:tcW w:w="206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1,166</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02/01/2030</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10.58 %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SOFR+525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569</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561</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569</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LJ Avalon Holdings, LLC - Unfunded Term Loan </w:t>
            </w:r>
            <w:r>
              <w:rPr>
                <w:rFonts w:ascii="Times New Roman" w:cs="Times New Roman" w:eastAsia="Times New Roman" w:hAnsi="Times New Roman"/>
                <w:sz w:val="12"/>
                <w:szCs w:val="12"/>
                <w:color w:val="auto"/>
                <w:vertAlign w:val="superscript"/>
              </w:rPr>
              <w:t>(8)</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07/31/2024</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3,313</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LJ Avalon Holdings, LLC -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01/31/2030</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587</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05/31/2028</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12.34 %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SOFR+700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4,950</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4,864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4,913</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 - Revolver</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05/31/2028</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12.34 %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SOFR+700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347</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344</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Loving Tan Intermediate II, Inc. - Revolver </w:t>
            </w:r>
            <w:r>
              <w:rPr>
                <w:rFonts w:ascii="Times New Roman" w:cs="Times New Roman" w:eastAsia="Times New Roman" w:hAnsi="Times New Roman"/>
                <w:sz w:val="12"/>
                <w:szCs w:val="12"/>
                <w:color w:val="auto"/>
                <w:vertAlign w:val="superscript"/>
              </w:rPr>
              <w:t>(8)</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05/31/2028</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284</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05/14/2026</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10.98 %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SOFR+565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2,814</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2,784</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2,814</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 - Revolver</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05/14/2026</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10.98 %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SOFR+565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806</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806</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Mars Acquisition Holdings Corp. -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05/14/2026</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403</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MBS Holdings, Inc. - Revolver </w:t>
            </w:r>
            <w:r>
              <w:rPr>
                <w:rFonts w:ascii="Times New Roman" w:cs="Times New Roman" w:eastAsia="Times New Roman" w:hAnsi="Times New Roman"/>
                <w:sz w:val="12"/>
                <w:szCs w:val="12"/>
                <w:color w:val="auto"/>
                <w:vertAlign w:val="superscript"/>
              </w:rPr>
              <w:t>(8)</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04/16/2027</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694</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07/25/2028</w:t>
            </w:r>
          </w:p>
        </w:tc>
        <w:tc>
          <w:tcPr>
            <w:tcW w:w="206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11.34 %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SOFR+600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19,982</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19,722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19,686</w:t>
            </w:r>
          </w:p>
        </w:tc>
        <w:tc>
          <w:tcPr>
            <w:tcW w:w="0" w:type="dxa"/>
            <w:vAlign w:val="bottom"/>
          </w:tcPr>
          <w:p>
            <w:pPr>
              <w:spacing w:after="0"/>
              <w:rPr>
                <w:sz w:val="1"/>
                <w:szCs w:val="1"/>
                <w:color w:val="auto"/>
              </w:rPr>
            </w:pPr>
          </w:p>
        </w:tc>
      </w:tr>
      <w:tr>
        <w:trPr>
          <w:trHeight w:val="136"/>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MDI Buyer, Inc. - Revolver</w:t>
            </w:r>
          </w:p>
        </w:tc>
        <w:tc>
          <w:tcPr>
            <w:tcW w:w="1180" w:type="dxa"/>
            <w:vAlign w:val="bottom"/>
            <w:vMerge w:val="restart"/>
          </w:tcPr>
          <w:p>
            <w:pPr>
              <w:ind w:left="480"/>
              <w:spacing w:after="0"/>
              <w:rPr>
                <w:sz w:val="20"/>
                <w:szCs w:val="20"/>
                <w:color w:val="auto"/>
              </w:rPr>
            </w:pPr>
            <w:r>
              <w:rPr>
                <w:rFonts w:ascii="Times New Roman" w:cs="Times New Roman" w:eastAsia="Times New Roman" w:hAnsi="Times New Roman"/>
                <w:sz w:val="10"/>
                <w:szCs w:val="10"/>
                <w:color w:val="auto"/>
              </w:rPr>
              <w:t>07/25/2028</w:t>
            </w:r>
          </w:p>
        </w:tc>
        <w:tc>
          <w:tcPr>
            <w:tcW w:w="206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1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10.82 %</w:t>
            </w:r>
          </w:p>
        </w:tc>
        <w:tc>
          <w:tcPr>
            <w:tcW w:w="92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3M SOFR+550</w:t>
            </w:r>
          </w:p>
        </w:tc>
        <w:tc>
          <w:tcPr>
            <w:tcW w:w="8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1,381</w:t>
            </w:r>
          </w:p>
        </w:tc>
        <w:tc>
          <w:tcPr>
            <w:tcW w:w="200" w:type="dxa"/>
            <w:vAlign w:val="bottom"/>
          </w:tcPr>
          <w:p>
            <w:pPr>
              <w:spacing w:after="0"/>
              <w:rPr>
                <w:sz w:val="11"/>
                <w:szCs w:val="11"/>
                <w:color w:val="auto"/>
              </w:rPr>
            </w:pPr>
          </w:p>
        </w:tc>
        <w:tc>
          <w:tcPr>
            <w:tcW w:w="4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1,381</w:t>
            </w:r>
          </w:p>
        </w:tc>
        <w:tc>
          <w:tcPr>
            <w:tcW w:w="160" w:type="dxa"/>
            <w:vAlign w:val="bottom"/>
          </w:tcPr>
          <w:p>
            <w:pPr>
              <w:spacing w:after="0"/>
              <w:rPr>
                <w:sz w:val="11"/>
                <w:szCs w:val="11"/>
                <w:color w:val="auto"/>
              </w:rPr>
            </w:pPr>
          </w:p>
        </w:tc>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1,360</w:t>
            </w:r>
          </w:p>
        </w:tc>
        <w:tc>
          <w:tcPr>
            <w:tcW w:w="0" w:type="dxa"/>
            <w:vAlign w:val="bottom"/>
          </w:tcPr>
          <w:p>
            <w:pPr>
              <w:spacing w:after="0"/>
              <w:rPr>
                <w:sz w:val="1"/>
                <w:szCs w:val="1"/>
                <w:color w:val="auto"/>
              </w:rPr>
            </w:pPr>
          </w:p>
        </w:tc>
      </w:tr>
      <w:tr>
        <w:trPr>
          <w:trHeight w:val="76"/>
        </w:trPr>
        <w:tc>
          <w:tcPr>
            <w:tcW w:w="29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20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MDI Buyer, Inc. -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07/25/2028</w:t>
            </w:r>
          </w:p>
        </w:tc>
        <w:tc>
          <w:tcPr>
            <w:tcW w:w="206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846</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12/10/2027</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11.23 %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SOFR+590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1,927</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1,911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1,879</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Meadowlark Acquirer, LLC - Unfunded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12/10/2027</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1,685</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(42 )</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10/20/2028</w:t>
            </w:r>
          </w:p>
        </w:tc>
        <w:tc>
          <w:tcPr>
            <w:tcW w:w="206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11.58 %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SOFR+625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9,900</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9,745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9,900</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Medina Health, LLC -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10/20/2028</w:t>
            </w:r>
          </w:p>
        </w:tc>
        <w:tc>
          <w:tcPr>
            <w:tcW w:w="206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2,774</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Acquisitionco, Inc. - Revolver</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03/01/2030</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Electronics</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10.59 %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SOFR+525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390</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390</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Megawatt Acquisitionco, Inc. - Unfunded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03/01/2030</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Electronics</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1,467</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Mineola 212, LLC</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06/24/2025</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Buildings and Real Estate</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13.00 %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3,500</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3,483</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3,483</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MOREGroup Holdings, Inc.</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01/16/2030</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11.08 %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SOFR+575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12,469</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12,296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12,344</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MOREGroup Holdings, Inc. - Unfunded Term Loan </w:t>
            </w:r>
            <w:r>
              <w:rPr>
                <w:rFonts w:ascii="Times New Roman" w:cs="Times New Roman" w:eastAsia="Times New Roman" w:hAnsi="Times New Roman"/>
                <w:sz w:val="12"/>
                <w:szCs w:val="12"/>
                <w:color w:val="auto"/>
                <w:vertAlign w:val="superscript"/>
              </w:rPr>
              <w:t>(8)</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01/16/2026</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6,124</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MOREGroup Holdings, Inc. - Unfunded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01/16/2030</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3,675</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(37 )</w:t>
            </w:r>
          </w:p>
        </w:tc>
        <w:tc>
          <w:tcPr>
            <w:tcW w:w="0" w:type="dxa"/>
            <w:vAlign w:val="bottom"/>
          </w:tcPr>
          <w:p>
            <w:pPr>
              <w:spacing w:after="0"/>
              <w:rPr>
                <w:sz w:val="1"/>
                <w:szCs w:val="1"/>
                <w:color w:val="auto"/>
              </w:rPr>
            </w:pPr>
          </w:p>
        </w:tc>
      </w:tr>
      <w:tr>
        <w:trPr>
          <w:trHeight w:val="136"/>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180" w:type="dxa"/>
            <w:vAlign w:val="bottom"/>
            <w:vMerge w:val="restart"/>
          </w:tcPr>
          <w:p>
            <w:pPr>
              <w:ind w:left="480"/>
              <w:spacing w:after="0"/>
              <w:rPr>
                <w:sz w:val="20"/>
                <w:szCs w:val="20"/>
                <w:color w:val="auto"/>
              </w:rPr>
            </w:pPr>
            <w:r>
              <w:rPr>
                <w:rFonts w:ascii="Times New Roman" w:cs="Times New Roman" w:eastAsia="Times New Roman" w:hAnsi="Times New Roman"/>
                <w:sz w:val="10"/>
                <w:szCs w:val="10"/>
                <w:color w:val="auto"/>
              </w:rPr>
              <w:t>09/28/2027</w:t>
            </w:r>
          </w:p>
        </w:tc>
        <w:tc>
          <w:tcPr>
            <w:tcW w:w="206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11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10.50 %</w:t>
            </w:r>
          </w:p>
        </w:tc>
        <w:tc>
          <w:tcPr>
            <w:tcW w:w="92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3M SOFR+515</w:t>
            </w:r>
          </w:p>
        </w:tc>
        <w:tc>
          <w:tcPr>
            <w:tcW w:w="8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786</w:t>
            </w:r>
          </w:p>
        </w:tc>
        <w:tc>
          <w:tcPr>
            <w:tcW w:w="200" w:type="dxa"/>
            <w:vAlign w:val="bottom"/>
          </w:tcPr>
          <w:p>
            <w:pPr>
              <w:spacing w:after="0"/>
              <w:rPr>
                <w:sz w:val="11"/>
                <w:szCs w:val="11"/>
                <w:color w:val="auto"/>
              </w:rPr>
            </w:pPr>
          </w:p>
        </w:tc>
        <w:tc>
          <w:tcPr>
            <w:tcW w:w="4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786</w:t>
            </w:r>
          </w:p>
        </w:tc>
        <w:tc>
          <w:tcPr>
            <w:tcW w:w="16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786</w:t>
            </w:r>
          </w:p>
        </w:tc>
        <w:tc>
          <w:tcPr>
            <w:tcW w:w="0" w:type="dxa"/>
            <w:vAlign w:val="bottom"/>
          </w:tcPr>
          <w:p>
            <w:pPr>
              <w:spacing w:after="0"/>
              <w:rPr>
                <w:sz w:val="1"/>
                <w:szCs w:val="1"/>
                <w:color w:val="auto"/>
              </w:rPr>
            </w:pPr>
          </w:p>
        </w:tc>
      </w:tr>
      <w:tr>
        <w:trPr>
          <w:trHeight w:val="52"/>
        </w:trPr>
        <w:tc>
          <w:tcPr>
            <w:tcW w:w="29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20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Municipal Emergency Services, Inc. - Unfunded Term Loan A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12/16/2024</w:t>
            </w:r>
          </w:p>
        </w:tc>
        <w:tc>
          <w:tcPr>
            <w:tcW w:w="206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464</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Municipal Emergency Services, Inc. - Unfunded Term Loan B </w:t>
            </w:r>
            <w:r>
              <w:rPr>
                <w:rFonts w:ascii="Times New Roman" w:cs="Times New Roman" w:eastAsia="Times New Roman" w:hAnsi="Times New Roman"/>
                <w:sz w:val="12"/>
                <w:szCs w:val="12"/>
                <w:color w:val="auto"/>
                <w:vertAlign w:val="superscript"/>
              </w:rPr>
              <w:t>(8)</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12/16/2024</w:t>
            </w:r>
          </w:p>
        </w:tc>
        <w:tc>
          <w:tcPr>
            <w:tcW w:w="206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2,510</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Municipal Emergency Services, Inc. -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09/28/2027</w:t>
            </w:r>
          </w:p>
        </w:tc>
        <w:tc>
          <w:tcPr>
            <w:tcW w:w="206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1,880</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NBH Group LLC - Revolver </w:t>
            </w:r>
            <w:r>
              <w:rPr>
                <w:rFonts w:ascii="Times New Roman" w:cs="Times New Roman" w:eastAsia="Times New Roman" w:hAnsi="Times New Roman"/>
                <w:sz w:val="12"/>
                <w:szCs w:val="12"/>
                <w:color w:val="auto"/>
                <w:vertAlign w:val="superscript"/>
              </w:rPr>
              <w:t>(8)</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08/19/2026</w:t>
            </w:r>
          </w:p>
        </w:tc>
        <w:tc>
          <w:tcPr>
            <w:tcW w:w="206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1,163</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(58 )</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08/31/2029</w:t>
            </w:r>
          </w:p>
        </w:tc>
        <w:tc>
          <w:tcPr>
            <w:tcW w:w="206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11.68 %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SOFR+635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5,459</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5,359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5,459</w:t>
            </w: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NORA Acquisition, LLC - Revolver </w:t>
            </w:r>
            <w:r>
              <w:rPr>
                <w:rFonts w:ascii="Times New Roman" w:cs="Times New Roman" w:eastAsia="Times New Roman" w:hAnsi="Times New Roman"/>
                <w:sz w:val="12"/>
                <w:szCs w:val="12"/>
                <w:color w:val="auto"/>
                <w:vertAlign w:val="superscript"/>
              </w:rPr>
              <w:t>(8)</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08/31/2029</w:t>
            </w:r>
          </w:p>
        </w:tc>
        <w:tc>
          <w:tcPr>
            <w:tcW w:w="206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2,707</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NP Riverhead Industrial, LLC</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05/24/2025</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Buildings and Real Estate</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14.50 %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5,000</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4,978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4,975</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11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12/29/2029</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10.83 %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SOFR+550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6,294</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6,260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6,199</w:t>
            </w: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Omnia Exterior Solutions, LLC - Unfunded Term Loan 2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12/29/2025</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1,400</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bl>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0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820" w:type="dxa"/>
            <w:vAlign w:val="bottom"/>
          </w:tcPr>
          <w:p>
            <w:pPr>
              <w:spacing w:after="0"/>
              <w:rPr>
                <w:sz w:val="10"/>
                <w:szCs w:val="10"/>
                <w:color w:val="auto"/>
              </w:rPr>
            </w:pP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060" w:type="dxa"/>
            <w:vAlign w:val="bottom"/>
          </w:tcPr>
          <w:p>
            <w:pPr>
              <w:spacing w:after="0"/>
              <w:rPr>
                <w:sz w:val="10"/>
                <w:szCs w:val="10"/>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4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3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00" w:type="dxa"/>
            <w:vAlign w:val="bottom"/>
          </w:tcPr>
          <w:p>
            <w:pPr>
              <w:jc w:val="center"/>
              <w:ind w:right="7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1"/>
                <w:szCs w:val="11"/>
                <w:color w:val="auto"/>
              </w:rPr>
            </w:pPr>
          </w:p>
        </w:tc>
        <w:tc>
          <w:tcPr>
            <w:tcW w:w="740" w:type="dxa"/>
            <w:vAlign w:val="bottom"/>
          </w:tcPr>
          <w:p>
            <w:pPr>
              <w:jc w:val="right"/>
              <w:ind w:right="13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Omnia Exterior Solutions, LLC - Revolver </w:t>
            </w:r>
            <w:r>
              <w:rPr>
                <w:rFonts w:ascii="Times New Roman" w:cs="Times New Roman" w:eastAsia="Times New Roman" w:hAnsi="Times New Roman"/>
                <w:sz w:val="12"/>
                <w:szCs w:val="12"/>
                <w:color w:val="auto"/>
                <w:vertAlign w:val="superscript"/>
              </w:rPr>
              <w:t>(8)</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12/29/2029</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1,400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(21 )</w:t>
            </w: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Acquisition, Inc.</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09/03/2027</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14.73 %</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3M SOFR+940</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4,107</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4,056</w:t>
            </w:r>
          </w:p>
        </w:tc>
        <w:tc>
          <w:tcPr>
            <w:tcW w:w="16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3,203</w:t>
            </w:r>
          </w:p>
        </w:tc>
      </w:tr>
      <w:tr>
        <w:trPr>
          <w:trHeight w:val="148"/>
        </w:trPr>
        <w:tc>
          <w:tcPr>
            <w:tcW w:w="2820" w:type="dxa"/>
            <w:vAlign w:val="bottom"/>
            <w:shd w:val="clear" w:color="auto" w:fill="CCECFF"/>
          </w:tcPr>
          <w:p>
            <w:pPr>
              <w:spacing w:after="0"/>
              <w:rPr>
                <w:sz w:val="12"/>
                <w:szCs w:val="12"/>
                <w:color w:val="auto"/>
              </w:rPr>
            </w:pPr>
          </w:p>
        </w:tc>
        <w:tc>
          <w:tcPr>
            <w:tcW w:w="1340" w:type="dxa"/>
            <w:vAlign w:val="bottom"/>
            <w:shd w:val="clear" w:color="auto" w:fill="CCECFF"/>
          </w:tcPr>
          <w:p>
            <w:pPr>
              <w:spacing w:after="0"/>
              <w:rPr>
                <w:sz w:val="12"/>
                <w:szCs w:val="12"/>
                <w:color w:val="auto"/>
              </w:rPr>
            </w:pPr>
          </w:p>
        </w:tc>
        <w:tc>
          <w:tcPr>
            <w:tcW w:w="2060" w:type="dxa"/>
            <w:vAlign w:val="bottom"/>
            <w:shd w:val="clear" w:color="auto" w:fill="CCECFF"/>
          </w:tcPr>
          <w:p>
            <w:pPr>
              <w:spacing w:after="0"/>
              <w:rPr>
                <w:sz w:val="12"/>
                <w:szCs w:val="12"/>
                <w:color w:val="auto"/>
              </w:rPr>
            </w:pP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7.5%)</w:t>
            </w:r>
          </w:p>
        </w:tc>
        <w:tc>
          <w:tcPr>
            <w:tcW w:w="9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ORL Acquisition, Inc. - Revolver </w:t>
            </w:r>
            <w:r>
              <w:rPr>
                <w:rFonts w:ascii="Times New Roman" w:cs="Times New Roman" w:eastAsia="Times New Roman" w:hAnsi="Times New Roman"/>
                <w:sz w:val="12"/>
                <w:szCs w:val="12"/>
                <w:color w:val="auto"/>
                <w:vertAlign w:val="superscript"/>
              </w:rPr>
              <w:t>(8)</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09/03/2027</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149</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(33 )</w:t>
            </w: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OSP Embedded Purchaser, LLC</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12/15/2029</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11.18 %</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3M SOFR+585</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6,468</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6,359</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6,280</w:t>
            </w: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OSP Embedded Purchaser, LLC - Revolver </w:t>
            </w:r>
            <w:r>
              <w:rPr>
                <w:rFonts w:ascii="Times New Roman" w:cs="Times New Roman" w:eastAsia="Times New Roman" w:hAnsi="Times New Roman"/>
                <w:sz w:val="12"/>
                <w:szCs w:val="12"/>
                <w:color w:val="auto"/>
                <w:vertAlign w:val="superscript"/>
              </w:rPr>
              <w:t>(8)</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12/15/2029</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1,477</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(43 )</w:t>
            </w: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05/18/2026</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11.85 %</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1M SOFR+651</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13,460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13,363</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13,460</w:t>
            </w: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Ox Two, LLC - Revolver </w:t>
            </w:r>
            <w:r>
              <w:rPr>
                <w:rFonts w:ascii="Times New Roman" w:cs="Times New Roman" w:eastAsia="Times New Roman" w:hAnsi="Times New Roman"/>
                <w:sz w:val="12"/>
                <w:szCs w:val="12"/>
                <w:color w:val="auto"/>
                <w:vertAlign w:val="superscript"/>
              </w:rPr>
              <w:t>(8)</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05/18/2026</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2,419</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Pacific Purchaser, LLC - Unfunded Term Loan </w:t>
            </w:r>
            <w:r>
              <w:rPr>
                <w:rFonts w:ascii="Times New Roman" w:cs="Times New Roman" w:eastAsia="Times New Roman" w:hAnsi="Times New Roman"/>
                <w:sz w:val="12"/>
                <w:szCs w:val="12"/>
                <w:color w:val="auto"/>
                <w:vertAlign w:val="superscript"/>
              </w:rPr>
              <w:t>(8)</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09/30/2028</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2,747</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w:t>
            </w: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Pacific Purchaser, LLC - Revolver </w:t>
            </w:r>
            <w:r>
              <w:rPr>
                <w:rFonts w:ascii="Times New Roman" w:cs="Times New Roman" w:eastAsia="Times New Roman" w:hAnsi="Times New Roman"/>
                <w:sz w:val="12"/>
                <w:szCs w:val="12"/>
                <w:color w:val="auto"/>
                <w:vertAlign w:val="superscript"/>
              </w:rPr>
              <w:t>(8)</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09/30/2028</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1,373</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w:t>
            </w: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03/01/2030</w:t>
            </w:r>
          </w:p>
        </w:tc>
        <w:tc>
          <w:tcPr>
            <w:tcW w:w="206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11.10 %</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1M SOFR+575</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468</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463</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463</w:t>
            </w: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PCS MIDCO INC - Unfunded Term Loan </w:t>
            </w:r>
            <w:r>
              <w:rPr>
                <w:rFonts w:ascii="Times New Roman" w:cs="Times New Roman" w:eastAsia="Times New Roman" w:hAnsi="Times New Roman"/>
                <w:sz w:val="12"/>
                <w:szCs w:val="12"/>
                <w:color w:val="auto"/>
                <w:vertAlign w:val="superscript"/>
              </w:rPr>
              <w:t>(8)</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03/01/2026</w:t>
            </w:r>
          </w:p>
        </w:tc>
        <w:tc>
          <w:tcPr>
            <w:tcW w:w="206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3,955</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MIDCO INC - Funded Revolver</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03/01/2030</w:t>
            </w:r>
          </w:p>
        </w:tc>
        <w:tc>
          <w:tcPr>
            <w:tcW w:w="206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11.10 %</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1M SOFR+575</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308</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308</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305</w:t>
            </w: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PCS MIDCO INC - Unfunded Revolver </w:t>
            </w:r>
            <w:r>
              <w:rPr>
                <w:rFonts w:ascii="Times New Roman" w:cs="Times New Roman" w:eastAsia="Times New Roman" w:hAnsi="Times New Roman"/>
                <w:sz w:val="12"/>
                <w:szCs w:val="12"/>
                <w:color w:val="auto"/>
                <w:vertAlign w:val="superscript"/>
              </w:rPr>
              <w:t>(8)</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03/01/2030</w:t>
            </w:r>
          </w:p>
        </w:tc>
        <w:tc>
          <w:tcPr>
            <w:tcW w:w="206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1,454</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(15 )</w:t>
            </w:r>
          </w:p>
        </w:tc>
      </w:tr>
      <w:tr>
        <w:trPr>
          <w:trHeight w:val="133"/>
        </w:trPr>
        <w:tc>
          <w:tcPr>
            <w:tcW w:w="2820" w:type="dxa"/>
            <w:vAlign w:val="bottom"/>
            <w:shd w:val="clear" w:color="auto" w:fill="CCECFF"/>
          </w:tcPr>
          <w:p>
            <w:pPr>
              <w:spacing w:after="0"/>
              <w:rPr>
                <w:sz w:val="11"/>
                <w:szCs w:val="11"/>
                <w:color w:val="auto"/>
              </w:rPr>
            </w:pPr>
          </w:p>
        </w:tc>
        <w:tc>
          <w:tcPr>
            <w:tcW w:w="1340" w:type="dxa"/>
            <w:vAlign w:val="bottom"/>
            <w:shd w:val="clear" w:color="auto" w:fill="CCECFF"/>
          </w:tcPr>
          <w:p>
            <w:pPr>
              <w:spacing w:after="0"/>
              <w:rPr>
                <w:sz w:val="11"/>
                <w:szCs w:val="11"/>
                <w:color w:val="auto"/>
              </w:rPr>
            </w:pP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110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r>
      <w:tr>
        <w:trPr>
          <w:trHeight w:val="132"/>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05/10/2026</w:t>
            </w:r>
          </w:p>
        </w:tc>
        <w:tc>
          <w:tcPr>
            <w:tcW w:w="206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Entertainment</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10.95 %</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3M SOFR+550</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5,246</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4,959</w:t>
            </w:r>
          </w:p>
        </w:tc>
        <w:tc>
          <w:tcPr>
            <w:tcW w:w="16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5,167</w:t>
            </w: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PL Acquisitionco, LLC - Revolver </w:t>
            </w:r>
            <w:r>
              <w:rPr>
                <w:rFonts w:ascii="Times New Roman" w:cs="Times New Roman" w:eastAsia="Times New Roman" w:hAnsi="Times New Roman"/>
                <w:sz w:val="12"/>
                <w:szCs w:val="12"/>
                <w:color w:val="auto"/>
                <w:vertAlign w:val="superscript"/>
              </w:rPr>
              <w:t>(8)</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11/09/2027</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Retail</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3,236</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(647 )</w:t>
            </w: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Pragmatic Institute, LLC </w:t>
            </w:r>
            <w:r>
              <w:rPr>
                <w:rFonts w:ascii="Times New Roman" w:cs="Times New Roman" w:eastAsia="Times New Roman" w:hAnsi="Times New Roman"/>
                <w:sz w:val="12"/>
                <w:szCs w:val="12"/>
                <w:color w:val="auto"/>
                <w:vertAlign w:val="superscript"/>
              </w:rPr>
              <w:t>(7)</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07/06/2028</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12.85 %</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3M SOFR+750</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35,762</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35,134</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22,977</w:t>
            </w:r>
          </w:p>
        </w:tc>
      </w:tr>
      <w:tr>
        <w:trPr>
          <w:trHeight w:val="140"/>
        </w:trPr>
        <w:tc>
          <w:tcPr>
            <w:tcW w:w="2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12.8%)</w:t>
            </w: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Pragmatic Institute, LLC - Revolver </w:t>
            </w:r>
            <w:r>
              <w:rPr>
                <w:rFonts w:ascii="Times New Roman" w:cs="Times New Roman" w:eastAsia="Times New Roman" w:hAnsi="Times New Roman"/>
                <w:sz w:val="12"/>
                <w:szCs w:val="12"/>
                <w:color w:val="auto"/>
                <w:vertAlign w:val="superscript"/>
              </w:rPr>
              <w:t>(7)</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07/06/2028</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12.82 %</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3M SOFR+750</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4,938</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4,905</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3,173</w:t>
            </w:r>
          </w:p>
        </w:tc>
      </w:tr>
      <w:tr>
        <w:trPr>
          <w:trHeight w:val="140"/>
        </w:trPr>
        <w:tc>
          <w:tcPr>
            <w:tcW w:w="2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12.8%)</w:t>
            </w: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11/19/2026</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11.68 %</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3M SOFR+635</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1,472</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1,465</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1,457</w:t>
            </w: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 - Funded Revolver</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08/17/2026</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11.70 %</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3M SOFR+635</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264</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264</w:t>
            </w:r>
          </w:p>
        </w:tc>
        <w:tc>
          <w:tcPr>
            <w:tcW w:w="16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263</w:t>
            </w: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Quantic Electronics, LLC - Unfunded Revolver </w:t>
            </w:r>
            <w:r>
              <w:rPr>
                <w:rFonts w:ascii="Times New Roman" w:cs="Times New Roman" w:eastAsia="Times New Roman" w:hAnsi="Times New Roman"/>
                <w:sz w:val="12"/>
                <w:szCs w:val="12"/>
                <w:color w:val="auto"/>
                <w:vertAlign w:val="superscript"/>
              </w:rPr>
              <w:t>(8)</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08/17/2026</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264</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 - Revolver</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03/31/2025</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11.24 %</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3M SOFR+575</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631</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631</w:t>
            </w:r>
          </w:p>
        </w:tc>
        <w:tc>
          <w:tcPr>
            <w:tcW w:w="16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618</w:t>
            </w: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Radius Aerospace, Inc. - Revolver </w:t>
            </w:r>
            <w:r>
              <w:rPr>
                <w:rFonts w:ascii="Times New Roman" w:cs="Times New Roman" w:eastAsia="Times New Roman" w:hAnsi="Times New Roman"/>
                <w:sz w:val="12"/>
                <w:szCs w:val="12"/>
                <w:color w:val="auto"/>
                <w:vertAlign w:val="superscript"/>
              </w:rPr>
              <w:t>(8)</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03/31/2025</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1,596</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(32 )</w:t>
            </w: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12/18/2025</w:t>
            </w:r>
          </w:p>
        </w:tc>
        <w:tc>
          <w:tcPr>
            <w:tcW w:w="206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10.90 %</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3M SOFR+550</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362</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362</w:t>
            </w:r>
          </w:p>
        </w:tc>
        <w:tc>
          <w:tcPr>
            <w:tcW w:w="16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362</w:t>
            </w: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Rancho Health MSO, Inc. - Unfunded Term Loan </w:t>
            </w:r>
            <w:r>
              <w:rPr>
                <w:rFonts w:ascii="Times New Roman" w:cs="Times New Roman" w:eastAsia="Times New Roman" w:hAnsi="Times New Roman"/>
                <w:sz w:val="12"/>
                <w:szCs w:val="12"/>
                <w:color w:val="auto"/>
                <w:vertAlign w:val="superscript"/>
              </w:rPr>
              <w:t>(8)</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12/18/2025</w:t>
            </w:r>
          </w:p>
        </w:tc>
        <w:tc>
          <w:tcPr>
            <w:tcW w:w="206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210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 - Revolver</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12/18/2025</w:t>
            </w:r>
          </w:p>
        </w:tc>
        <w:tc>
          <w:tcPr>
            <w:tcW w:w="206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10.90 %</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3M SOFR+550</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210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w:t>
            </w:r>
          </w:p>
        </w:tc>
        <w:tc>
          <w:tcPr>
            <w:tcW w:w="16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Rancho Health MSO, Inc. - Revolver </w:t>
            </w:r>
            <w:r>
              <w:rPr>
                <w:rFonts w:ascii="Times New Roman" w:cs="Times New Roman" w:eastAsia="Times New Roman" w:hAnsi="Times New Roman"/>
                <w:sz w:val="12"/>
                <w:szCs w:val="12"/>
                <w:color w:val="auto"/>
                <w:vertAlign w:val="superscript"/>
              </w:rPr>
              <w:t>(8)</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12/18/2025</w:t>
            </w:r>
          </w:p>
        </w:tc>
        <w:tc>
          <w:tcPr>
            <w:tcW w:w="206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315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02/28/2028</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Transportation</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11.48 %</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3M SOFR+615</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10,818</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9,633</w:t>
            </w:r>
          </w:p>
        </w:tc>
        <w:tc>
          <w:tcPr>
            <w:tcW w:w="16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8,654</w:t>
            </w: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Recteq, LLC - Revolver </w:t>
            </w:r>
            <w:r>
              <w:rPr>
                <w:rFonts w:ascii="Times New Roman" w:cs="Times New Roman" w:eastAsia="Times New Roman" w:hAnsi="Times New Roman"/>
                <w:sz w:val="12"/>
                <w:szCs w:val="12"/>
                <w:color w:val="auto"/>
                <w:vertAlign w:val="superscript"/>
              </w:rPr>
              <w:t>(8)</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01/29/2026</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1,127</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(17 )</w:t>
            </w:r>
          </w:p>
        </w:tc>
      </w:tr>
      <w:tr>
        <w:trPr>
          <w:trHeight w:val="17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Research Now Group, LLC and Dynata, LLC </w:t>
            </w:r>
            <w:r>
              <w:rPr>
                <w:rFonts w:ascii="Times New Roman" w:cs="Times New Roman" w:eastAsia="Times New Roman" w:hAnsi="Times New Roman"/>
                <w:sz w:val="12"/>
                <w:szCs w:val="12"/>
                <w:color w:val="auto"/>
                <w:vertAlign w:val="superscript"/>
              </w:rPr>
              <w:t>(6)</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12/20/2024</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124</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w:t>
            </w:r>
          </w:p>
        </w:tc>
        <w:tc>
          <w:tcPr>
            <w:tcW w:w="160" w:type="dxa"/>
            <w:vAlign w:val="bottom"/>
          </w:tcPr>
          <w:p>
            <w:pPr>
              <w:spacing w:after="0"/>
              <w:rPr>
                <w:sz w:val="14"/>
                <w:szCs w:val="14"/>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w:t>
            </w:r>
          </w:p>
        </w:tc>
      </w:tr>
      <w:tr>
        <w:trPr>
          <w:trHeight w:val="258"/>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 - Revolver</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06/20/2025</w:t>
            </w:r>
          </w:p>
        </w:tc>
        <w:tc>
          <w:tcPr>
            <w:tcW w:w="206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10.93 %</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3M SOFR+560</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182</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182</w:t>
            </w:r>
          </w:p>
        </w:tc>
        <w:tc>
          <w:tcPr>
            <w:tcW w:w="160" w:type="dxa"/>
            <w:vAlign w:val="bottom"/>
          </w:tcPr>
          <w:p>
            <w:pPr>
              <w:spacing w:after="0"/>
              <w:rPr>
                <w:sz w:val="22"/>
                <w:szCs w:val="2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182</w:t>
            </w: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Riverpoint Medical, LLC - Revolver </w:t>
            </w:r>
            <w:r>
              <w:rPr>
                <w:rFonts w:ascii="Times New Roman" w:cs="Times New Roman" w:eastAsia="Times New Roman" w:hAnsi="Times New Roman"/>
                <w:sz w:val="12"/>
                <w:szCs w:val="12"/>
                <w:color w:val="auto"/>
                <w:vertAlign w:val="superscript"/>
              </w:rPr>
              <w:t>(8)</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06/20/2025</w:t>
            </w:r>
          </w:p>
        </w:tc>
        <w:tc>
          <w:tcPr>
            <w:tcW w:w="206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182</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05/03/2029</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11.09 %</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3M SOFR+575</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30,000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29,554</w:t>
            </w:r>
          </w:p>
        </w:tc>
        <w:tc>
          <w:tcPr>
            <w:tcW w:w="16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29,400</w:t>
            </w: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RTIC Subsidiary Holdings, LLC - Revolver </w:t>
            </w:r>
            <w:r>
              <w:rPr>
                <w:rFonts w:ascii="Times New Roman" w:cs="Times New Roman" w:eastAsia="Times New Roman" w:hAnsi="Times New Roman"/>
                <w:sz w:val="12"/>
                <w:szCs w:val="12"/>
                <w:color w:val="auto"/>
                <w:vertAlign w:val="superscript"/>
              </w:rPr>
              <w:t>(8)</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05/03/2029</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5,422</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(108 )</w:t>
            </w: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06/15/2029</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11.08 %</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3M SOFR+575</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1,143</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1,126</w:t>
            </w:r>
          </w:p>
        </w:tc>
        <w:tc>
          <w:tcPr>
            <w:tcW w:w="16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1,132</w:t>
            </w: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Rural Sourcing Holdings, Inc. - Unfunded Term Loan </w:t>
            </w:r>
            <w:r>
              <w:rPr>
                <w:rFonts w:ascii="Times New Roman" w:cs="Times New Roman" w:eastAsia="Times New Roman" w:hAnsi="Times New Roman"/>
                <w:sz w:val="12"/>
                <w:szCs w:val="12"/>
                <w:color w:val="auto"/>
                <w:vertAlign w:val="superscript"/>
              </w:rPr>
              <w:t>(8)</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06/27/2026</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1,146</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(6 )</w:t>
            </w: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Rural Sourcing Holdings, Inc. - Revolver </w:t>
            </w:r>
            <w:r>
              <w:rPr>
                <w:rFonts w:ascii="Times New Roman" w:cs="Times New Roman" w:eastAsia="Times New Roman" w:hAnsi="Times New Roman"/>
                <w:sz w:val="12"/>
                <w:szCs w:val="12"/>
                <w:color w:val="auto"/>
                <w:vertAlign w:val="superscript"/>
              </w:rPr>
              <w:t>(8)</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06/15/2029</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860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(9 )</w:t>
            </w: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S101 Holdings, Inc. - Term Loan B</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12/29/2026</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Electronics</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11.45 %</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3M SOFR+615</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2,265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2,244</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2,243</w:t>
            </w: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S101 Holdings, Inc. - Term Loan C</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12/29/2026</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Electronics</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11.45 %</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3M SOFR+615</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356</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352</w:t>
            </w:r>
          </w:p>
        </w:tc>
        <w:tc>
          <w:tcPr>
            <w:tcW w:w="16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352</w:t>
            </w: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S101 Holdings, Inc. - Unfunded Term Loan 2 </w:t>
            </w:r>
            <w:r>
              <w:rPr>
                <w:rFonts w:ascii="Times New Roman" w:cs="Times New Roman" w:eastAsia="Times New Roman" w:hAnsi="Times New Roman"/>
                <w:sz w:val="12"/>
                <w:szCs w:val="12"/>
                <w:color w:val="auto"/>
                <w:vertAlign w:val="superscript"/>
              </w:rPr>
              <w:t>(8)</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12/15/2024</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Electronics</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4,955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Safe Haven Defense US LLC - Term Loan</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05/23/2029</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10.58 %</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3M SOFR+525</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9,000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8,865</w:t>
            </w:r>
          </w:p>
        </w:tc>
        <w:tc>
          <w:tcPr>
            <w:tcW w:w="16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8,865</w:t>
            </w: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Safe Haven Defense US LLC - Revolver </w:t>
            </w:r>
            <w:r>
              <w:rPr>
                <w:rFonts w:ascii="Times New Roman" w:cs="Times New Roman" w:eastAsia="Times New Roman" w:hAnsi="Times New Roman"/>
                <w:sz w:val="12"/>
                <w:szCs w:val="12"/>
                <w:color w:val="auto"/>
                <w:vertAlign w:val="superscript"/>
              </w:rPr>
              <w:t>(8)</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05/23/2029</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1,114</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Sales Benchmark Index LLC - Revolver </w:t>
            </w:r>
            <w:r>
              <w:rPr>
                <w:rFonts w:ascii="Times New Roman" w:cs="Times New Roman" w:eastAsia="Times New Roman" w:hAnsi="Times New Roman"/>
                <w:sz w:val="12"/>
                <w:szCs w:val="12"/>
                <w:color w:val="auto"/>
                <w:vertAlign w:val="superscript"/>
              </w:rPr>
              <w:t>(8)</w:t>
            </w:r>
          </w:p>
        </w:tc>
        <w:tc>
          <w:tcPr>
            <w:tcW w:w="134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01/03/2025</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732</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 - Revolver</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12/20/2024</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Electronics</w:t>
            </w:r>
          </w:p>
        </w:tc>
        <w:tc>
          <w:tcPr>
            <w:tcW w:w="11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11.94 %</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3M SOFR+650</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457</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457</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457</w:t>
            </w:r>
          </w:p>
        </w:tc>
      </w:tr>
      <w:tr>
        <w:trPr>
          <w:trHeight w:val="140"/>
        </w:trPr>
        <w:tc>
          <w:tcPr>
            <w:tcW w:w="2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1.0%)</w:t>
            </w: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Sargent &amp; Greenleaf Inc. - Revolver </w:t>
            </w:r>
            <w:r>
              <w:rPr>
                <w:rFonts w:ascii="Times New Roman" w:cs="Times New Roman" w:eastAsia="Times New Roman" w:hAnsi="Times New Roman"/>
                <w:sz w:val="12"/>
                <w:szCs w:val="12"/>
                <w:color w:val="auto"/>
                <w:vertAlign w:val="superscript"/>
              </w:rPr>
              <w:t>(8)</w:t>
            </w:r>
          </w:p>
        </w:tc>
        <w:tc>
          <w:tcPr>
            <w:tcW w:w="13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12/20/2024</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Electronics</w:t>
            </w:r>
          </w:p>
        </w:tc>
        <w:tc>
          <w:tcPr>
            <w:tcW w:w="11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155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bl>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260" w:type="dxa"/>
            <w:vAlign w:val="bottom"/>
          </w:tcPr>
          <w:p>
            <w:pPr>
              <w:spacing w:after="0"/>
              <w:rPr>
                <w:sz w:val="10"/>
                <w:szCs w:val="10"/>
                <w:color w:val="auto"/>
              </w:rPr>
            </w:pP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020" w:type="dxa"/>
            <w:vAlign w:val="bottom"/>
          </w:tcPr>
          <w:p>
            <w:pPr>
              <w:spacing w:after="0"/>
              <w:rPr>
                <w:sz w:val="10"/>
                <w:szCs w:val="10"/>
                <w:color w:val="auto"/>
              </w:rPr>
            </w:pPr>
          </w:p>
        </w:tc>
        <w:tc>
          <w:tcPr>
            <w:tcW w:w="11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3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1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20" w:type="dxa"/>
            <w:vAlign w:val="bottom"/>
          </w:tcPr>
          <w:p>
            <w:pPr>
              <w:jc w:val="center"/>
              <w:ind w:right="9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0" w:type="dxa"/>
            <w:vAlign w:val="bottom"/>
          </w:tcPr>
          <w:p>
            <w:pPr>
              <w:spacing w:after="0"/>
              <w:rPr>
                <w:sz w:val="11"/>
                <w:szCs w:val="11"/>
                <w:color w:val="auto"/>
              </w:rPr>
            </w:pPr>
          </w:p>
        </w:tc>
        <w:tc>
          <w:tcPr>
            <w:tcW w:w="4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1"/>
                <w:szCs w:val="11"/>
                <w:color w:val="auto"/>
              </w:rPr>
            </w:pPr>
          </w:p>
        </w:tc>
        <w:tc>
          <w:tcPr>
            <w:tcW w:w="700" w:type="dxa"/>
            <w:vAlign w:val="bottom"/>
          </w:tcPr>
          <w:p>
            <w:pPr>
              <w:jc w:val="right"/>
              <w:ind w:right="112"/>
              <w:spacing w:after="0" w:line="134"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(3)</w:t>
            </w: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07/14/2025</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13.69 %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SOFR+835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4,811</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4,788</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4,739</w:t>
            </w:r>
          </w:p>
        </w:tc>
      </w:tr>
      <w:tr>
        <w:trPr>
          <w:trHeight w:val="140"/>
        </w:trPr>
        <w:tc>
          <w:tcPr>
            <w:tcW w:w="3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5.6%)</w:t>
            </w: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 - Revolver</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07/14/2025</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13.69 %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SOFR+835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w:t>
            </w:r>
          </w:p>
        </w:tc>
      </w:tr>
      <w:tr>
        <w:trPr>
          <w:trHeight w:val="140"/>
        </w:trPr>
        <w:tc>
          <w:tcPr>
            <w:tcW w:w="3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5.6%)</w:t>
            </w: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Schlesinger Global, Inc. - Revolver </w:t>
            </w:r>
            <w:r>
              <w:rPr>
                <w:rFonts w:ascii="Times New Roman" w:cs="Times New Roman" w:eastAsia="Times New Roman" w:hAnsi="Times New Roman"/>
                <w:sz w:val="12"/>
                <w:szCs w:val="12"/>
                <w:color w:val="auto"/>
                <w:vertAlign w:val="superscript"/>
              </w:rPr>
              <w:t>(8)</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07/14/2025</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06/13/2029</w:t>
            </w:r>
          </w:p>
        </w:tc>
        <w:tc>
          <w:tcPr>
            <w:tcW w:w="20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11.48 %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SOFR+615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4,716</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4,660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4,563</w:t>
            </w: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 - Revolver</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06/13/2029</w:t>
            </w:r>
          </w:p>
        </w:tc>
        <w:tc>
          <w:tcPr>
            <w:tcW w:w="20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1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11.48 %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SOFR+615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313</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302</w:t>
            </w: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Seaway Buyer, LLC - Revolver </w:t>
            </w:r>
            <w:r>
              <w:rPr>
                <w:rFonts w:ascii="Times New Roman" w:cs="Times New Roman" w:eastAsia="Times New Roman" w:hAnsi="Times New Roman"/>
                <w:sz w:val="12"/>
                <w:szCs w:val="12"/>
                <w:color w:val="auto"/>
                <w:vertAlign w:val="superscript"/>
              </w:rPr>
              <w:t>(8)</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06/13/2029</w:t>
            </w:r>
          </w:p>
        </w:tc>
        <w:tc>
          <w:tcPr>
            <w:tcW w:w="20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2,814</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(91 )</w:t>
            </w: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Shiftkey, LLC</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06/21/2027</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11.35 %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SOFR+601</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17,640</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17,516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16,917</w:t>
            </w: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12/18/2027</w:t>
            </w:r>
          </w:p>
        </w:tc>
        <w:tc>
          <w:tcPr>
            <w:tcW w:w="2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12.49 %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SOFR+715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25,901</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25,331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25,642</w:t>
            </w: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 - Revolver</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12/18/2027</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1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12.49 %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SOFR+715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1,701</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1,701</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1,684</w:t>
            </w: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Sigma Defense Systems, LLC - Revolver </w:t>
            </w:r>
            <w:r>
              <w:rPr>
                <w:rFonts w:ascii="Times New Roman" w:cs="Times New Roman" w:eastAsia="Times New Roman" w:hAnsi="Times New Roman"/>
                <w:sz w:val="12"/>
                <w:szCs w:val="12"/>
                <w:color w:val="auto"/>
                <w:vertAlign w:val="superscript"/>
              </w:rPr>
              <w:t>(8)</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12/18/2027</w:t>
            </w:r>
          </w:p>
        </w:tc>
        <w:tc>
          <w:tcPr>
            <w:tcW w:w="2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1,984</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(20 )</w:t>
            </w: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12/02/2026</w:t>
            </w:r>
          </w:p>
        </w:tc>
        <w:tc>
          <w:tcPr>
            <w:tcW w:w="20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1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11.67 %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SOFR+625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3,420</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3,414</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3,380</w:t>
            </w: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Simplicity Financial Marketing Group Holdings Inc. - Unfunded Term Loan </w:t>
            </w:r>
            <w:r>
              <w:rPr>
                <w:rFonts w:ascii="Times New Roman" w:cs="Times New Roman" w:eastAsia="Times New Roman" w:hAnsi="Times New Roman"/>
                <w:sz w:val="12"/>
                <w:szCs w:val="12"/>
                <w:color w:val="auto"/>
                <w:vertAlign w:val="superscript"/>
              </w:rPr>
              <w:t>(8)</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02/09/2026</w:t>
            </w:r>
          </w:p>
        </w:tc>
        <w:tc>
          <w:tcPr>
            <w:tcW w:w="20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5,310</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(53 )</w:t>
            </w:r>
          </w:p>
        </w:tc>
      </w:tr>
      <w:tr>
        <w:trPr>
          <w:trHeight w:val="144"/>
        </w:trPr>
        <w:tc>
          <w:tcPr>
            <w:tcW w:w="32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11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Simplicity Financial Marketing Group Holdings Inc. - Unfunded Revolver </w:t>
            </w:r>
            <w:r>
              <w:rPr>
                <w:rFonts w:ascii="Times New Roman" w:cs="Times New Roman" w:eastAsia="Times New Roman" w:hAnsi="Times New Roman"/>
                <w:sz w:val="12"/>
                <w:szCs w:val="12"/>
                <w:color w:val="auto"/>
                <w:vertAlign w:val="superscript"/>
              </w:rPr>
              <w:t>(8)</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12/02/2026</w:t>
            </w:r>
          </w:p>
        </w:tc>
        <w:tc>
          <w:tcPr>
            <w:tcW w:w="20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1,043</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11/23/2028</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11.58 %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SOFR+600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5,579</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5,493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5,579</w:t>
            </w: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Smartronix, LLC - Unfunded Revolver </w:t>
            </w:r>
            <w:r>
              <w:rPr>
                <w:rFonts w:ascii="Times New Roman" w:cs="Times New Roman" w:eastAsia="Times New Roman" w:hAnsi="Times New Roman"/>
                <w:sz w:val="12"/>
                <w:szCs w:val="12"/>
                <w:color w:val="auto"/>
                <w:vertAlign w:val="superscript"/>
              </w:rPr>
              <w:t>(8)</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11/23/2027</w:t>
            </w:r>
          </w:p>
        </w:tc>
        <w:tc>
          <w:tcPr>
            <w:tcW w:w="2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3,941</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Solutionreach, Inc. - Revolver </w:t>
            </w:r>
            <w:r>
              <w:rPr>
                <w:rFonts w:ascii="Times New Roman" w:cs="Times New Roman" w:eastAsia="Times New Roman" w:hAnsi="Times New Roman"/>
                <w:sz w:val="12"/>
                <w:szCs w:val="12"/>
                <w:color w:val="auto"/>
                <w:vertAlign w:val="superscript"/>
              </w:rPr>
              <w:t>(8)</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07/17/2025</w:t>
            </w:r>
          </w:p>
        </w:tc>
        <w:tc>
          <w:tcPr>
            <w:tcW w:w="20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Communications</w:t>
            </w:r>
          </w:p>
        </w:tc>
        <w:tc>
          <w:tcPr>
            <w:tcW w:w="11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833</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03/01/2028</w:t>
            </w:r>
          </w:p>
        </w:tc>
        <w:tc>
          <w:tcPr>
            <w:tcW w:w="2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10.98 %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SOFR+565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284</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284</w:t>
            </w: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Spendmend Holdings LLC - Unfunded Term Loan </w:t>
            </w:r>
            <w:r>
              <w:rPr>
                <w:rFonts w:ascii="Times New Roman" w:cs="Times New Roman" w:eastAsia="Times New Roman" w:hAnsi="Times New Roman"/>
                <w:sz w:val="12"/>
                <w:szCs w:val="12"/>
                <w:color w:val="auto"/>
                <w:vertAlign w:val="superscript"/>
              </w:rPr>
              <w:t>(8)</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03/01/2025</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2,497</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w:t>
            </w: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 - Revolver</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03/01/2028</w:t>
            </w:r>
          </w:p>
        </w:tc>
        <w:tc>
          <w:tcPr>
            <w:tcW w:w="2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10.98 %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SOFR+565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561</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561</w:t>
            </w: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Spendmend Holdings LLC - Revolver </w:t>
            </w:r>
            <w:r>
              <w:rPr>
                <w:rFonts w:ascii="Times New Roman" w:cs="Times New Roman" w:eastAsia="Times New Roman" w:hAnsi="Times New Roman"/>
                <w:sz w:val="12"/>
                <w:szCs w:val="12"/>
                <w:color w:val="auto"/>
                <w:vertAlign w:val="superscript"/>
              </w:rPr>
              <w:t>(8)</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03/01/2028</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841</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08/16/2027</w:t>
            </w:r>
          </w:p>
        </w:tc>
        <w:tc>
          <w:tcPr>
            <w:tcW w:w="2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11.16 %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SOFR+590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1,286</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1,277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1,286</w:t>
            </w: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System Planning and Analysis, Inc. - Unfunded Term Loan </w:t>
            </w:r>
            <w:r>
              <w:rPr>
                <w:rFonts w:ascii="Times New Roman" w:cs="Times New Roman" w:eastAsia="Times New Roman" w:hAnsi="Times New Roman"/>
                <w:sz w:val="12"/>
                <w:szCs w:val="12"/>
                <w:color w:val="auto"/>
                <w:vertAlign w:val="superscript"/>
              </w:rPr>
              <w:t>(8)</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08/16/2027</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7,068</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w:t>
            </w: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System Planning and Analysis, Inc. - Unfunded Revolver </w:t>
            </w:r>
            <w:r>
              <w:rPr>
                <w:rFonts w:ascii="Times New Roman" w:cs="Times New Roman" w:eastAsia="Times New Roman" w:hAnsi="Times New Roman"/>
                <w:sz w:val="12"/>
                <w:szCs w:val="12"/>
                <w:color w:val="auto"/>
                <w:vertAlign w:val="superscript"/>
              </w:rPr>
              <w:t>(8)</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08/16/2027</w:t>
            </w:r>
          </w:p>
        </w:tc>
        <w:tc>
          <w:tcPr>
            <w:tcW w:w="2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2,925</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01/26/2029</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1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11.84 %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SOFR+650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8,978</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8,833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8,888</w:t>
            </w: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TCG 3.0 Jogger Acquisitionco, Inc. - Unfunded Revolver </w:t>
            </w:r>
            <w:r>
              <w:rPr>
                <w:rFonts w:ascii="Times New Roman" w:cs="Times New Roman" w:eastAsia="Times New Roman" w:hAnsi="Times New Roman"/>
                <w:sz w:val="12"/>
                <w:szCs w:val="12"/>
                <w:color w:val="auto"/>
                <w:vertAlign w:val="superscript"/>
              </w:rPr>
              <w:t>(8)</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01/26/2029</w:t>
            </w:r>
          </w:p>
        </w:tc>
        <w:tc>
          <w:tcPr>
            <w:tcW w:w="2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1,725</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(17 )</w:t>
            </w: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07/27/2026</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11.98 %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SOFR+665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2,539</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2,512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2,539</w:t>
            </w: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The Bluebird Group LLC - Revolver </w:t>
            </w:r>
            <w:r>
              <w:rPr>
                <w:rFonts w:ascii="Times New Roman" w:cs="Times New Roman" w:eastAsia="Times New Roman" w:hAnsi="Times New Roman"/>
                <w:sz w:val="12"/>
                <w:szCs w:val="12"/>
                <w:color w:val="auto"/>
                <w:vertAlign w:val="superscript"/>
              </w:rPr>
              <w:t>(8)</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07/27/2026</w:t>
            </w:r>
          </w:p>
        </w:tc>
        <w:tc>
          <w:tcPr>
            <w:tcW w:w="2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734</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08/30/2027</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11.69 %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SOFR+635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184</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181</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186</w:t>
            </w: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 - Revolver</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08/30/2027</w:t>
            </w:r>
          </w:p>
        </w:tc>
        <w:tc>
          <w:tcPr>
            <w:tcW w:w="2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11.44 %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SOFR+610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361</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361</w:t>
            </w: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The Vertex Companies, LLC - Revolver </w:t>
            </w:r>
            <w:r>
              <w:rPr>
                <w:rFonts w:ascii="Times New Roman" w:cs="Times New Roman" w:eastAsia="Times New Roman" w:hAnsi="Times New Roman"/>
                <w:sz w:val="12"/>
                <w:szCs w:val="12"/>
                <w:color w:val="auto"/>
                <w:vertAlign w:val="superscript"/>
              </w:rPr>
              <w:t>(8)</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08/30/2027</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379</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US Parent, LLC</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11/22/2025</w:t>
            </w:r>
          </w:p>
        </w:tc>
        <w:tc>
          <w:tcPr>
            <w:tcW w:w="2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Food</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10.93 %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SOFR+560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5,985</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5,917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5,985</w:t>
            </w: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TPCN Midco, LLC</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06/26/2029</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1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11.09 %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SOFR+575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4,000</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3,940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3,940</w:t>
            </w: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TPCN Midco, LLC - Unfunded Term Loan </w:t>
            </w:r>
            <w:r>
              <w:rPr>
                <w:rFonts w:ascii="Times New Roman" w:cs="Times New Roman" w:eastAsia="Times New Roman" w:hAnsi="Times New Roman"/>
                <w:sz w:val="12"/>
                <w:szCs w:val="12"/>
                <w:color w:val="auto"/>
                <w:vertAlign w:val="superscript"/>
              </w:rPr>
              <w:t>(8)</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06/26/2026</w:t>
            </w:r>
          </w:p>
        </w:tc>
        <w:tc>
          <w:tcPr>
            <w:tcW w:w="2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5,894</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TPCN Midco, LLC - Unfunded Revolver </w:t>
            </w:r>
            <w:r>
              <w:rPr>
                <w:rFonts w:ascii="Times New Roman" w:cs="Times New Roman" w:eastAsia="Times New Roman" w:hAnsi="Times New Roman"/>
                <w:sz w:val="12"/>
                <w:szCs w:val="12"/>
                <w:color w:val="auto"/>
                <w:vertAlign w:val="superscript"/>
              </w:rPr>
              <w:t>(8)</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06/26/2029</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1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1,160</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12/29/2028</w:t>
            </w:r>
          </w:p>
        </w:tc>
        <w:tc>
          <w:tcPr>
            <w:tcW w:w="20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Machinery</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11.34 %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SOFR+600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4,790</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4,722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4,790</w:t>
            </w: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TransGo, LLC - Revolver </w:t>
            </w:r>
            <w:r>
              <w:rPr>
                <w:rFonts w:ascii="Times New Roman" w:cs="Times New Roman" w:eastAsia="Times New Roman" w:hAnsi="Times New Roman"/>
                <w:sz w:val="12"/>
                <w:szCs w:val="12"/>
                <w:color w:val="auto"/>
                <w:vertAlign w:val="superscript"/>
              </w:rPr>
              <w:t>(8)</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12/29/2028</w:t>
            </w:r>
          </w:p>
        </w:tc>
        <w:tc>
          <w:tcPr>
            <w:tcW w:w="20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Machinery</w:t>
            </w:r>
          </w:p>
        </w:tc>
        <w:tc>
          <w:tcPr>
            <w:tcW w:w="11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2,775</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06/16/2025</w:t>
            </w:r>
          </w:p>
        </w:tc>
        <w:tc>
          <w:tcPr>
            <w:tcW w:w="2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8"/>
              </w:rPr>
              <w:t>Education</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11.74 %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SOFR+640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638</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638</w:t>
            </w: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TWS Acquisition Corporation - Revolver </w:t>
            </w:r>
            <w:r>
              <w:rPr>
                <w:rFonts w:ascii="Times New Roman" w:cs="Times New Roman" w:eastAsia="Times New Roman" w:hAnsi="Times New Roman"/>
                <w:sz w:val="12"/>
                <w:szCs w:val="12"/>
                <w:color w:val="auto"/>
                <w:vertAlign w:val="superscript"/>
              </w:rPr>
              <w:t>(8)</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06/16/2025</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8"/>
              </w:rPr>
              <w:t>Education</w:t>
            </w:r>
          </w:p>
        </w:tc>
        <w:tc>
          <w:tcPr>
            <w:tcW w:w="11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1,644</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 (New Issue) - Revolver</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04/01/2026</w:t>
            </w:r>
          </w:p>
        </w:tc>
        <w:tc>
          <w:tcPr>
            <w:tcW w:w="2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10.99 %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SOFR+565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w:t>
            </w: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Tyto Athene, LLC (New Issue) - Revolver </w:t>
            </w:r>
            <w:r>
              <w:rPr>
                <w:rFonts w:ascii="Times New Roman" w:cs="Times New Roman" w:eastAsia="Times New Roman" w:hAnsi="Times New Roman"/>
                <w:sz w:val="12"/>
                <w:szCs w:val="12"/>
                <w:color w:val="auto"/>
                <w:vertAlign w:val="superscript"/>
              </w:rPr>
              <w:t>(8)</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04/01/2026</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204</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(14 )</w:t>
            </w: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06/15/2026</w:t>
            </w:r>
          </w:p>
        </w:tc>
        <w:tc>
          <w:tcPr>
            <w:tcW w:w="20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11.76 %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SOFR+650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7,201</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7,201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7,151</w:t>
            </w: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Intermediate, LLC</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12/01/2029</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11.33 %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SOFR+600</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12,319</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12,140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12,208</w:t>
            </w: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Watchtower Intermediate, LLC. - Unfunded Term Loan </w:t>
            </w:r>
            <w:r>
              <w:rPr>
                <w:rFonts w:ascii="Times New Roman" w:cs="Times New Roman" w:eastAsia="Times New Roman" w:hAnsi="Times New Roman"/>
                <w:sz w:val="12"/>
                <w:szCs w:val="12"/>
                <w:color w:val="auto"/>
                <w:vertAlign w:val="superscript"/>
              </w:rPr>
              <w:t>(8)</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12/01/2025</w:t>
            </w:r>
          </w:p>
        </w:tc>
        <w:tc>
          <w:tcPr>
            <w:tcW w:w="2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2100</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Watchtower Intermediate, LLC. - Revolver </w:t>
            </w:r>
            <w:r>
              <w:rPr>
                <w:rFonts w:ascii="Times New Roman" w:cs="Times New Roman" w:eastAsia="Times New Roman" w:hAnsi="Times New Roman"/>
                <w:sz w:val="12"/>
                <w:szCs w:val="12"/>
                <w:color w:val="auto"/>
                <w:vertAlign w:val="superscript"/>
              </w:rPr>
              <w:t>(8)</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12/01/2029</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6,300</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(57 )</w:t>
            </w: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02/27/2027</w:t>
            </w:r>
          </w:p>
        </w:tc>
        <w:tc>
          <w:tcPr>
            <w:tcW w:w="2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11.08 %</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SOFR+575</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4,597</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4,558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4,597</w:t>
            </w: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Wildcat Buyerco, Inc. - Unfunded Term Loan </w:t>
            </w:r>
            <w:r>
              <w:rPr>
                <w:rFonts w:ascii="Times New Roman" w:cs="Times New Roman" w:eastAsia="Times New Roman" w:hAnsi="Times New Roman"/>
                <w:sz w:val="12"/>
                <w:szCs w:val="12"/>
                <w:color w:val="auto"/>
                <w:vertAlign w:val="superscript"/>
              </w:rPr>
              <w:t>(8)</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02/27/2027</w:t>
            </w:r>
          </w:p>
        </w:tc>
        <w:tc>
          <w:tcPr>
            <w:tcW w:w="2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2,737</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w:t>
            </w: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Wildcat Buyerco, Inc. - Revolver </w:t>
            </w:r>
            <w:r>
              <w:rPr>
                <w:rFonts w:ascii="Times New Roman" w:cs="Times New Roman" w:eastAsia="Times New Roman" w:hAnsi="Times New Roman"/>
                <w:sz w:val="12"/>
                <w:szCs w:val="12"/>
                <w:color w:val="auto"/>
                <w:vertAlign w:val="superscript"/>
              </w:rPr>
              <w:t>(8)</w:t>
            </w:r>
          </w:p>
        </w:tc>
        <w:tc>
          <w:tcPr>
            <w:tcW w:w="9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02/27/2027</w:t>
            </w:r>
          </w:p>
        </w:tc>
        <w:tc>
          <w:tcPr>
            <w:tcW w:w="2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551</w:t>
            </w:r>
          </w:p>
        </w:tc>
        <w:tc>
          <w:tcPr>
            <w:tcW w:w="200" w:type="dxa"/>
            <w:vAlign w:val="bottom"/>
          </w:tcPr>
          <w:p>
            <w:pPr>
              <w:spacing w:after="0"/>
              <w:rPr>
                <w:sz w:val="12"/>
                <w:szCs w:val="12"/>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9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0"/>
                <w:szCs w:val="10"/>
                <w:color w:val="auto"/>
              </w:rPr>
              <w:t>12/31/2024</w:t>
            </w:r>
          </w:p>
        </w:tc>
        <w:tc>
          <w:tcPr>
            <w:tcW w:w="20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Auto Sector</w:t>
            </w:r>
          </w:p>
        </w:tc>
        <w:tc>
          <w:tcPr>
            <w:tcW w:w="11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12.68 %</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SOFR+735</w:t>
            </w:r>
          </w:p>
        </w:tc>
        <w:tc>
          <w:tcPr>
            <w:tcW w:w="8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2,596</w:t>
            </w: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2,589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2,499</w:t>
            </w:r>
          </w:p>
        </w:tc>
      </w:tr>
      <w:tr>
        <w:trPr>
          <w:trHeight w:val="140"/>
        </w:trPr>
        <w:tc>
          <w:tcPr>
            <w:tcW w:w="3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1.5%)</w:t>
            </w: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2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8"/>
              </w:rPr>
              <w:t>584,995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568,266</w:t>
            </w: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80" w:type="dxa"/>
            <w:vAlign w:val="bottom"/>
          </w:tcPr>
          <w:p>
            <w:pPr>
              <w:spacing w:after="0"/>
              <w:rPr>
                <w:sz w:val="10"/>
                <w:szCs w:val="10"/>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120" w:type="dxa"/>
            <w:vAlign w:val="bottom"/>
          </w:tcPr>
          <w:p>
            <w:pPr>
              <w:spacing w:after="0"/>
              <w:rPr>
                <w:sz w:val="10"/>
                <w:szCs w:val="1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0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Par /</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6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00" w:type="dxa"/>
            <w:vAlign w:val="bottom"/>
          </w:tcPr>
          <w:p>
            <w:pPr>
              <w:jc w:val="center"/>
              <w:ind w:right="11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6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1"/>
                <w:szCs w:val="11"/>
                <w:color w:val="auto"/>
              </w:rPr>
            </w:pPr>
          </w:p>
        </w:tc>
        <w:tc>
          <w:tcPr>
            <w:tcW w:w="700" w:type="dxa"/>
            <w:vAlign w:val="bottom"/>
          </w:tcPr>
          <w:p>
            <w:pPr>
              <w:jc w:val="right"/>
              <w:ind w:right="112"/>
              <w:spacing w:after="0" w:line="134"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(3)</w:t>
            </w:r>
          </w:p>
        </w:tc>
        <w:tc>
          <w:tcPr>
            <w:tcW w:w="0" w:type="dxa"/>
            <w:vAlign w:val="bottom"/>
          </w:tcPr>
          <w:p>
            <w:pPr>
              <w:spacing w:after="0"/>
              <w:rPr>
                <w:sz w:val="1"/>
                <w:szCs w:val="1"/>
                <w:color w:val="auto"/>
              </w:rPr>
            </w:pPr>
          </w:p>
        </w:tc>
      </w:tr>
      <w:tr>
        <w:trPr>
          <w:trHeight w:val="144"/>
        </w:trPr>
        <w:tc>
          <w:tcPr>
            <w:tcW w:w="318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1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Second Lien Secured Debt—13.3% of Net Assets</w:t>
            </w:r>
          </w:p>
        </w:tc>
        <w:tc>
          <w:tcPr>
            <w:tcW w:w="8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Best Practice Associates LLC</w:t>
            </w:r>
          </w:p>
        </w:tc>
        <w:tc>
          <w:tcPr>
            <w:tcW w:w="8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06/29/2027</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14.48 %</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SOFR+915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17,825</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  17,601</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17,290</w:t>
            </w:r>
          </w:p>
        </w:tc>
        <w:tc>
          <w:tcPr>
            <w:tcW w:w="0" w:type="dxa"/>
            <w:vAlign w:val="bottom"/>
          </w:tcPr>
          <w:p>
            <w:pPr>
              <w:spacing w:after="0"/>
              <w:rPr>
                <w:sz w:val="1"/>
                <w:szCs w:val="1"/>
                <w:color w:val="auto"/>
              </w:rPr>
            </w:pPr>
          </w:p>
        </w:tc>
      </w:tr>
      <w:tr>
        <w:trPr>
          <w:trHeight w:val="136"/>
        </w:trPr>
        <w:tc>
          <w:tcPr>
            <w:tcW w:w="318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8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07/28/2030</w:t>
            </w:r>
          </w:p>
        </w:tc>
        <w:tc>
          <w:tcPr>
            <w:tcW w:w="21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Auto Sector</w:t>
            </w:r>
          </w:p>
        </w:tc>
        <w:tc>
          <w:tcPr>
            <w:tcW w:w="102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14.44 %</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SOFR+910</w:t>
            </w:r>
          </w:p>
        </w:tc>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8,000</w:t>
            </w:r>
          </w:p>
        </w:tc>
        <w:tc>
          <w:tcPr>
            <w:tcW w:w="64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7,689</w:t>
            </w:r>
          </w:p>
        </w:tc>
        <w:tc>
          <w:tcPr>
            <w:tcW w:w="160" w:type="dxa"/>
            <w:vAlign w:val="bottom"/>
          </w:tcPr>
          <w:p>
            <w:pPr>
              <w:spacing w:after="0"/>
              <w:rPr>
                <w:sz w:val="11"/>
                <w:szCs w:val="11"/>
                <w:color w:val="auto"/>
              </w:rPr>
            </w:pPr>
          </w:p>
        </w:tc>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7,920</w:t>
            </w:r>
          </w:p>
        </w:tc>
        <w:tc>
          <w:tcPr>
            <w:tcW w:w="0" w:type="dxa"/>
            <w:vAlign w:val="bottom"/>
          </w:tcPr>
          <w:p>
            <w:pPr>
              <w:spacing w:after="0"/>
              <w:rPr>
                <w:sz w:val="1"/>
                <w:szCs w:val="1"/>
                <w:color w:val="auto"/>
              </w:rPr>
            </w:pPr>
          </w:p>
        </w:tc>
      </w:tr>
      <w:tr>
        <w:trPr>
          <w:trHeight w:val="100"/>
        </w:trPr>
        <w:tc>
          <w:tcPr>
            <w:tcW w:w="31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ENC Parent Corporation</w:t>
            </w:r>
          </w:p>
        </w:tc>
        <w:tc>
          <w:tcPr>
            <w:tcW w:w="8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08/19/2029</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13.10 %</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SOFR+776</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7,500</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7,445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6,375</w:t>
            </w: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Halo Buyer, Inc.</w:t>
            </w:r>
          </w:p>
        </w:tc>
        <w:tc>
          <w:tcPr>
            <w:tcW w:w="8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07/06/2026</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13.69 %</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SOFR+835</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32,500</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32,284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31,850</w:t>
            </w:r>
          </w:p>
        </w:tc>
        <w:tc>
          <w:tcPr>
            <w:tcW w:w="0" w:type="dxa"/>
            <w:vAlign w:val="bottom"/>
          </w:tcPr>
          <w:p>
            <w:pPr>
              <w:spacing w:after="0"/>
              <w:rPr>
                <w:sz w:val="1"/>
                <w:szCs w:val="1"/>
                <w:color w:val="auto"/>
              </w:rPr>
            </w:pPr>
          </w:p>
        </w:tc>
      </w:tr>
      <w:tr>
        <w:trPr>
          <w:trHeight w:val="137"/>
        </w:trPr>
        <w:tc>
          <w:tcPr>
            <w:tcW w:w="31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12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w:t>
            </w:r>
          </w:p>
        </w:tc>
        <w:tc>
          <w:tcPr>
            <w:tcW w:w="76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QuantiTech LLC</w:t>
            </w:r>
          </w:p>
        </w:tc>
        <w:tc>
          <w:tcPr>
            <w:tcW w:w="8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02/04/2027</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15.44 %</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SOFR+1010</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w:t>
            </w:r>
          </w:p>
        </w:tc>
        <w:tc>
          <w:tcPr>
            <w:tcW w:w="16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w:t>
            </w: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Team Services Group, LLC</w:t>
            </w:r>
          </w:p>
        </w:tc>
        <w:tc>
          <w:tcPr>
            <w:tcW w:w="8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12/18/2028</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14.58 %</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SOFR+943</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1,998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1,990</w:t>
            </w:r>
          </w:p>
        </w:tc>
        <w:tc>
          <w:tcPr>
            <w:tcW w:w="0" w:type="dxa"/>
            <w:vAlign w:val="bottom"/>
          </w:tcPr>
          <w:p>
            <w:pPr>
              <w:spacing w:after="0"/>
              <w:rPr>
                <w:sz w:val="1"/>
                <w:szCs w:val="1"/>
                <w:color w:val="auto"/>
              </w:rPr>
            </w:pPr>
          </w:p>
        </w:tc>
      </w:tr>
      <w:tr>
        <w:trPr>
          <w:trHeight w:val="148"/>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860" w:type="dxa"/>
            <w:vAlign w:val="bottom"/>
            <w:shd w:val="clear" w:color="auto" w:fill="CCECFF"/>
          </w:tcPr>
          <w:p>
            <w:pPr>
              <w:spacing w:after="0"/>
              <w:rPr>
                <w:sz w:val="12"/>
                <w:szCs w:val="12"/>
                <w:color w:val="auto"/>
              </w:rPr>
            </w:pPr>
          </w:p>
        </w:tc>
        <w:tc>
          <w:tcPr>
            <w:tcW w:w="21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67,165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65,575</w:t>
            </w: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Subordinated Debt/Corporate Notes—5.4% of Net Assets</w:t>
            </w:r>
          </w:p>
        </w:tc>
        <w:tc>
          <w:tcPr>
            <w:tcW w:w="8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Beacon Behavioral Holdings LLC</w:t>
            </w:r>
          </w:p>
        </w:tc>
        <w:tc>
          <w:tcPr>
            <w:tcW w:w="8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06/21/2030</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15.00 %</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3,105</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3,058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3,058</w:t>
            </w: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Express Wash Acquisition Company, LLC</w:t>
            </w:r>
          </w:p>
        </w:tc>
        <w:tc>
          <w:tcPr>
            <w:tcW w:w="8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01/15/2029</w:t>
            </w:r>
          </w:p>
        </w:tc>
        <w:tc>
          <w:tcPr>
            <w:tcW w:w="21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Auto Sector</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17.60 %</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SOFR+1226</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23,217</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22,633</w:t>
            </w:r>
          </w:p>
        </w:tc>
        <w:tc>
          <w:tcPr>
            <w:tcW w:w="16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23,333</w:t>
            </w:r>
          </w:p>
        </w:tc>
        <w:tc>
          <w:tcPr>
            <w:tcW w:w="0" w:type="dxa"/>
            <w:vAlign w:val="bottom"/>
          </w:tcPr>
          <w:p>
            <w:pPr>
              <w:spacing w:after="0"/>
              <w:rPr>
                <w:sz w:val="1"/>
                <w:szCs w:val="1"/>
                <w:color w:val="auto"/>
              </w:rPr>
            </w:pPr>
          </w:p>
        </w:tc>
      </w:tr>
      <w:tr>
        <w:trPr>
          <w:trHeight w:val="148"/>
        </w:trPr>
        <w:tc>
          <w:tcPr>
            <w:tcW w:w="318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120" w:type="dxa"/>
            <w:vAlign w:val="bottom"/>
            <w:shd w:val="clear" w:color="auto" w:fill="CCECFF"/>
          </w:tcPr>
          <w:p>
            <w:pPr>
              <w:spacing w:after="0"/>
              <w:rPr>
                <w:sz w:val="12"/>
                <w:szCs w:val="12"/>
                <w:color w:val="auto"/>
              </w:rPr>
            </w:pP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12.0%)</w:t>
            </w:r>
          </w:p>
        </w:tc>
        <w:tc>
          <w:tcPr>
            <w:tcW w:w="90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Schlesinger Global, LLC - Promissory Note</w:t>
            </w:r>
          </w:p>
        </w:tc>
        <w:tc>
          <w:tcPr>
            <w:tcW w:w="8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07/26/2024</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12.33 %</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SOFR+700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Subordinated Debt/Corporate Notes</w:t>
            </w:r>
          </w:p>
        </w:tc>
        <w:tc>
          <w:tcPr>
            <w:tcW w:w="860" w:type="dxa"/>
            <w:vAlign w:val="bottom"/>
            <w:shd w:val="clear" w:color="auto" w:fill="CCECFF"/>
          </w:tcPr>
          <w:p>
            <w:pPr>
              <w:spacing w:after="0"/>
              <w:rPr>
                <w:sz w:val="12"/>
                <w:szCs w:val="12"/>
                <w:color w:val="auto"/>
              </w:rPr>
            </w:pPr>
          </w:p>
        </w:tc>
        <w:tc>
          <w:tcPr>
            <w:tcW w:w="21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25,691</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26,391</w:t>
            </w: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Preferred Equity/Partnership Interests—3.0% of Net Assets (6)</w:t>
            </w:r>
          </w:p>
        </w:tc>
        <w:tc>
          <w:tcPr>
            <w:tcW w:w="8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8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0"/>
                <w:szCs w:val="10"/>
                <w:color w:val="auto"/>
              </w:rPr>
              <w:t>Ad.net Holdings, Inc.</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vMerge w:val="restart"/>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2,400</w:t>
            </w:r>
          </w:p>
        </w:tc>
        <w:tc>
          <w:tcPr>
            <w:tcW w:w="64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240</w:t>
            </w:r>
          </w:p>
        </w:tc>
        <w:tc>
          <w:tcPr>
            <w:tcW w:w="160" w:type="dxa"/>
            <w:vAlign w:val="bottom"/>
            <w:shd w:val="clear" w:color="auto" w:fill="CCECFF"/>
          </w:tcPr>
          <w:p>
            <w:pPr>
              <w:spacing w:after="0"/>
              <w:rPr>
                <w:sz w:val="12"/>
                <w:szCs w:val="12"/>
                <w:color w:val="auto"/>
              </w:rPr>
            </w:pPr>
          </w:p>
        </w:tc>
        <w:tc>
          <w:tcPr>
            <w:tcW w:w="7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w:t>
            </w:r>
          </w:p>
        </w:tc>
        <w:tc>
          <w:tcPr>
            <w:tcW w:w="0" w:type="dxa"/>
            <w:vAlign w:val="bottom"/>
          </w:tcPr>
          <w:p>
            <w:pPr>
              <w:spacing w:after="0"/>
              <w:rPr>
                <w:sz w:val="1"/>
                <w:szCs w:val="1"/>
                <w:color w:val="auto"/>
              </w:rPr>
            </w:pPr>
          </w:p>
        </w:tc>
      </w:tr>
      <w:tr>
        <w:trPr>
          <w:trHeight w:val="80"/>
        </w:trPr>
        <w:tc>
          <w:tcPr>
            <w:tcW w:w="3180" w:type="dxa"/>
            <w:vAlign w:val="bottom"/>
            <w:vMerge w:val="continue"/>
            <w:shd w:val="clear" w:color="auto" w:fill="CCECFF"/>
          </w:tcPr>
          <w:p>
            <w:pPr>
              <w:spacing w:after="0"/>
              <w:rPr>
                <w:sz w:val="6"/>
                <w:szCs w:val="6"/>
                <w:color w:val="auto"/>
              </w:rPr>
            </w:pPr>
          </w:p>
        </w:tc>
        <w:tc>
          <w:tcPr>
            <w:tcW w:w="860" w:type="dxa"/>
            <w:vAlign w:val="bottom"/>
            <w:shd w:val="clear" w:color="auto" w:fill="CCECFF"/>
          </w:tcPr>
          <w:p>
            <w:pPr>
              <w:spacing w:after="0"/>
              <w:rPr>
                <w:sz w:val="6"/>
                <w:szCs w:val="6"/>
                <w:color w:val="auto"/>
              </w:rPr>
            </w:pPr>
          </w:p>
        </w:tc>
        <w:tc>
          <w:tcPr>
            <w:tcW w:w="2120" w:type="dxa"/>
            <w:vAlign w:val="bottom"/>
            <w:vMerge w:val="continue"/>
            <w:shd w:val="clear" w:color="auto" w:fill="CCECFF"/>
          </w:tcPr>
          <w:p>
            <w:pPr>
              <w:spacing w:after="0"/>
              <w:rPr>
                <w:sz w:val="6"/>
                <w:szCs w:val="6"/>
                <w:color w:val="auto"/>
              </w:rPr>
            </w:pPr>
          </w:p>
        </w:tc>
        <w:tc>
          <w:tcPr>
            <w:tcW w:w="1020" w:type="dxa"/>
            <w:vAlign w:val="bottom"/>
            <w:shd w:val="clear" w:color="auto" w:fill="CCECFF"/>
          </w:tcPr>
          <w:p>
            <w:pPr>
              <w:spacing w:after="0"/>
              <w:rPr>
                <w:sz w:val="6"/>
                <w:szCs w:val="6"/>
                <w:color w:val="auto"/>
              </w:rPr>
            </w:pPr>
          </w:p>
        </w:tc>
        <w:tc>
          <w:tcPr>
            <w:tcW w:w="900" w:type="dxa"/>
            <w:vAlign w:val="bottom"/>
            <w:shd w:val="clear" w:color="auto" w:fill="CCECFF"/>
          </w:tcPr>
          <w:p>
            <w:pPr>
              <w:spacing w:after="0"/>
              <w:rPr>
                <w:sz w:val="6"/>
                <w:szCs w:val="6"/>
                <w:color w:val="auto"/>
              </w:rPr>
            </w:pPr>
          </w:p>
        </w:tc>
        <w:tc>
          <w:tcPr>
            <w:tcW w:w="760" w:type="dxa"/>
            <w:vAlign w:val="bottom"/>
            <w:vMerge w:val="continue"/>
            <w:shd w:val="clear" w:color="auto" w:fill="CCECFF"/>
          </w:tcPr>
          <w:p>
            <w:pPr>
              <w:spacing w:after="0"/>
              <w:rPr>
                <w:sz w:val="6"/>
                <w:szCs w:val="6"/>
                <w:color w:val="auto"/>
              </w:rPr>
            </w:pPr>
          </w:p>
        </w:tc>
        <w:tc>
          <w:tcPr>
            <w:tcW w:w="640" w:type="dxa"/>
            <w:vAlign w:val="bottom"/>
            <w:vMerge w:val="continue"/>
            <w:shd w:val="clear" w:color="auto" w:fill="CCECFF"/>
          </w:tcPr>
          <w:p>
            <w:pPr>
              <w:spacing w:after="0"/>
              <w:rPr>
                <w:sz w:val="6"/>
                <w:szCs w:val="6"/>
                <w:color w:val="auto"/>
              </w:rPr>
            </w:pPr>
          </w:p>
        </w:tc>
        <w:tc>
          <w:tcPr>
            <w:tcW w:w="160" w:type="dxa"/>
            <w:vAlign w:val="bottom"/>
            <w:shd w:val="clear" w:color="auto" w:fill="CCECFF"/>
          </w:tcPr>
          <w:p>
            <w:pPr>
              <w:spacing w:after="0"/>
              <w:rPr>
                <w:sz w:val="6"/>
                <w:szCs w:val="6"/>
                <w:color w:val="auto"/>
              </w:rPr>
            </w:pPr>
          </w:p>
        </w:tc>
        <w:tc>
          <w:tcPr>
            <w:tcW w:w="700" w:type="dxa"/>
            <w:vAlign w:val="bottom"/>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AFC Acquisitions, Inc. Preferred Equity </w:t>
            </w:r>
            <w:r>
              <w:rPr>
                <w:rFonts w:ascii="Times New Roman" w:cs="Times New Roman" w:eastAsia="Times New Roman" w:hAnsi="Times New Roman"/>
                <w:sz w:val="12"/>
                <w:szCs w:val="12"/>
                <w:color w:val="auto"/>
                <w:vertAlign w:val="superscript"/>
              </w:rPr>
              <w:t>(10)</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Distribution</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507</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780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920</w:t>
            </w:r>
          </w:p>
        </w:tc>
        <w:tc>
          <w:tcPr>
            <w:tcW w:w="0" w:type="dxa"/>
            <w:vAlign w:val="bottom"/>
          </w:tcPr>
          <w:p>
            <w:pPr>
              <w:spacing w:after="0"/>
              <w:rPr>
                <w:sz w:val="1"/>
                <w:szCs w:val="1"/>
                <w:color w:val="auto"/>
              </w:rPr>
            </w:pPr>
          </w:p>
        </w:tc>
      </w:tr>
      <w:tr>
        <w:trPr>
          <w:trHeight w:val="144"/>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AH Newco Equityholdings, LLC</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6.00 %</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211</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505</w:t>
            </w:r>
          </w:p>
        </w:tc>
        <w:tc>
          <w:tcPr>
            <w:tcW w:w="0" w:type="dxa"/>
            <w:vAlign w:val="bottom"/>
          </w:tcPr>
          <w:p>
            <w:pPr>
              <w:spacing w:after="0"/>
              <w:rPr>
                <w:sz w:val="1"/>
                <w:szCs w:val="1"/>
                <w:color w:val="auto"/>
              </w:rPr>
            </w:pPr>
          </w:p>
        </w:tc>
      </w:tr>
      <w:tr>
        <w:trPr>
          <w:trHeight w:val="144"/>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(10)</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1,304</w:t>
            </w:r>
          </w:p>
        </w:tc>
        <w:tc>
          <w:tcPr>
            <w:tcW w:w="0" w:type="dxa"/>
            <w:vAlign w:val="bottom"/>
          </w:tcPr>
          <w:p>
            <w:pPr>
              <w:spacing w:after="0"/>
              <w:rPr>
                <w:sz w:val="1"/>
                <w:szCs w:val="1"/>
                <w:color w:val="auto"/>
              </w:rPr>
            </w:pPr>
          </w:p>
        </w:tc>
      </w:tr>
      <w:tr>
        <w:trPr>
          <w:trHeight w:val="144"/>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Cartessa Aesthetics, LLC </w:t>
            </w:r>
            <w:r>
              <w:rPr>
                <w:rFonts w:ascii="Times New Roman" w:cs="Times New Roman" w:eastAsia="Times New Roman" w:hAnsi="Times New Roman"/>
                <w:sz w:val="12"/>
                <w:szCs w:val="12"/>
                <w:color w:val="auto"/>
                <w:vertAlign w:val="superscript"/>
              </w:rPr>
              <w:t>(10)</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Distribution</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3,562,500</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3,563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5,969</w:t>
            </w: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Gauge Schlesinger Coinvest, LLC - Class A-2 Preferred Equity</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48"/>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EvAL Home Health Solutions, LLC - Preferred Equity </w:t>
            </w:r>
            <w:r>
              <w:rPr>
                <w:rFonts w:ascii="Times New Roman" w:cs="Times New Roman" w:eastAsia="Times New Roman" w:hAnsi="Times New Roman"/>
                <w:sz w:val="12"/>
                <w:szCs w:val="12"/>
                <w:color w:val="auto"/>
                <w:vertAlign w:val="superscript"/>
              </w:rPr>
              <w:t>(10)</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272,771</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453</w:t>
            </w:r>
          </w:p>
        </w:tc>
        <w:tc>
          <w:tcPr>
            <w:tcW w:w="0" w:type="dxa"/>
            <w:vAlign w:val="bottom"/>
          </w:tcPr>
          <w:p>
            <w:pPr>
              <w:spacing w:after="0"/>
              <w:rPr>
                <w:sz w:val="1"/>
                <w:szCs w:val="1"/>
                <w:color w:val="auto"/>
              </w:rPr>
            </w:pPr>
          </w:p>
        </w:tc>
      </w:tr>
      <w:tr>
        <w:trPr>
          <w:trHeight w:val="144"/>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Hancock Claims Consultants Investors, LLC - Class A Preferred Equity </w:t>
            </w:r>
            <w:r>
              <w:rPr>
                <w:rFonts w:ascii="Times New Roman" w:cs="Times New Roman" w:eastAsia="Times New Roman" w:hAnsi="Times New Roman"/>
                <w:sz w:val="12"/>
                <w:szCs w:val="12"/>
                <w:color w:val="auto"/>
                <w:vertAlign w:val="superscript"/>
              </w:rPr>
              <w:t>(10)</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2"/>
              </w:rPr>
              <w:t>Insurance</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48,049</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w:t>
            </w:r>
          </w:p>
        </w:tc>
        <w:tc>
          <w:tcPr>
            <w:tcW w:w="0" w:type="dxa"/>
            <w:vAlign w:val="bottom"/>
          </w:tcPr>
          <w:p>
            <w:pPr>
              <w:spacing w:after="0"/>
              <w:rPr>
                <w:sz w:val="1"/>
                <w:szCs w:val="1"/>
                <w:color w:val="auto"/>
              </w:rPr>
            </w:pPr>
          </w:p>
        </w:tc>
      </w:tr>
      <w:tr>
        <w:trPr>
          <w:trHeight w:val="144"/>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Imagine Topco, LP Preferred</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8.00 %</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743,826</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744</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835</w:t>
            </w:r>
          </w:p>
        </w:tc>
        <w:tc>
          <w:tcPr>
            <w:tcW w:w="0" w:type="dxa"/>
            <w:vAlign w:val="bottom"/>
          </w:tcPr>
          <w:p>
            <w:pPr>
              <w:spacing w:after="0"/>
              <w:rPr>
                <w:sz w:val="1"/>
                <w:szCs w:val="1"/>
                <w:color w:val="auto"/>
              </w:rPr>
            </w:pPr>
          </w:p>
        </w:tc>
      </w:tr>
      <w:tr>
        <w:trPr>
          <w:trHeight w:val="144"/>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Magnolia Topco LP - Class A Preferred Equity </w:t>
            </w:r>
            <w:r>
              <w:rPr>
                <w:rFonts w:ascii="Times New Roman" w:cs="Times New Roman" w:eastAsia="Times New Roman" w:hAnsi="Times New Roman"/>
                <w:sz w:val="12"/>
                <w:szCs w:val="12"/>
                <w:color w:val="auto"/>
                <w:vertAlign w:val="superscript"/>
              </w:rPr>
              <w:t>(10)</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Auto Sector</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1,545</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1,545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1,660</w:t>
            </w:r>
          </w:p>
        </w:tc>
        <w:tc>
          <w:tcPr>
            <w:tcW w:w="0" w:type="dxa"/>
            <w:vAlign w:val="bottom"/>
          </w:tcPr>
          <w:p>
            <w:pPr>
              <w:spacing w:after="0"/>
              <w:rPr>
                <w:sz w:val="1"/>
                <w:szCs w:val="1"/>
                <w:color w:val="auto"/>
              </w:rPr>
            </w:pPr>
          </w:p>
        </w:tc>
      </w:tr>
      <w:tr>
        <w:trPr>
          <w:trHeight w:val="144"/>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Magnolia Topco LP - Class B Preferred Equity </w:t>
            </w:r>
            <w:r>
              <w:rPr>
                <w:rFonts w:ascii="Times New Roman" w:cs="Times New Roman" w:eastAsia="Times New Roman" w:hAnsi="Times New Roman"/>
                <w:sz w:val="12"/>
                <w:szCs w:val="12"/>
                <w:color w:val="auto"/>
                <w:vertAlign w:val="superscript"/>
              </w:rPr>
              <w:t>(10)</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Auto Sector</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1,018</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187</w:t>
            </w: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Mars Intermediate Holdings II, Inc.</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414</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600</w:t>
            </w:r>
          </w:p>
        </w:tc>
        <w:tc>
          <w:tcPr>
            <w:tcW w:w="0" w:type="dxa"/>
            <w:vAlign w:val="bottom"/>
          </w:tcPr>
          <w:p>
            <w:pPr>
              <w:spacing w:after="0"/>
              <w:rPr>
                <w:sz w:val="1"/>
                <w:szCs w:val="1"/>
                <w:color w:val="auto"/>
              </w:rPr>
            </w:pPr>
          </w:p>
        </w:tc>
      </w:tr>
      <w:tr>
        <w:trPr>
          <w:trHeight w:val="148"/>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Megawatt Acquisition Partners, LLC - Preferred A</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Electronics</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5,349</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535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493</w:t>
            </w: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NXOF Holdings, Inc. (Tyto Athene, LLC)</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w:t>
            </w:r>
          </w:p>
        </w:tc>
        <w:tc>
          <w:tcPr>
            <w:tcW w:w="0" w:type="dxa"/>
            <w:vAlign w:val="bottom"/>
          </w:tcPr>
          <w:p>
            <w:pPr>
              <w:spacing w:after="0"/>
              <w:rPr>
                <w:sz w:val="1"/>
                <w:szCs w:val="1"/>
                <w:color w:val="auto"/>
              </w:rPr>
            </w:pPr>
          </w:p>
        </w:tc>
      </w:tr>
      <w:tr>
        <w:trPr>
          <w:trHeight w:val="140"/>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ORL Holdco, Inc.</w:t>
            </w:r>
          </w:p>
        </w:tc>
        <w:tc>
          <w:tcPr>
            <w:tcW w:w="860" w:type="dxa"/>
            <w:vAlign w:val="bottom"/>
            <w:vMerge w:val="restart"/>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vMerge w:val="restart"/>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vMerge w:val="restart"/>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vMerge w:val="restart"/>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575</w:t>
            </w:r>
          </w:p>
        </w:tc>
        <w:tc>
          <w:tcPr>
            <w:tcW w:w="64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80"/>
        </w:trPr>
        <w:tc>
          <w:tcPr>
            <w:tcW w:w="3180" w:type="dxa"/>
            <w:vAlign w:val="bottom"/>
            <w:shd w:val="clear" w:color="auto" w:fill="CCECFF"/>
          </w:tcPr>
          <w:p>
            <w:pPr>
              <w:spacing w:after="0"/>
              <w:rPr>
                <w:sz w:val="6"/>
                <w:szCs w:val="6"/>
                <w:color w:val="auto"/>
              </w:rPr>
            </w:pPr>
          </w:p>
        </w:tc>
        <w:tc>
          <w:tcPr>
            <w:tcW w:w="860" w:type="dxa"/>
            <w:vAlign w:val="bottom"/>
            <w:vMerge w:val="continue"/>
            <w:shd w:val="clear" w:color="auto" w:fill="CCECFF"/>
          </w:tcPr>
          <w:p>
            <w:pPr>
              <w:spacing w:after="0"/>
              <w:rPr>
                <w:sz w:val="6"/>
                <w:szCs w:val="6"/>
                <w:color w:val="auto"/>
              </w:rPr>
            </w:pPr>
          </w:p>
        </w:tc>
        <w:tc>
          <w:tcPr>
            <w:tcW w:w="2120" w:type="dxa"/>
            <w:vAlign w:val="bottom"/>
            <w:vMerge w:val="continue"/>
            <w:shd w:val="clear" w:color="auto" w:fill="CCECFF"/>
          </w:tcPr>
          <w:p>
            <w:pPr>
              <w:spacing w:after="0"/>
              <w:rPr>
                <w:sz w:val="6"/>
                <w:szCs w:val="6"/>
                <w:color w:val="auto"/>
              </w:rPr>
            </w:pPr>
          </w:p>
        </w:tc>
        <w:tc>
          <w:tcPr>
            <w:tcW w:w="1020" w:type="dxa"/>
            <w:vAlign w:val="bottom"/>
            <w:vMerge w:val="continue"/>
            <w:shd w:val="clear" w:color="auto" w:fill="CCECFF"/>
          </w:tcPr>
          <w:p>
            <w:pPr>
              <w:spacing w:after="0"/>
              <w:rPr>
                <w:sz w:val="6"/>
                <w:szCs w:val="6"/>
                <w:color w:val="auto"/>
              </w:rPr>
            </w:pPr>
          </w:p>
        </w:tc>
        <w:tc>
          <w:tcPr>
            <w:tcW w:w="900" w:type="dxa"/>
            <w:vAlign w:val="bottom"/>
            <w:vMerge w:val="continue"/>
            <w:shd w:val="clear" w:color="auto" w:fill="CCECFF"/>
          </w:tcPr>
          <w:p>
            <w:pPr>
              <w:spacing w:after="0"/>
              <w:rPr>
                <w:sz w:val="6"/>
                <w:szCs w:val="6"/>
                <w:color w:val="auto"/>
              </w:rPr>
            </w:pPr>
          </w:p>
        </w:tc>
        <w:tc>
          <w:tcPr>
            <w:tcW w:w="760" w:type="dxa"/>
            <w:vAlign w:val="bottom"/>
            <w:vMerge w:val="continue"/>
            <w:shd w:val="clear" w:color="auto" w:fill="CCECFF"/>
          </w:tcPr>
          <w:p>
            <w:pPr>
              <w:spacing w:after="0"/>
              <w:rPr>
                <w:sz w:val="6"/>
                <w:szCs w:val="6"/>
                <w:color w:val="auto"/>
              </w:rPr>
            </w:pPr>
          </w:p>
        </w:tc>
        <w:tc>
          <w:tcPr>
            <w:tcW w:w="640" w:type="dxa"/>
            <w:vAlign w:val="bottom"/>
            <w:vMerge w:val="continue"/>
            <w:shd w:val="clear" w:color="auto" w:fill="CCECFF"/>
          </w:tcPr>
          <w:p>
            <w:pPr>
              <w:spacing w:after="0"/>
              <w:rPr>
                <w:sz w:val="6"/>
                <w:szCs w:val="6"/>
                <w:color w:val="auto"/>
              </w:rPr>
            </w:pPr>
          </w:p>
        </w:tc>
        <w:tc>
          <w:tcPr>
            <w:tcW w:w="160" w:type="dxa"/>
            <w:vAlign w:val="bottom"/>
            <w:shd w:val="clear" w:color="auto" w:fill="CCECFF"/>
          </w:tcPr>
          <w:p>
            <w:pPr>
              <w:spacing w:after="0"/>
              <w:rPr>
                <w:sz w:val="6"/>
                <w:szCs w:val="6"/>
                <w:color w:val="auto"/>
              </w:rPr>
            </w:pPr>
          </w:p>
        </w:tc>
        <w:tc>
          <w:tcPr>
            <w:tcW w:w="70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3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PL Acquisitionco, LLC - Preferred Equity</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rPr>
              <w:t>Retail</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RTIC Parent Holdings, LLC - Class A Preferred Equity </w:t>
            </w:r>
            <w:r>
              <w:rPr>
                <w:rFonts w:ascii="Times New Roman" w:cs="Times New Roman" w:eastAsia="Times New Roman" w:hAnsi="Times New Roman"/>
                <w:sz w:val="12"/>
                <w:szCs w:val="12"/>
                <w:color w:val="auto"/>
                <w:vertAlign w:val="superscript"/>
              </w:rPr>
              <w:t>(10)</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RTIC Parent Holdings, LLC - Class C Preferred Equity </w:t>
            </w:r>
            <w:r>
              <w:rPr>
                <w:rFonts w:ascii="Times New Roman" w:cs="Times New Roman" w:eastAsia="Times New Roman" w:hAnsi="Times New Roman"/>
                <w:sz w:val="12"/>
                <w:szCs w:val="12"/>
                <w:color w:val="auto"/>
                <w:vertAlign w:val="superscript"/>
              </w:rPr>
              <w:t>(10)</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10,624</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699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1,029</w:t>
            </w:r>
          </w:p>
        </w:tc>
        <w:tc>
          <w:tcPr>
            <w:tcW w:w="0" w:type="dxa"/>
            <w:vAlign w:val="bottom"/>
          </w:tcPr>
          <w:p>
            <w:pPr>
              <w:spacing w:after="0"/>
              <w:rPr>
                <w:sz w:val="1"/>
                <w:szCs w:val="1"/>
                <w:color w:val="auto"/>
              </w:rPr>
            </w:pPr>
          </w:p>
        </w:tc>
      </w:tr>
      <w:tr>
        <w:trPr>
          <w:trHeight w:val="144"/>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RTIC Parent Holdings, LLC - Class D Preferred Equity </w:t>
            </w:r>
            <w:r>
              <w:rPr>
                <w:rFonts w:ascii="Times New Roman" w:cs="Times New Roman" w:eastAsia="Times New Roman" w:hAnsi="Times New Roman"/>
                <w:sz w:val="12"/>
                <w:szCs w:val="12"/>
                <w:color w:val="auto"/>
                <w:vertAlign w:val="superscript"/>
              </w:rPr>
              <w:t>(10)</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11,276</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w:t>
            </w:r>
          </w:p>
        </w:tc>
        <w:tc>
          <w:tcPr>
            <w:tcW w:w="0" w:type="dxa"/>
            <w:vAlign w:val="bottom"/>
          </w:tcPr>
          <w:p>
            <w:pPr>
              <w:spacing w:after="0"/>
              <w:rPr>
                <w:sz w:val="1"/>
                <w:szCs w:val="1"/>
                <w:color w:val="auto"/>
              </w:rPr>
            </w:pPr>
          </w:p>
        </w:tc>
      </w:tr>
      <w:tr>
        <w:trPr>
          <w:trHeight w:val="144"/>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TPC Holding Company, LP</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Food</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219</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345</w:t>
            </w: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TWD Parent Holdings, LLC (The Vertex Companies, LLC)</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w:t>
            </w:r>
          </w:p>
        </w:tc>
        <w:tc>
          <w:tcPr>
            <w:tcW w:w="0" w:type="dxa"/>
            <w:vAlign w:val="bottom"/>
          </w:tcPr>
          <w:p>
            <w:pPr>
              <w:spacing w:after="0"/>
              <w:rPr>
                <w:sz w:val="1"/>
                <w:szCs w:val="1"/>
                <w:color w:val="auto"/>
              </w:rPr>
            </w:pPr>
          </w:p>
        </w:tc>
      </w:tr>
      <w:tr>
        <w:trPr>
          <w:trHeight w:val="148"/>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Preferred Equity/Partnership Interests</w:t>
            </w:r>
          </w:p>
        </w:tc>
        <w:tc>
          <w:tcPr>
            <w:tcW w:w="860" w:type="dxa"/>
            <w:vAlign w:val="bottom"/>
            <w:shd w:val="clear" w:color="auto" w:fill="CCECFF"/>
          </w:tcPr>
          <w:p>
            <w:pPr>
              <w:spacing w:after="0"/>
              <w:rPr>
                <w:sz w:val="12"/>
                <w:szCs w:val="12"/>
                <w:color w:val="auto"/>
              </w:rPr>
            </w:pPr>
          </w:p>
        </w:tc>
        <w:tc>
          <w:tcPr>
            <w:tcW w:w="21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11,904</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14,876</w:t>
            </w: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9"/>
              </w:rPr>
              <w:t>Common Equity/Partnership Interests/Warrants—24.2% of Net Assets (6)</w:t>
            </w:r>
          </w:p>
        </w:tc>
        <w:tc>
          <w:tcPr>
            <w:tcW w:w="8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A1 Garage Equity, LLC </w:t>
            </w:r>
            <w:r>
              <w:rPr>
                <w:rFonts w:ascii="Times New Roman" w:cs="Times New Roman" w:eastAsia="Times New Roman" w:hAnsi="Times New Roman"/>
                <w:sz w:val="12"/>
                <w:szCs w:val="12"/>
                <w:color w:val="auto"/>
                <w:vertAlign w:val="superscript"/>
              </w:rPr>
              <w:t>(10)</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2,193,038</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2,193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2,639</w:t>
            </w: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ACP Big Top Holdings, L.P. - Common Equity</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773,800</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774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819</w:t>
            </w:r>
          </w:p>
        </w:tc>
        <w:tc>
          <w:tcPr>
            <w:tcW w:w="0" w:type="dxa"/>
            <w:vAlign w:val="bottom"/>
          </w:tcPr>
          <w:p>
            <w:pPr>
              <w:spacing w:after="0"/>
              <w:rPr>
                <w:sz w:val="1"/>
                <w:szCs w:val="1"/>
                <w:color w:val="auto"/>
              </w:rPr>
            </w:pPr>
          </w:p>
        </w:tc>
      </w:tr>
      <w:tr>
        <w:trPr>
          <w:trHeight w:val="148"/>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Ad.net Holdings, Inc.</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2,667</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Aftermarket Drivetrain Products Holdings, LLC</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Machinery</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1,645</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1,645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1,988</w:t>
            </w:r>
          </w:p>
        </w:tc>
        <w:tc>
          <w:tcPr>
            <w:tcW w:w="0" w:type="dxa"/>
            <w:vAlign w:val="bottom"/>
          </w:tcPr>
          <w:p>
            <w:pPr>
              <w:spacing w:after="0"/>
              <w:rPr>
                <w:sz w:val="1"/>
                <w:szCs w:val="1"/>
                <w:color w:val="auto"/>
              </w:rPr>
            </w:pPr>
          </w:p>
        </w:tc>
      </w:tr>
      <w:tr>
        <w:trPr>
          <w:trHeight w:val="148"/>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(10)</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805,164</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992</w:t>
            </w:r>
          </w:p>
        </w:tc>
        <w:tc>
          <w:tcPr>
            <w:tcW w:w="0" w:type="dxa"/>
            <w:vAlign w:val="bottom"/>
          </w:tcPr>
          <w:p>
            <w:pPr>
              <w:spacing w:after="0"/>
              <w:rPr>
                <w:sz w:val="1"/>
                <w:szCs w:val="1"/>
                <w:color w:val="auto"/>
              </w:rPr>
            </w:pPr>
          </w:p>
        </w:tc>
      </w:tr>
      <w:tr>
        <w:trPr>
          <w:trHeight w:val="144"/>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(8), (10)</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194,836</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Altamira Intermediate Company II, Inc.</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125,000</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w:t>
            </w: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AMCSI Crash Co-Invest, LP</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Auto Sector</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2,489,777</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2,490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2,940</w:t>
            </w:r>
          </w:p>
        </w:tc>
        <w:tc>
          <w:tcPr>
            <w:tcW w:w="0" w:type="dxa"/>
            <w:vAlign w:val="bottom"/>
          </w:tcPr>
          <w:p>
            <w:pPr>
              <w:spacing w:after="0"/>
              <w:rPr>
                <w:sz w:val="1"/>
                <w:szCs w:val="1"/>
                <w:color w:val="auto"/>
              </w:rPr>
            </w:pPr>
          </w:p>
        </w:tc>
      </w:tr>
      <w:tr>
        <w:trPr>
          <w:trHeight w:val="148"/>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AMCSI Crash Co-Invest, LP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Auto Sector</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510,223</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(10)</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Athletico Holdings, LLC </w:t>
            </w:r>
            <w:r>
              <w:rPr>
                <w:rFonts w:ascii="Times New Roman" w:cs="Times New Roman" w:eastAsia="Times New Roman" w:hAnsi="Times New Roman"/>
                <w:sz w:val="12"/>
                <w:szCs w:val="12"/>
                <w:color w:val="auto"/>
                <w:vertAlign w:val="superscript"/>
              </w:rPr>
              <w:t>(10)</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9,357</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10,000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8,715</w:t>
            </w: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Atlas Investment Aggregator, LLC</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1,700,000</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1,613</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BioDerm, Inc.</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1,312</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1,312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1,093</w:t>
            </w: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Burgess Point Holdings, LP</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Auto Sector</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680</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609</w:t>
            </w:r>
          </w:p>
        </w:tc>
        <w:tc>
          <w:tcPr>
            <w:tcW w:w="0" w:type="dxa"/>
            <w:vAlign w:val="bottom"/>
          </w:tcPr>
          <w:p>
            <w:pPr>
              <w:spacing w:after="0"/>
              <w:rPr>
                <w:sz w:val="1"/>
                <w:szCs w:val="1"/>
                <w:color w:val="auto"/>
              </w:rPr>
            </w:pPr>
          </w:p>
        </w:tc>
      </w:tr>
      <w:tr>
        <w:trPr>
          <w:trHeight w:val="148"/>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Carnegie Holdco, LLC - Common Equity </w:t>
            </w:r>
            <w:r>
              <w:rPr>
                <w:rFonts w:ascii="Times New Roman" w:cs="Times New Roman" w:eastAsia="Times New Roman" w:hAnsi="Times New Roman"/>
                <w:sz w:val="12"/>
                <w:szCs w:val="12"/>
                <w:color w:val="auto"/>
                <w:vertAlign w:val="superscript"/>
              </w:rPr>
              <w:t>(10)</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Education</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1,680,300</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1,680</w:t>
            </w: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Carisk Parent, L.P. - Common Equity</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169,231</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176</w:t>
            </w:r>
          </w:p>
        </w:tc>
        <w:tc>
          <w:tcPr>
            <w:tcW w:w="0" w:type="dxa"/>
            <w:vAlign w:val="bottom"/>
          </w:tcPr>
          <w:p>
            <w:pPr>
              <w:spacing w:after="0"/>
              <w:rPr>
                <w:sz w:val="1"/>
                <w:szCs w:val="1"/>
                <w:color w:val="auto"/>
              </w:rPr>
            </w:pPr>
          </w:p>
        </w:tc>
      </w:tr>
      <w:tr>
        <w:trPr>
          <w:trHeight w:val="148"/>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Connatix Parent, LLC</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57,416</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359</w:t>
            </w:r>
          </w:p>
        </w:tc>
        <w:tc>
          <w:tcPr>
            <w:tcW w:w="0" w:type="dxa"/>
            <w:vAlign w:val="bottom"/>
          </w:tcPr>
          <w:p>
            <w:pPr>
              <w:spacing w:after="0"/>
              <w:rPr>
                <w:sz w:val="1"/>
                <w:szCs w:val="1"/>
                <w:color w:val="auto"/>
              </w:rPr>
            </w:pPr>
          </w:p>
        </w:tc>
      </w:tr>
      <w:tr>
        <w:trPr>
          <w:trHeight w:val="144"/>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Consello Pacific Aggregator, LLC </w:t>
            </w:r>
            <w:r>
              <w:rPr>
                <w:rFonts w:ascii="Times New Roman" w:cs="Times New Roman" w:eastAsia="Times New Roman" w:hAnsi="Times New Roman"/>
                <w:sz w:val="12"/>
                <w:szCs w:val="12"/>
                <w:color w:val="auto"/>
                <w:vertAlign w:val="superscript"/>
              </w:rPr>
              <w:t>(10)</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782,891</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762</w:t>
            </w:r>
          </w:p>
        </w:tc>
        <w:tc>
          <w:tcPr>
            <w:tcW w:w="0" w:type="dxa"/>
            <w:vAlign w:val="bottom"/>
          </w:tcPr>
          <w:p>
            <w:pPr>
              <w:spacing w:after="0"/>
              <w:rPr>
                <w:sz w:val="1"/>
                <w:szCs w:val="1"/>
                <w:color w:val="auto"/>
              </w:rPr>
            </w:pPr>
          </w:p>
        </w:tc>
      </w:tr>
      <w:tr>
        <w:trPr>
          <w:trHeight w:val="144"/>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Cowboy Parent LLC (Blackhawk Industrial Distribution, Inc.)</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Distribution</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27,778</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3,015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5,686</w:t>
            </w:r>
          </w:p>
        </w:tc>
        <w:tc>
          <w:tcPr>
            <w:tcW w:w="0" w:type="dxa"/>
            <w:vAlign w:val="bottom"/>
          </w:tcPr>
          <w:p>
            <w:pPr>
              <w:spacing w:after="0"/>
              <w:rPr>
                <w:sz w:val="1"/>
                <w:szCs w:val="1"/>
                <w:color w:val="auto"/>
              </w:rPr>
            </w:pPr>
          </w:p>
        </w:tc>
      </w:tr>
      <w:tr>
        <w:trPr>
          <w:trHeight w:val="140"/>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Crane 1 Acquisition Parent Holdings, L.P.</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w:t>
            </w:r>
          </w:p>
        </w:tc>
        <w:tc>
          <w:tcPr>
            <w:tcW w:w="0" w:type="dxa"/>
            <w:vAlign w:val="bottom"/>
          </w:tcPr>
          <w:p>
            <w:pPr>
              <w:spacing w:after="0"/>
              <w:rPr>
                <w:sz w:val="1"/>
                <w:szCs w:val="1"/>
                <w:color w:val="auto"/>
              </w:rPr>
            </w:pPr>
          </w:p>
        </w:tc>
      </w:tr>
      <w:tr>
        <w:trPr>
          <w:trHeight w:val="148"/>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Delta InvestCo LP (Sigma Defense Systems, LLC) </w:t>
            </w:r>
            <w:r>
              <w:rPr>
                <w:rFonts w:ascii="Times New Roman" w:cs="Times New Roman" w:eastAsia="Times New Roman" w:hAnsi="Times New Roman"/>
                <w:sz w:val="12"/>
                <w:szCs w:val="12"/>
                <w:color w:val="auto"/>
                <w:vertAlign w:val="superscript"/>
              </w:rPr>
              <w:t>(10)</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913,649</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1,606</w:t>
            </w:r>
          </w:p>
        </w:tc>
        <w:tc>
          <w:tcPr>
            <w:tcW w:w="0" w:type="dxa"/>
            <w:vAlign w:val="bottom"/>
          </w:tcPr>
          <w:p>
            <w:pPr>
              <w:spacing w:after="0"/>
              <w:rPr>
                <w:sz w:val="1"/>
                <w:szCs w:val="1"/>
                <w:color w:val="auto"/>
              </w:rPr>
            </w:pPr>
          </w:p>
        </w:tc>
      </w:tr>
      <w:tr>
        <w:trPr>
          <w:trHeight w:val="144"/>
        </w:trPr>
        <w:tc>
          <w:tcPr>
            <w:tcW w:w="31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Delta InvestCo LP (Sigma Defense Systems, LLC) </w:t>
            </w:r>
            <w:r>
              <w:rPr>
                <w:rFonts w:ascii="Times New Roman" w:cs="Times New Roman" w:eastAsia="Times New Roman" w:hAnsi="Times New Roman"/>
                <w:sz w:val="12"/>
                <w:szCs w:val="12"/>
                <w:color w:val="auto"/>
                <w:vertAlign w:val="superscript"/>
              </w:rPr>
              <w:t>(8), (10)</w:t>
            </w:r>
          </w:p>
        </w:tc>
        <w:tc>
          <w:tcPr>
            <w:tcW w:w="8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227,395</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12"/>
                <w:szCs w:val="12"/>
                <w:color w:val="auto"/>
                <w:vertAlign w:val="superscript"/>
              </w:rPr>
              <w:t>(12)</w:t>
            </w:r>
          </w:p>
        </w:tc>
        <w:tc>
          <w:tcPr>
            <w:tcW w:w="8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0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1,005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425450</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780" w:top="1312" w:right="78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080" w:type="dxa"/>
            <w:vAlign w:val="bottom"/>
          </w:tcPr>
          <w:p>
            <w:pPr>
              <w:spacing w:after="0"/>
              <w:rPr>
                <w:sz w:val="10"/>
                <w:szCs w:val="10"/>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6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7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Par /</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0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60" w:type="dxa"/>
            <w:vAlign w:val="bottom"/>
          </w:tcPr>
          <w:p>
            <w:pPr>
              <w:ind w:left="26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60" w:type="dxa"/>
            <w:vAlign w:val="bottom"/>
          </w:tcPr>
          <w:p>
            <w:pPr>
              <w:jc w:val="center"/>
              <w:ind w:right="3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4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1"/>
                <w:szCs w:val="11"/>
                <w:color w:val="auto"/>
              </w:rPr>
            </w:pPr>
          </w:p>
        </w:tc>
        <w:tc>
          <w:tcPr>
            <w:tcW w:w="44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40" w:type="dxa"/>
            <w:vAlign w:val="bottom"/>
            <w:gridSpan w:val="2"/>
          </w:tcPr>
          <w:p>
            <w:pPr>
              <w:jc w:val="right"/>
              <w:ind w:right="92"/>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c>
          <w:tcPr>
            <w:tcW w:w="0" w:type="dxa"/>
            <w:vAlign w:val="bottom"/>
          </w:tcPr>
          <w:p>
            <w:pPr>
              <w:spacing w:after="0"/>
              <w:rPr>
                <w:sz w:val="1"/>
                <w:szCs w:val="1"/>
                <w:color w:val="auto"/>
              </w:rPr>
            </w:pPr>
          </w:p>
        </w:tc>
      </w:tr>
      <w:tr>
        <w:trPr>
          <w:trHeight w:val="144"/>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EDS Topco, LP</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937,500</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938</w:t>
            </w:r>
          </w:p>
        </w:tc>
        <w:tc>
          <w:tcPr>
            <w:tcW w:w="3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1,174</w:t>
            </w:r>
          </w:p>
        </w:tc>
        <w:tc>
          <w:tcPr>
            <w:tcW w:w="0" w:type="dxa"/>
            <w:vAlign w:val="bottom"/>
          </w:tcPr>
          <w:p>
            <w:pPr>
              <w:spacing w:after="0"/>
              <w:rPr>
                <w:sz w:val="1"/>
                <w:szCs w:val="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Exigo, LLC</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1,458,333</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1,458</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1,561</w:t>
            </w:r>
          </w:p>
        </w:tc>
        <w:tc>
          <w:tcPr>
            <w:tcW w:w="0" w:type="dxa"/>
            <w:vAlign w:val="bottom"/>
          </w:tcPr>
          <w:p>
            <w:pPr>
              <w:spacing w:after="0"/>
              <w:rPr>
                <w:sz w:val="1"/>
                <w:szCs w:val="1"/>
                <w:color w:val="auto"/>
              </w:rPr>
            </w:pPr>
          </w:p>
        </w:tc>
      </w:tr>
      <w:tr>
        <w:trPr>
          <w:trHeight w:val="14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14,578</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489</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1,318</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(8), (10)</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5,150</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FedHC InvestCo II LP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20,882</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2,175</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1,994</w:t>
            </w:r>
          </w:p>
        </w:tc>
        <w:tc>
          <w:tcPr>
            <w:tcW w:w="0" w:type="dxa"/>
            <w:vAlign w:val="bottom"/>
          </w:tcPr>
          <w:p>
            <w:pPr>
              <w:spacing w:after="0"/>
              <w:rPr>
                <w:sz w:val="1"/>
                <w:szCs w:val="1"/>
                <w:color w:val="auto"/>
              </w:rPr>
            </w:pPr>
          </w:p>
        </w:tc>
      </w:tr>
      <w:tr>
        <w:trPr>
          <w:trHeight w:val="133"/>
        </w:trPr>
        <w:tc>
          <w:tcPr>
            <w:tcW w:w="3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Five Star Parent Holdings, LLC</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655,714</w:t>
            </w:r>
          </w:p>
        </w:tc>
        <w:tc>
          <w:tcPr>
            <w:tcW w:w="180" w:type="dxa"/>
            <w:vAlign w:val="bottom"/>
          </w:tcPr>
          <w:p>
            <w:pPr>
              <w:spacing w:after="0"/>
              <w:rPr>
                <w:sz w:val="11"/>
                <w:szCs w:val="11"/>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656</w:t>
            </w:r>
          </w:p>
        </w:tc>
        <w:tc>
          <w:tcPr>
            <w:tcW w:w="340" w:type="dxa"/>
            <w:vAlign w:val="bottom"/>
          </w:tcPr>
          <w:p>
            <w:pPr>
              <w:spacing w:after="0"/>
              <w:rPr>
                <w:sz w:val="11"/>
                <w:szCs w:val="11"/>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715</w:t>
            </w:r>
          </w:p>
        </w:tc>
        <w:tc>
          <w:tcPr>
            <w:tcW w:w="0" w:type="dxa"/>
            <w:vAlign w:val="bottom"/>
          </w:tcPr>
          <w:p>
            <w:pPr>
              <w:spacing w:after="0"/>
              <w:rPr>
                <w:sz w:val="1"/>
                <w:szCs w:val="1"/>
                <w:color w:val="auto"/>
              </w:rPr>
            </w:pPr>
          </w:p>
        </w:tc>
      </w:tr>
      <w:tr>
        <w:trPr>
          <w:trHeight w:val="14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Gauge ETE Blocker, LLC - Common Equity</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374,444</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374</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326</w:t>
            </w:r>
          </w:p>
        </w:tc>
        <w:tc>
          <w:tcPr>
            <w:tcW w:w="0" w:type="dxa"/>
            <w:vAlign w:val="bottom"/>
          </w:tcPr>
          <w:p>
            <w:pPr>
              <w:spacing w:after="0"/>
              <w:rPr>
                <w:sz w:val="1"/>
                <w:szCs w:val="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Gauge Lash Coinvest LLC</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992,792</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651</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3,634</w:t>
            </w:r>
          </w:p>
        </w:tc>
        <w:tc>
          <w:tcPr>
            <w:tcW w:w="0" w:type="dxa"/>
            <w:vAlign w:val="bottom"/>
          </w:tcPr>
          <w:p>
            <w:pPr>
              <w:spacing w:after="0"/>
              <w:rPr>
                <w:sz w:val="1"/>
                <w:szCs w:val="1"/>
                <w:color w:val="auto"/>
              </w:rPr>
            </w:pPr>
          </w:p>
        </w:tc>
      </w:tr>
      <w:tr>
        <w:trPr>
          <w:trHeight w:val="14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Gauge Loving Tan, LP - Common Equity</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462,827</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463</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435</w:t>
            </w:r>
          </w:p>
        </w:tc>
        <w:tc>
          <w:tcPr>
            <w:tcW w:w="0" w:type="dxa"/>
            <w:vAlign w:val="bottom"/>
          </w:tcPr>
          <w:p>
            <w:pPr>
              <w:spacing w:after="0"/>
              <w:rPr>
                <w:sz w:val="1"/>
                <w:szCs w:val="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Gauge Schlesinger Coinvest LLC</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4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GCOM InvestCo LP</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2,434</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1,003</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476</w:t>
            </w:r>
          </w:p>
        </w:tc>
        <w:tc>
          <w:tcPr>
            <w:tcW w:w="0" w:type="dxa"/>
            <w:vAlign w:val="bottom"/>
          </w:tcPr>
          <w:p>
            <w:pPr>
              <w:spacing w:after="0"/>
              <w:rPr>
                <w:sz w:val="1"/>
                <w:szCs w:val="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GMP Hills, LP - Common Equity</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9"/>
              </w:rPr>
              <w:t>Distribution</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3,747,470</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3,747</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3,785</w:t>
            </w:r>
          </w:p>
        </w:tc>
        <w:tc>
          <w:tcPr>
            <w:tcW w:w="0" w:type="dxa"/>
            <w:vAlign w:val="bottom"/>
          </w:tcPr>
          <w:p>
            <w:pPr>
              <w:spacing w:after="0"/>
              <w:rPr>
                <w:sz w:val="1"/>
                <w:szCs w:val="1"/>
                <w:color w:val="auto"/>
              </w:rPr>
            </w:pPr>
          </w:p>
        </w:tc>
      </w:tr>
      <w:tr>
        <w:trPr>
          <w:trHeight w:val="14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450,000</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w:t>
            </w:r>
          </w:p>
        </w:tc>
        <w:tc>
          <w:tcPr>
            <w:tcW w:w="0" w:type="dxa"/>
            <w:vAlign w:val="bottom"/>
          </w:tcPr>
          <w:p>
            <w:pPr>
              <w:spacing w:after="0"/>
              <w:rPr>
                <w:sz w:val="1"/>
                <w:szCs w:val="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HPA SPQ Aggregator LP- Common Equity</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750,399</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672</w:t>
            </w:r>
          </w:p>
        </w:tc>
        <w:tc>
          <w:tcPr>
            <w:tcW w:w="0" w:type="dxa"/>
            <w:vAlign w:val="bottom"/>
          </w:tcPr>
          <w:p>
            <w:pPr>
              <w:spacing w:after="0"/>
              <w:rPr>
                <w:sz w:val="1"/>
                <w:szCs w:val="1"/>
                <w:color w:val="auto"/>
              </w:rPr>
            </w:pPr>
          </w:p>
        </w:tc>
      </w:tr>
      <w:tr>
        <w:trPr>
          <w:trHeight w:val="14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1,600,000</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1,600</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636</w:t>
            </w:r>
          </w:p>
        </w:tc>
        <w:tc>
          <w:tcPr>
            <w:tcW w:w="0" w:type="dxa"/>
            <w:vAlign w:val="bottom"/>
          </w:tcPr>
          <w:p>
            <w:pPr>
              <w:spacing w:after="0"/>
              <w:rPr>
                <w:sz w:val="1"/>
                <w:szCs w:val="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Icon Partners V C, L.P.</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1,122,549</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1,123</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1,124</w:t>
            </w:r>
          </w:p>
        </w:tc>
        <w:tc>
          <w:tcPr>
            <w:tcW w:w="0" w:type="dxa"/>
            <w:vAlign w:val="bottom"/>
          </w:tcPr>
          <w:p>
            <w:pPr>
              <w:spacing w:after="0"/>
              <w:rPr>
                <w:sz w:val="1"/>
                <w:szCs w:val="1"/>
                <w:color w:val="auto"/>
              </w:rPr>
            </w:pPr>
          </w:p>
        </w:tc>
      </w:tr>
      <w:tr>
        <w:trPr>
          <w:trHeight w:val="14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Icon Partners V C, L.P. </w:t>
            </w:r>
            <w:r>
              <w:rPr>
                <w:rFonts w:ascii="Times New Roman" w:cs="Times New Roman" w:eastAsia="Times New Roman" w:hAnsi="Times New Roman"/>
                <w:sz w:val="12"/>
                <w:szCs w:val="12"/>
                <w:color w:val="auto"/>
                <w:vertAlign w:val="superscript"/>
              </w:rPr>
              <w:t>(8)</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377,451</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IHS Parent Holdings, L.P.</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1,218,045</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1,218</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1,534</w:t>
            </w:r>
          </w:p>
        </w:tc>
        <w:tc>
          <w:tcPr>
            <w:tcW w:w="0" w:type="dxa"/>
            <w:vAlign w:val="bottom"/>
          </w:tcPr>
          <w:p>
            <w:pPr>
              <w:spacing w:after="0"/>
              <w:rPr>
                <w:sz w:val="1"/>
                <w:szCs w:val="1"/>
                <w:color w:val="auto"/>
              </w:rPr>
            </w:pPr>
          </w:p>
        </w:tc>
      </w:tr>
      <w:tr>
        <w:trPr>
          <w:trHeight w:val="140"/>
        </w:trPr>
        <w:tc>
          <w:tcPr>
            <w:tcW w:w="302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0"/>
                <w:szCs w:val="10"/>
                <w:color w:val="auto"/>
              </w:rPr>
              <w:t>Imagine Topco, LP</w:t>
            </w:r>
          </w:p>
        </w:tc>
        <w:tc>
          <w:tcPr>
            <w:tcW w:w="900" w:type="dxa"/>
            <w:vAlign w:val="bottom"/>
            <w:vMerge w:val="restart"/>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vMerge w:val="restart"/>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vMerge w:val="restart"/>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vMerge w:val="restart"/>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743,826</w:t>
            </w:r>
          </w:p>
        </w:tc>
        <w:tc>
          <w:tcPr>
            <w:tcW w:w="180" w:type="dxa"/>
            <w:vAlign w:val="bottom"/>
            <w:shd w:val="clear" w:color="auto" w:fill="CCECFF"/>
          </w:tcPr>
          <w:p>
            <w:pPr>
              <w:spacing w:after="0"/>
              <w:rPr>
                <w:sz w:val="12"/>
                <w:szCs w:val="12"/>
                <w:color w:val="auto"/>
              </w:rPr>
            </w:pPr>
          </w:p>
        </w:tc>
        <w:tc>
          <w:tcPr>
            <w:tcW w:w="44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68"/>
        </w:trPr>
        <w:tc>
          <w:tcPr>
            <w:tcW w:w="3020" w:type="dxa"/>
            <w:vAlign w:val="bottom"/>
            <w:vMerge w:val="continue"/>
            <w:shd w:val="clear" w:color="auto" w:fill="CCECFF"/>
          </w:tcPr>
          <w:p>
            <w:pPr>
              <w:spacing w:after="0"/>
              <w:rPr>
                <w:sz w:val="5"/>
                <w:szCs w:val="5"/>
                <w:color w:val="auto"/>
              </w:rPr>
            </w:pPr>
          </w:p>
        </w:tc>
        <w:tc>
          <w:tcPr>
            <w:tcW w:w="900" w:type="dxa"/>
            <w:vAlign w:val="bottom"/>
            <w:vMerge w:val="continue"/>
            <w:shd w:val="clear" w:color="auto" w:fill="CCECFF"/>
          </w:tcPr>
          <w:p>
            <w:pPr>
              <w:spacing w:after="0"/>
              <w:rPr>
                <w:sz w:val="5"/>
                <w:szCs w:val="5"/>
                <w:color w:val="auto"/>
              </w:rPr>
            </w:pPr>
          </w:p>
        </w:tc>
        <w:tc>
          <w:tcPr>
            <w:tcW w:w="2080" w:type="dxa"/>
            <w:vAlign w:val="bottom"/>
            <w:vMerge w:val="continue"/>
            <w:shd w:val="clear" w:color="auto" w:fill="CCECFF"/>
          </w:tcPr>
          <w:p>
            <w:pPr>
              <w:spacing w:after="0"/>
              <w:rPr>
                <w:sz w:val="5"/>
                <w:szCs w:val="5"/>
                <w:color w:val="auto"/>
              </w:rPr>
            </w:pPr>
          </w:p>
        </w:tc>
        <w:tc>
          <w:tcPr>
            <w:tcW w:w="960" w:type="dxa"/>
            <w:vAlign w:val="bottom"/>
            <w:vMerge w:val="continue"/>
            <w:shd w:val="clear" w:color="auto" w:fill="CCECFF"/>
          </w:tcPr>
          <w:p>
            <w:pPr>
              <w:spacing w:after="0"/>
              <w:rPr>
                <w:sz w:val="5"/>
                <w:szCs w:val="5"/>
                <w:color w:val="auto"/>
              </w:rPr>
            </w:pPr>
          </w:p>
        </w:tc>
        <w:tc>
          <w:tcPr>
            <w:tcW w:w="860" w:type="dxa"/>
            <w:vAlign w:val="bottom"/>
            <w:vMerge w:val="continue"/>
            <w:shd w:val="clear" w:color="auto" w:fill="CCECFF"/>
          </w:tcPr>
          <w:p>
            <w:pPr>
              <w:spacing w:after="0"/>
              <w:rPr>
                <w:sz w:val="5"/>
                <w:szCs w:val="5"/>
                <w:color w:val="auto"/>
              </w:rPr>
            </w:pPr>
          </w:p>
        </w:tc>
        <w:tc>
          <w:tcPr>
            <w:tcW w:w="740" w:type="dxa"/>
            <w:vAlign w:val="bottom"/>
            <w:shd w:val="clear" w:color="auto" w:fill="CCECFF"/>
          </w:tcPr>
          <w:p>
            <w:pPr>
              <w:spacing w:after="0"/>
              <w:rPr>
                <w:sz w:val="5"/>
                <w:szCs w:val="5"/>
                <w:color w:val="auto"/>
              </w:rPr>
            </w:pPr>
          </w:p>
        </w:tc>
        <w:tc>
          <w:tcPr>
            <w:tcW w:w="180" w:type="dxa"/>
            <w:vAlign w:val="bottom"/>
            <w:shd w:val="clear" w:color="auto" w:fill="CCECFF"/>
          </w:tcPr>
          <w:p>
            <w:pPr>
              <w:spacing w:after="0"/>
              <w:rPr>
                <w:sz w:val="5"/>
                <w:szCs w:val="5"/>
                <w:color w:val="auto"/>
              </w:rPr>
            </w:pPr>
          </w:p>
        </w:tc>
        <w:tc>
          <w:tcPr>
            <w:tcW w:w="440" w:type="dxa"/>
            <w:vAlign w:val="bottom"/>
            <w:vMerge w:val="continue"/>
            <w:shd w:val="clear" w:color="auto" w:fill="CCECFF"/>
          </w:tcPr>
          <w:p>
            <w:pPr>
              <w:spacing w:after="0"/>
              <w:rPr>
                <w:sz w:val="5"/>
                <w:szCs w:val="5"/>
                <w:color w:val="auto"/>
              </w:rPr>
            </w:pPr>
          </w:p>
        </w:tc>
        <w:tc>
          <w:tcPr>
            <w:tcW w:w="340" w:type="dxa"/>
            <w:vAlign w:val="bottom"/>
            <w:shd w:val="clear" w:color="auto" w:fill="CCECFF"/>
          </w:tcPr>
          <w:p>
            <w:pPr>
              <w:spacing w:after="0"/>
              <w:rPr>
                <w:sz w:val="5"/>
                <w:szCs w:val="5"/>
                <w:color w:val="auto"/>
              </w:rPr>
            </w:pPr>
          </w:p>
        </w:tc>
        <w:tc>
          <w:tcPr>
            <w:tcW w:w="50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Infogroup Parent Holdings, Inc. (Data Axle, Inc.)</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Other Media</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181,495</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2,040</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2,554</w:t>
            </w:r>
          </w:p>
        </w:tc>
        <w:tc>
          <w:tcPr>
            <w:tcW w:w="0" w:type="dxa"/>
            <w:vAlign w:val="bottom"/>
          </w:tcPr>
          <w:p>
            <w:pPr>
              <w:spacing w:after="0"/>
              <w:rPr>
                <w:sz w:val="1"/>
                <w:szCs w:val="1"/>
                <w:color w:val="auto"/>
              </w:rPr>
            </w:pPr>
          </w:p>
        </w:tc>
      </w:tr>
      <w:tr>
        <w:trPr>
          <w:trHeight w:val="14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Ironclad Holdco, LLC (Applied Technical Services, LLC)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4,859</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504</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758</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ITC Infusion Co-invest, LP </w:t>
            </w:r>
            <w:r>
              <w:rPr>
                <w:rFonts w:ascii="Times New Roman" w:cs="Times New Roman" w:eastAsia="Times New Roman" w:hAnsi="Times New Roman"/>
                <w:sz w:val="12"/>
                <w:szCs w:val="12"/>
                <w:color w:val="auto"/>
                <w:vertAlign w:val="superscript"/>
              </w:rPr>
              <w:t>(10)</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162,445</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1,645</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2,312</w:t>
            </w:r>
          </w:p>
        </w:tc>
        <w:tc>
          <w:tcPr>
            <w:tcW w:w="0" w:type="dxa"/>
            <w:vAlign w:val="bottom"/>
          </w:tcPr>
          <w:p>
            <w:pPr>
              <w:spacing w:after="0"/>
              <w:rPr>
                <w:sz w:val="1"/>
                <w:szCs w:val="1"/>
                <w:color w:val="auto"/>
              </w:rPr>
            </w:pPr>
          </w:p>
        </w:tc>
      </w:tr>
      <w:tr>
        <w:trPr>
          <w:trHeight w:val="144"/>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Kentucky Racing Holdco, LLC (Warrants)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161,252</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1,842</w:t>
            </w:r>
          </w:p>
        </w:tc>
        <w:tc>
          <w:tcPr>
            <w:tcW w:w="0" w:type="dxa"/>
            <w:vAlign w:val="bottom"/>
          </w:tcPr>
          <w:p>
            <w:pPr>
              <w:spacing w:after="0"/>
              <w:rPr>
                <w:sz w:val="1"/>
                <w:szCs w:val="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Kinetic Purchaser, LLC</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1,308,814</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1,309</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1,836</w:t>
            </w:r>
          </w:p>
        </w:tc>
        <w:tc>
          <w:tcPr>
            <w:tcW w:w="0" w:type="dxa"/>
            <w:vAlign w:val="bottom"/>
          </w:tcPr>
          <w:p>
            <w:pPr>
              <w:spacing w:after="0"/>
              <w:rPr>
                <w:sz w:val="1"/>
                <w:szCs w:val="1"/>
                <w:color w:val="auto"/>
              </w:rPr>
            </w:pPr>
          </w:p>
        </w:tc>
      </w:tr>
      <w:tr>
        <w:trPr>
          <w:trHeight w:val="14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KL Stockton Co-Invest LP (Any Hour Services)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382,353</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385</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957</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Lariat ecoserv Co-Invest Holdings, LLC </w:t>
            </w:r>
            <w:r>
              <w:rPr>
                <w:rFonts w:ascii="Times New Roman" w:cs="Times New Roman" w:eastAsia="Times New Roman" w:hAnsi="Times New Roman"/>
                <w:sz w:val="12"/>
                <w:szCs w:val="12"/>
                <w:color w:val="auto"/>
                <w:vertAlign w:val="superscript"/>
              </w:rPr>
              <w:t>(10)</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363,656</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w:t>
            </w:r>
          </w:p>
        </w:tc>
        <w:tc>
          <w:tcPr>
            <w:tcW w:w="0" w:type="dxa"/>
            <w:vAlign w:val="bottom"/>
          </w:tcPr>
          <w:p>
            <w:pPr>
              <w:spacing w:after="0"/>
              <w:rPr>
                <w:sz w:val="1"/>
                <w:szCs w:val="1"/>
                <w:color w:val="auto"/>
              </w:rPr>
            </w:pPr>
          </w:p>
        </w:tc>
      </w:tr>
      <w:tr>
        <w:trPr>
          <w:trHeight w:val="144"/>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LEP Pequod Holdings, LP - Common Equity</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350</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865</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927</w:t>
            </w:r>
          </w:p>
        </w:tc>
        <w:tc>
          <w:tcPr>
            <w:tcW w:w="0" w:type="dxa"/>
            <w:vAlign w:val="bottom"/>
          </w:tcPr>
          <w:p>
            <w:pPr>
              <w:spacing w:after="0"/>
              <w:rPr>
                <w:sz w:val="1"/>
                <w:szCs w:val="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Lightspeed Investment Holdco LLC</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273,143</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273</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906</w:t>
            </w:r>
          </w:p>
        </w:tc>
        <w:tc>
          <w:tcPr>
            <w:tcW w:w="0" w:type="dxa"/>
            <w:vAlign w:val="bottom"/>
          </w:tcPr>
          <w:p>
            <w:pPr>
              <w:spacing w:after="0"/>
              <w:rPr>
                <w:sz w:val="1"/>
                <w:szCs w:val="1"/>
                <w:color w:val="auto"/>
              </w:rPr>
            </w:pPr>
          </w:p>
        </w:tc>
      </w:tr>
      <w:tr>
        <w:trPr>
          <w:trHeight w:val="14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LJ Avalon, LP</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851,087</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851</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1,004</w:t>
            </w:r>
          </w:p>
        </w:tc>
        <w:tc>
          <w:tcPr>
            <w:tcW w:w="0" w:type="dxa"/>
            <w:vAlign w:val="bottom"/>
          </w:tcPr>
          <w:p>
            <w:pPr>
              <w:spacing w:after="0"/>
              <w:rPr>
                <w:sz w:val="1"/>
                <w:szCs w:val="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Lorient Peregrine Investment, LP</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335,590</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4,530</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4,452</w:t>
            </w:r>
          </w:p>
        </w:tc>
        <w:tc>
          <w:tcPr>
            <w:tcW w:w="0" w:type="dxa"/>
            <w:vAlign w:val="bottom"/>
          </w:tcPr>
          <w:p>
            <w:pPr>
              <w:spacing w:after="0"/>
              <w:rPr>
                <w:sz w:val="1"/>
                <w:szCs w:val="1"/>
                <w:color w:val="auto"/>
              </w:rPr>
            </w:pPr>
          </w:p>
        </w:tc>
      </w:tr>
      <w:tr>
        <w:trPr>
          <w:trHeight w:val="14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Magnolia Topco LP - Class A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1,545,460</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Magnolia Topco LP - Class B </w:t>
            </w:r>
            <w:r>
              <w:rPr>
                <w:rFonts w:ascii="Times New Roman" w:cs="Times New Roman" w:eastAsia="Times New Roman" w:hAnsi="Times New Roman"/>
                <w:sz w:val="12"/>
                <w:szCs w:val="12"/>
                <w:color w:val="auto"/>
                <w:vertAlign w:val="superscript"/>
              </w:rPr>
              <w:t>(10)</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1,017,840</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Mars Intermediate Holdings II, Inc.</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414</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224</w:t>
            </w:r>
          </w:p>
        </w:tc>
        <w:tc>
          <w:tcPr>
            <w:tcW w:w="0" w:type="dxa"/>
            <w:vAlign w:val="bottom"/>
          </w:tcPr>
          <w:p>
            <w:pPr>
              <w:spacing w:after="0"/>
              <w:rPr>
                <w:sz w:val="1"/>
                <w:szCs w:val="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MDI Aggregator, LP</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30,993</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3,103</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3,355</w:t>
            </w:r>
          </w:p>
        </w:tc>
        <w:tc>
          <w:tcPr>
            <w:tcW w:w="0" w:type="dxa"/>
            <w:vAlign w:val="bottom"/>
          </w:tcPr>
          <w:p>
            <w:pPr>
              <w:spacing w:after="0"/>
              <w:rPr>
                <w:sz w:val="1"/>
                <w:szCs w:val="1"/>
                <w:color w:val="auto"/>
              </w:rPr>
            </w:pPr>
          </w:p>
        </w:tc>
      </w:tr>
      <w:tr>
        <w:trPr>
          <w:trHeight w:val="14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815,385</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802</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Megawatt Acquisition Partners, LLC</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Electronics</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594</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w:t>
            </w:r>
          </w:p>
        </w:tc>
        <w:tc>
          <w:tcPr>
            <w:tcW w:w="0" w:type="dxa"/>
            <w:vAlign w:val="bottom"/>
          </w:tcPr>
          <w:p>
            <w:pPr>
              <w:spacing w:after="0"/>
              <w:rPr>
                <w:sz w:val="1"/>
                <w:szCs w:val="1"/>
                <w:color w:val="auto"/>
              </w:rPr>
            </w:pPr>
          </w:p>
        </w:tc>
      </w:tr>
      <w:tr>
        <w:trPr>
          <w:trHeight w:val="14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9"/>
              </w:rPr>
              <w:t>Distribution</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3,920,145</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3,984</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6,390</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NEPRT Parent Holdings, LLC (Recteq, LLC) </w:t>
            </w:r>
            <w:r>
              <w:rPr>
                <w:rFonts w:ascii="Times New Roman" w:cs="Times New Roman" w:eastAsia="Times New Roman" w:hAnsi="Times New Roman"/>
                <w:sz w:val="12"/>
                <w:szCs w:val="12"/>
                <w:color w:val="auto"/>
                <w:vertAlign w:val="superscript"/>
              </w:rPr>
              <w:t>(10)</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1,299</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1,250</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w:t>
            </w:r>
          </w:p>
        </w:tc>
        <w:tc>
          <w:tcPr>
            <w:tcW w:w="0" w:type="dxa"/>
            <w:vAlign w:val="bottom"/>
          </w:tcPr>
          <w:p>
            <w:pPr>
              <w:spacing w:after="0"/>
              <w:rPr>
                <w:sz w:val="1"/>
                <w:szCs w:val="1"/>
                <w:color w:val="auto"/>
              </w:rPr>
            </w:pPr>
          </w:p>
        </w:tc>
      </w:tr>
      <w:tr>
        <w:trPr>
          <w:trHeight w:val="144"/>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New Medina Health, LLC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1,429,480</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1,429</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1,782</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NORA Parent Holdings, LLC </w:t>
            </w:r>
            <w:r>
              <w:rPr>
                <w:rFonts w:ascii="Times New Roman" w:cs="Times New Roman" w:eastAsia="Times New Roman" w:hAnsi="Times New Roman"/>
                <w:sz w:val="12"/>
                <w:szCs w:val="12"/>
                <w:color w:val="auto"/>
                <w:vertAlign w:val="superscript"/>
              </w:rPr>
              <w:t>(10)</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1,257</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1,248</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1,280</w:t>
            </w:r>
          </w:p>
        </w:tc>
        <w:tc>
          <w:tcPr>
            <w:tcW w:w="0" w:type="dxa"/>
            <w:vAlign w:val="bottom"/>
          </w:tcPr>
          <w:p>
            <w:pPr>
              <w:spacing w:after="0"/>
              <w:rPr>
                <w:sz w:val="1"/>
                <w:szCs w:val="1"/>
                <w:color w:val="auto"/>
              </w:rPr>
            </w:pPr>
          </w:p>
        </w:tc>
      </w:tr>
      <w:tr>
        <w:trPr>
          <w:trHeight w:val="144"/>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North Haven Saints Equity Holdings, LP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351,553</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352</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426</w:t>
            </w:r>
          </w:p>
        </w:tc>
        <w:tc>
          <w:tcPr>
            <w:tcW w:w="0" w:type="dxa"/>
            <w:vAlign w:val="bottom"/>
          </w:tcPr>
          <w:p>
            <w:pPr>
              <w:spacing w:after="0"/>
              <w:rPr>
                <w:sz w:val="1"/>
                <w:szCs w:val="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NXOF Holdings, Inc. (Tyto Athene, LLC)</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3,261</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OceanSound Discovery Equity, LP (Holdco Sands Intermediate, LLC)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98,286</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957</w:t>
            </w:r>
          </w:p>
        </w:tc>
        <w:tc>
          <w:tcPr>
            <w:tcW w:w="0" w:type="dxa"/>
            <w:vAlign w:val="bottom"/>
          </w:tcPr>
          <w:p>
            <w:pPr>
              <w:spacing w:after="0"/>
              <w:rPr>
                <w:sz w:val="1"/>
                <w:szCs w:val="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OES Co-Invest, LP Class A</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840</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840</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840</w:t>
            </w:r>
          </w:p>
        </w:tc>
        <w:tc>
          <w:tcPr>
            <w:tcW w:w="0" w:type="dxa"/>
            <w:vAlign w:val="bottom"/>
          </w:tcPr>
          <w:p>
            <w:pPr>
              <w:spacing w:after="0"/>
              <w:rPr>
                <w:sz w:val="1"/>
                <w:szCs w:val="1"/>
                <w:color w:val="auto"/>
              </w:rPr>
            </w:pPr>
          </w:p>
        </w:tc>
      </w:tr>
      <w:tr>
        <w:trPr>
          <w:trHeight w:val="14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OHCP V BC COI, L.P.</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9"/>
              </w:rPr>
              <w:t>Distribution</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694,943</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695</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551</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OHCP V BC COI, L.P. </w:t>
            </w:r>
            <w:r>
              <w:rPr>
                <w:rFonts w:ascii="Times New Roman" w:cs="Times New Roman" w:eastAsia="Times New Roman" w:hAnsi="Times New Roman"/>
                <w:sz w:val="12"/>
                <w:szCs w:val="12"/>
                <w:color w:val="auto"/>
                <w:vertAlign w:val="superscript"/>
              </w:rPr>
              <w:t>(8)</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9"/>
              </w:rPr>
              <w:t>Distribution</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55,057</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44"/>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ORL Holdco, Inc.</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638</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30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OSP Embedded Aggregator, LP</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870,536</w:t>
            </w:r>
          </w:p>
        </w:tc>
        <w:tc>
          <w:tcPr>
            <w:tcW w:w="180" w:type="dxa"/>
            <w:vAlign w:val="bottom"/>
          </w:tcPr>
          <w:p>
            <w:pPr>
              <w:spacing w:after="0"/>
              <w:rPr>
                <w:sz w:val="11"/>
                <w:szCs w:val="11"/>
                <w:color w:val="auto"/>
              </w:rPr>
            </w:pPr>
          </w:p>
        </w:tc>
        <w:tc>
          <w:tcPr>
            <w:tcW w:w="4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871</w:t>
            </w:r>
          </w:p>
        </w:tc>
        <w:tc>
          <w:tcPr>
            <w:tcW w:w="340" w:type="dxa"/>
            <w:vAlign w:val="bottom"/>
          </w:tcPr>
          <w:p>
            <w:pPr>
              <w:spacing w:after="0"/>
              <w:rPr>
                <w:sz w:val="11"/>
                <w:szCs w:val="11"/>
                <w:color w:val="auto"/>
              </w:rPr>
            </w:pPr>
          </w:p>
        </w:tc>
        <w:tc>
          <w:tcPr>
            <w:tcW w:w="5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714</w:t>
            </w:r>
          </w:p>
        </w:tc>
        <w:tc>
          <w:tcPr>
            <w:tcW w:w="0" w:type="dxa"/>
            <w:vAlign w:val="bottom"/>
          </w:tcPr>
          <w:p>
            <w:pPr>
              <w:spacing w:after="0"/>
              <w:rPr>
                <w:sz w:val="1"/>
                <w:szCs w:val="1"/>
                <w:color w:val="auto"/>
              </w:rPr>
            </w:pPr>
          </w:p>
        </w:tc>
      </w:tr>
      <w:tr>
        <w:trPr>
          <w:trHeight w:val="40"/>
        </w:trPr>
        <w:tc>
          <w:tcPr>
            <w:tcW w:w="302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20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PCS Parent, LP</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421,304</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421</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421</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PennantPark-TSO Senior Loan Fund II, LP </w:t>
            </w:r>
            <w:r>
              <w:rPr>
                <w:rFonts w:ascii="Times New Roman" w:cs="Times New Roman" w:eastAsia="Times New Roman" w:hAnsi="Times New Roman"/>
                <w:sz w:val="12"/>
                <w:szCs w:val="12"/>
                <w:color w:val="auto"/>
                <w:vertAlign w:val="superscript"/>
              </w:rPr>
              <w:t>(12)</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8,415,794</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8,416</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8,737</w:t>
            </w:r>
          </w:p>
        </w:tc>
        <w:tc>
          <w:tcPr>
            <w:tcW w:w="0" w:type="dxa"/>
            <w:vAlign w:val="bottom"/>
          </w:tcPr>
          <w:p>
            <w:pPr>
              <w:spacing w:after="0"/>
              <w:rPr>
                <w:sz w:val="1"/>
                <w:szCs w:val="1"/>
                <w:color w:val="auto"/>
              </w:rPr>
            </w:pPr>
          </w:p>
        </w:tc>
      </w:tr>
      <w:tr>
        <w:trPr>
          <w:trHeight w:val="144"/>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Pink Lily Holdco, LLC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rPr>
              <w:t>Retail</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1,044</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1,044</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Pragmatic Institute, LLC</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1,918,047</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1,918</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Quad (U.S.) Co-Invest, L.P.</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2,958,706</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2,959</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3,725</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(10)</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712</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402</w:t>
            </w:r>
          </w:p>
        </w:tc>
        <w:tc>
          <w:tcPr>
            <w:tcW w:w="0" w:type="dxa"/>
            <w:vAlign w:val="bottom"/>
          </w:tcPr>
          <w:p>
            <w:pPr>
              <w:spacing w:after="0"/>
              <w:rPr>
                <w:sz w:val="1"/>
                <w:szCs w:val="1"/>
                <w:color w:val="auto"/>
              </w:rPr>
            </w:pPr>
          </w:p>
        </w:tc>
      </w:tr>
      <w:tr>
        <w:trPr>
          <w:trHeight w:val="144"/>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(8), (10)</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955</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(10)</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w:t>
            </w:r>
          </w:p>
        </w:tc>
        <w:tc>
          <w:tcPr>
            <w:tcW w:w="0" w:type="dxa"/>
            <w:vAlign w:val="bottom"/>
          </w:tcPr>
          <w:p>
            <w:pPr>
              <w:spacing w:after="0"/>
              <w:rPr>
                <w:sz w:val="1"/>
                <w:szCs w:val="1"/>
                <w:color w:val="auto"/>
              </w:rPr>
            </w:pPr>
          </w:p>
        </w:tc>
      </w:tr>
      <w:tr>
        <w:trPr>
          <w:trHeight w:val="144"/>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RFMG Parent, LP (Rancho Health MSO, Inc.)</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1,050,000</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1,050</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1,288</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Safe Haven Defense MidCo, LLC </w:t>
            </w:r>
            <w:r>
              <w:rPr>
                <w:rFonts w:ascii="Times New Roman" w:cs="Times New Roman" w:eastAsia="Times New Roman" w:hAnsi="Times New Roman"/>
                <w:sz w:val="12"/>
                <w:szCs w:val="12"/>
                <w:color w:val="auto"/>
                <w:vertAlign w:val="superscript"/>
              </w:rPr>
              <w:t>(10)</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227</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227</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227</w:t>
            </w:r>
          </w:p>
        </w:tc>
        <w:tc>
          <w:tcPr>
            <w:tcW w:w="0" w:type="dxa"/>
            <w:vAlign w:val="bottom"/>
          </w:tcPr>
          <w:p>
            <w:pPr>
              <w:spacing w:after="0"/>
              <w:rPr>
                <w:sz w:val="1"/>
                <w:szCs w:val="1"/>
                <w:color w:val="auto"/>
              </w:rPr>
            </w:pPr>
          </w:p>
        </w:tc>
      </w:tr>
      <w:tr>
        <w:trPr>
          <w:trHeight w:val="144"/>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SBI Holdings Investments LLC (Sales Benchmark Index LLC)</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36,585</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366</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331</w:t>
            </w:r>
          </w:p>
        </w:tc>
        <w:tc>
          <w:tcPr>
            <w:tcW w:w="0" w:type="dxa"/>
            <w:vAlign w:val="bottom"/>
          </w:tcPr>
          <w:p>
            <w:pPr>
              <w:spacing w:after="0"/>
              <w:rPr>
                <w:sz w:val="1"/>
                <w:szCs w:val="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Seaway Topco, LP</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2,981</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2,981</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2,097</w:t>
            </w:r>
          </w:p>
        </w:tc>
        <w:tc>
          <w:tcPr>
            <w:tcW w:w="0" w:type="dxa"/>
            <w:vAlign w:val="bottom"/>
          </w:tcPr>
          <w:p>
            <w:pPr>
              <w:spacing w:after="0"/>
              <w:rPr>
                <w:sz w:val="1"/>
                <w:szCs w:val="1"/>
                <w:color w:val="auto"/>
              </w:rPr>
            </w:pPr>
          </w:p>
        </w:tc>
      </w:tr>
      <w:tr>
        <w:trPr>
          <w:trHeight w:val="14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SP L2 Holdings, LLC</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881,966</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882</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159</w:t>
            </w:r>
          </w:p>
        </w:tc>
        <w:tc>
          <w:tcPr>
            <w:tcW w:w="0" w:type="dxa"/>
            <w:vAlign w:val="bottom"/>
          </w:tcPr>
          <w:p>
            <w:pPr>
              <w:spacing w:after="0"/>
              <w:rPr>
                <w:sz w:val="1"/>
                <w:szCs w:val="1"/>
                <w:color w:val="auto"/>
              </w:rPr>
            </w:pPr>
          </w:p>
        </w:tc>
      </w:tr>
      <w:tr>
        <w:trPr>
          <w:trHeight w:val="14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SSC Dominion Holdings, LLC - Class B (US Dominion, Inc.)</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Electronics</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4,242</w:t>
            </w:r>
          </w:p>
        </w:tc>
        <w:tc>
          <w:tcPr>
            <w:tcW w:w="0" w:type="dxa"/>
            <w:vAlign w:val="bottom"/>
          </w:tcPr>
          <w:p>
            <w:pPr>
              <w:spacing w:after="0"/>
              <w:rPr>
                <w:sz w:val="1"/>
                <w:szCs w:val="1"/>
                <w:color w:val="auto"/>
              </w:rPr>
            </w:pPr>
          </w:p>
        </w:tc>
      </w:tr>
      <w:tr>
        <w:trPr>
          <w:trHeight w:val="14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StellPen Holdings, LLC (CF512, Inc.)</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153,846</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SV Aero Holdings, LLC </w:t>
            </w:r>
            <w:r>
              <w:rPr>
                <w:rFonts w:ascii="Times New Roman" w:cs="Times New Roman" w:eastAsia="Times New Roman" w:hAnsi="Times New Roman"/>
                <w:sz w:val="12"/>
                <w:szCs w:val="12"/>
                <w:color w:val="auto"/>
                <w:vertAlign w:val="superscript"/>
              </w:rPr>
              <w:t>(10)</w:t>
            </w:r>
          </w:p>
        </w:tc>
        <w:tc>
          <w:tcPr>
            <w:tcW w:w="9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w:t>
            </w:r>
          </w:p>
        </w:tc>
        <w:tc>
          <w:tcPr>
            <w:tcW w:w="1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w:t>
            </w:r>
          </w:p>
        </w:tc>
        <w:tc>
          <w:tcPr>
            <w:tcW w:w="34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333</w:t>
            </w:r>
          </w:p>
        </w:tc>
        <w:tc>
          <w:tcPr>
            <w:tcW w:w="0" w:type="dxa"/>
            <w:vAlign w:val="bottom"/>
          </w:tcPr>
          <w:p>
            <w:pPr>
              <w:spacing w:after="0"/>
              <w:rPr>
                <w:sz w:val="1"/>
                <w:szCs w:val="1"/>
                <w:color w:val="auto"/>
              </w:rPr>
            </w:pPr>
          </w:p>
        </w:tc>
      </w:tr>
      <w:tr>
        <w:trPr>
          <w:trHeight w:val="144"/>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254,206</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239</w:t>
            </w:r>
          </w:p>
        </w:tc>
        <w:tc>
          <w:tcPr>
            <w:tcW w:w="3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425450</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20"/>
          </w:cols>
          <w:pgMar w:left="940" w:top="1312" w:right="9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20" w:type="dxa"/>
            <w:vAlign w:val="bottom"/>
          </w:tcPr>
          <w:p>
            <w:pPr>
              <w:spacing w:after="0"/>
              <w:rPr>
                <w:sz w:val="10"/>
                <w:szCs w:val="10"/>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w w:val="94"/>
              </w:rPr>
              <w:t>Maturity /</w:t>
            </w:r>
          </w:p>
        </w:tc>
        <w:tc>
          <w:tcPr>
            <w:tcW w:w="3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220" w:type="dxa"/>
            <w:vAlign w:val="bottom"/>
          </w:tcPr>
          <w:p>
            <w:pPr>
              <w:spacing w:after="0"/>
              <w:rPr>
                <w:sz w:val="10"/>
                <w:szCs w:val="10"/>
                <w:color w:val="auto"/>
              </w:rPr>
            </w:pPr>
          </w:p>
        </w:tc>
        <w:tc>
          <w:tcPr>
            <w:tcW w:w="62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Par /</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62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w w:val="95"/>
              </w:rPr>
              <w:t>Expiration</w:t>
            </w:r>
          </w:p>
        </w:tc>
        <w:tc>
          <w:tcPr>
            <w:tcW w:w="340" w:type="dxa"/>
            <w:vAlign w:val="bottom"/>
          </w:tcPr>
          <w:p>
            <w:pPr>
              <w:spacing w:after="0"/>
              <w:rPr>
                <w:sz w:val="11"/>
                <w:szCs w:val="11"/>
                <w:color w:val="auto"/>
              </w:rPr>
            </w:pP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60" w:type="dxa"/>
            <w:vAlign w:val="bottom"/>
          </w:tcPr>
          <w:p>
            <w:pPr>
              <w:jc w:val="center"/>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220" w:type="dxa"/>
            <w:vAlign w:val="bottom"/>
          </w:tcPr>
          <w:p>
            <w:pPr>
              <w:spacing w:after="0"/>
              <w:rPr>
                <w:sz w:val="11"/>
                <w:szCs w:val="11"/>
                <w:color w:val="auto"/>
              </w:rPr>
            </w:pPr>
          </w:p>
        </w:tc>
        <w:tc>
          <w:tcPr>
            <w:tcW w:w="62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1"/>
                <w:szCs w:val="11"/>
                <w:color w:val="auto"/>
              </w:rPr>
            </w:pPr>
          </w:p>
        </w:tc>
        <w:tc>
          <w:tcPr>
            <w:tcW w:w="48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4"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(3)</w:t>
            </w:r>
          </w:p>
        </w:tc>
        <w:tc>
          <w:tcPr>
            <w:tcW w:w="0" w:type="dxa"/>
            <w:vAlign w:val="bottom"/>
          </w:tcPr>
          <w:p>
            <w:pPr>
              <w:spacing w:after="0"/>
              <w:rPr>
                <w:sz w:val="1"/>
                <w:szCs w:val="1"/>
                <w:color w:val="auto"/>
              </w:rPr>
            </w:pPr>
          </w:p>
        </w:tc>
      </w:tr>
      <w:tr>
        <w:trPr>
          <w:trHeight w:val="144"/>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TCG 3.0 Jogger Co-Invest, LP - Common Equity</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10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6,475</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1,252</w:t>
            </w:r>
          </w:p>
        </w:tc>
        <w:tc>
          <w:tcPr>
            <w:tcW w:w="1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Tower Arch Infolinks Media, LP </w:t>
            </w:r>
            <w:r>
              <w:rPr>
                <w:rFonts w:ascii="Times New Roman" w:cs="Times New Roman" w:eastAsia="Times New Roman" w:hAnsi="Times New Roman"/>
                <w:sz w:val="12"/>
                <w:szCs w:val="12"/>
                <w:color w:val="auto"/>
                <w:vertAlign w:val="superscript"/>
              </w:rPr>
              <w:t>(10)</w:t>
            </w:r>
          </w:p>
        </w:tc>
        <w:tc>
          <w:tcPr>
            <w:tcW w:w="62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542,000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Tower Arch Infolinks Media, LP </w:t>
            </w:r>
            <w:r>
              <w:rPr>
                <w:rFonts w:ascii="Times New Roman" w:cs="Times New Roman" w:eastAsia="Times New Roman" w:hAnsi="Times New Roman"/>
                <w:sz w:val="12"/>
                <w:szCs w:val="12"/>
                <w:color w:val="auto"/>
                <w:vertAlign w:val="superscript"/>
              </w:rPr>
              <w:t>(8), (10)</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10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353,444</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(9)</w:t>
            </w:r>
          </w:p>
        </w:tc>
        <w:tc>
          <w:tcPr>
            <w:tcW w:w="62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Food</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11,527</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TPCN Holdings, LLC - Common Equity </w:t>
            </w:r>
            <w:r>
              <w:rPr>
                <w:rFonts w:ascii="Times New Roman" w:cs="Times New Roman" w:eastAsia="Times New Roman" w:hAnsi="Times New Roman"/>
                <w:sz w:val="12"/>
                <w:szCs w:val="12"/>
                <w:color w:val="auto"/>
                <w:vertAlign w:val="superscript"/>
              </w:rPr>
              <w:t>(9)</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0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473,400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473</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TWD Parent Holdings, LLC (The Vertex Companies, LLC)</w:t>
            </w:r>
          </w:p>
        </w:tc>
        <w:tc>
          <w:tcPr>
            <w:tcW w:w="62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608</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(10)</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338</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742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Partners Co., L.P.</w:t>
            </w:r>
          </w:p>
        </w:tc>
        <w:tc>
          <w:tcPr>
            <w:tcW w:w="62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1,111,111</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Watchtower Holdings, LLC </w:t>
            </w:r>
            <w:r>
              <w:rPr>
                <w:rFonts w:ascii="Times New Roman" w:cs="Times New Roman" w:eastAsia="Times New Roman" w:hAnsi="Times New Roman"/>
                <w:sz w:val="12"/>
                <w:szCs w:val="12"/>
                <w:color w:val="auto"/>
                <w:vertAlign w:val="superscript"/>
              </w:rPr>
              <w:t>(10)</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Electronics</w:t>
            </w:r>
          </w:p>
        </w:tc>
        <w:tc>
          <w:tcPr>
            <w:tcW w:w="10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12,419</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1,242</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1,297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WCP Ivyrehab Coinvestment, LP </w:t>
            </w:r>
            <w:r>
              <w:rPr>
                <w:rFonts w:ascii="Times New Roman" w:cs="Times New Roman" w:eastAsia="Times New Roman" w:hAnsi="Times New Roman"/>
                <w:sz w:val="12"/>
                <w:szCs w:val="12"/>
                <w:color w:val="auto"/>
                <w:vertAlign w:val="superscript"/>
              </w:rPr>
              <w:t>(10)</w:t>
            </w:r>
          </w:p>
        </w:tc>
        <w:tc>
          <w:tcPr>
            <w:tcW w:w="62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WCP Ivyrehab QP CF Feeder, LP </w:t>
            </w:r>
            <w:r>
              <w:rPr>
                <w:rFonts w:ascii="Times New Roman" w:cs="Times New Roman" w:eastAsia="Times New Roman" w:hAnsi="Times New Roman"/>
                <w:sz w:val="12"/>
                <w:szCs w:val="12"/>
                <w:color w:val="auto"/>
                <w:vertAlign w:val="superscript"/>
              </w:rPr>
              <w:t>(10)</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3,754</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3,793</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3,416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WCP Ivyrehab QP CF Feeder, LP - Unfunded </w:t>
            </w:r>
            <w:r>
              <w:rPr>
                <w:rFonts w:ascii="Times New Roman" w:cs="Times New Roman" w:eastAsia="Times New Roman" w:hAnsi="Times New Roman"/>
                <w:sz w:val="12"/>
                <w:szCs w:val="12"/>
                <w:color w:val="auto"/>
                <w:vertAlign w:val="superscript"/>
              </w:rPr>
              <w:t>(8), (10)</w:t>
            </w:r>
          </w:p>
        </w:tc>
        <w:tc>
          <w:tcPr>
            <w:tcW w:w="62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246</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(22 )</w:t>
            </w:r>
          </w:p>
        </w:tc>
        <w:tc>
          <w:tcPr>
            <w:tcW w:w="0" w:type="dxa"/>
            <w:vAlign w:val="bottom"/>
          </w:tcPr>
          <w:p>
            <w:pPr>
              <w:spacing w:after="0"/>
              <w:rPr>
                <w:sz w:val="1"/>
                <w:szCs w:val="1"/>
                <w:color w:val="auto"/>
              </w:rPr>
            </w:pPr>
          </w:p>
        </w:tc>
      </w:tr>
      <w:tr>
        <w:trPr>
          <w:trHeight w:val="144"/>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Parent, LP (Wildcat Buyerco, Inc.)</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Electronics</w:t>
            </w:r>
          </w:p>
        </w:tc>
        <w:tc>
          <w:tcPr>
            <w:tcW w:w="10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2,314</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104,790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119,111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US Government Securities—12.2% of Net Assets</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U.S. Treasury Bill </w:t>
            </w:r>
            <w:r>
              <w:rPr>
                <w:rFonts w:ascii="Times New Roman" w:cs="Times New Roman" w:eastAsia="Times New Roman" w:hAnsi="Times New Roman"/>
                <w:sz w:val="12"/>
                <w:szCs w:val="12"/>
                <w:color w:val="auto"/>
                <w:vertAlign w:val="superscript"/>
              </w:rPr>
              <w:t>(5)</w:t>
            </w:r>
          </w:p>
        </w:tc>
        <w:tc>
          <w:tcPr>
            <w:tcW w:w="6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2"/>
              </w:rPr>
              <w:t>07/23/2024</w:t>
            </w:r>
          </w:p>
        </w:tc>
        <w:tc>
          <w:tcPr>
            <w:tcW w:w="340" w:type="dxa"/>
            <w:vAlign w:val="bottom"/>
          </w:tcPr>
          <w:p>
            <w:pPr>
              <w:spacing w:after="0"/>
              <w:rPr>
                <w:sz w:val="12"/>
                <w:szCs w:val="12"/>
                <w:color w:val="auto"/>
              </w:rPr>
            </w:pP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Short-Term U.S. Government Securities</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5.24 %</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60,000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59,820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59,808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US Government Securities</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59,820</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59,808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 Companies</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854,365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854,027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in Non-Controlled, Affiliated Portfolio Companies—6.8% of</w:t>
            </w:r>
          </w:p>
        </w:tc>
        <w:tc>
          <w:tcPr>
            <w:tcW w:w="62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2080" w:type="dxa"/>
            <w:vAlign w:val="bottom"/>
            <w:shd w:val="clear" w:color="auto" w:fill="CCECFF"/>
          </w:tcPr>
          <w:p>
            <w:pPr>
              <w:spacing w:after="0"/>
              <w:rPr>
                <w:sz w:val="11"/>
                <w:szCs w:val="11"/>
                <w:color w:val="auto"/>
              </w:rPr>
            </w:pPr>
          </w:p>
        </w:tc>
        <w:tc>
          <w:tcPr>
            <w:tcW w:w="10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Net Assets (1), (2)</w:t>
            </w:r>
          </w:p>
        </w:tc>
        <w:tc>
          <w:tcPr>
            <w:tcW w:w="62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2080" w:type="dxa"/>
            <w:vAlign w:val="bottom"/>
            <w:shd w:val="clear" w:color="auto" w:fill="CCECFF"/>
          </w:tcPr>
          <w:p>
            <w:pPr>
              <w:spacing w:after="0"/>
              <w:rPr>
                <w:sz w:val="11"/>
                <w:szCs w:val="11"/>
                <w:color w:val="auto"/>
              </w:rPr>
            </w:pPr>
          </w:p>
        </w:tc>
        <w:tc>
          <w:tcPr>
            <w:tcW w:w="10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Debt—1.2% of Net Assets</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(6)</w:t>
            </w:r>
          </w:p>
        </w:tc>
        <w:tc>
          <w:tcPr>
            <w:tcW w:w="6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2"/>
              </w:rPr>
              <w:t>03/01/2029</w:t>
            </w:r>
          </w:p>
        </w:tc>
        <w:tc>
          <w:tcPr>
            <w:tcW w:w="340" w:type="dxa"/>
            <w:vAlign w:val="bottom"/>
            <w:shd w:val="clear" w:color="auto" w:fill="CCECFF"/>
          </w:tcPr>
          <w:p>
            <w:pPr>
              <w:spacing w:after="0"/>
              <w:rPr>
                <w:sz w:val="12"/>
                <w:szCs w:val="12"/>
                <w:color w:val="auto"/>
              </w:rPr>
            </w:pP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Home and Office Furnishings</w:t>
            </w:r>
          </w:p>
        </w:tc>
        <w:tc>
          <w:tcPr>
            <w:tcW w:w="10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9,930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9,512</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2,880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Walker Edison Furniture Company, LLC - Unfunded Term Loan </w:t>
            </w:r>
            <w:r>
              <w:rPr>
                <w:rFonts w:ascii="Times New Roman" w:cs="Times New Roman" w:eastAsia="Times New Roman" w:hAnsi="Times New Roman"/>
                <w:sz w:val="12"/>
                <w:szCs w:val="12"/>
                <w:color w:val="auto"/>
                <w:vertAlign w:val="superscript"/>
              </w:rPr>
              <w:t>(6), (8)</w:t>
            </w:r>
          </w:p>
        </w:tc>
        <w:tc>
          <w:tcPr>
            <w:tcW w:w="6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2"/>
              </w:rPr>
              <w:t>03/01/2029</w:t>
            </w:r>
          </w:p>
        </w:tc>
        <w:tc>
          <w:tcPr>
            <w:tcW w:w="340" w:type="dxa"/>
            <w:vAlign w:val="bottom"/>
            <w:shd w:val="clear" w:color="auto" w:fill="CCECFF"/>
          </w:tcPr>
          <w:p>
            <w:pPr>
              <w:spacing w:after="0"/>
              <w:rPr>
                <w:sz w:val="12"/>
                <w:szCs w:val="12"/>
                <w:color w:val="auto"/>
              </w:rPr>
            </w:pP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Home and Office Furnishings</w:t>
            </w:r>
          </w:p>
        </w:tc>
        <w:tc>
          <w:tcPr>
            <w:tcW w:w="10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708</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(503 )</w:t>
            </w: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Walker Edison Furniture Company LLC - Junior Revolver </w:t>
            </w:r>
            <w:r>
              <w:rPr>
                <w:rFonts w:ascii="Times New Roman" w:cs="Times New Roman" w:eastAsia="Times New Roman" w:hAnsi="Times New Roman"/>
                <w:sz w:val="12"/>
                <w:szCs w:val="12"/>
                <w:color w:val="auto"/>
                <w:vertAlign w:val="superscript"/>
              </w:rPr>
              <w:t>(6)</w:t>
            </w:r>
          </w:p>
        </w:tc>
        <w:tc>
          <w:tcPr>
            <w:tcW w:w="6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2"/>
              </w:rPr>
              <w:t>03/01/2029</w:t>
            </w:r>
          </w:p>
        </w:tc>
        <w:tc>
          <w:tcPr>
            <w:tcW w:w="340" w:type="dxa"/>
            <w:vAlign w:val="bottom"/>
          </w:tcPr>
          <w:p>
            <w:pPr>
              <w:spacing w:after="0"/>
              <w:rPr>
                <w:sz w:val="12"/>
                <w:szCs w:val="12"/>
                <w:color w:val="auto"/>
              </w:rPr>
            </w:pP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Home and Office Furnishings</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3,333</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3,333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12,845</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5,710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Preferred Equity/Partnership Interests—5.6% of Net Assets(6)</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 (Preferred)</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5,887,236</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32,791</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26,304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 - Series B</w:t>
            </w:r>
          </w:p>
        </w:tc>
        <w:tc>
          <w:tcPr>
            <w:tcW w:w="62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918</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 Partnership Interests</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33,709</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27,564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Common Equity/Partnership Interests/Warrants—0.0% of Net Assets (6)</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w:t>
            </w:r>
          </w:p>
        </w:tc>
        <w:tc>
          <w:tcPr>
            <w:tcW w:w="62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7,444,347</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2,852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Home and Office Furnishings</w:t>
            </w:r>
          </w:p>
        </w:tc>
        <w:tc>
          <w:tcPr>
            <w:tcW w:w="10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72,917</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6,786</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Affiliated Portfolio Companies</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56,192</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33,274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in Controlled, Affiliated Portfolio Companies—75.8% of Net</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220" w:type="dxa"/>
            <w:vAlign w:val="bottom"/>
          </w:tcPr>
          <w:p>
            <w:pPr>
              <w:ind w:left="20"/>
              <w:spacing w:after="0" w:line="133" w:lineRule="exact"/>
              <w:rPr>
                <w:sz w:val="20"/>
                <w:szCs w:val="20"/>
                <w:color w:val="auto"/>
              </w:rPr>
            </w:pPr>
            <w:r>
              <w:rPr>
                <w:rFonts w:ascii="Times New Roman" w:cs="Times New Roman" w:eastAsia="Times New Roman" w:hAnsi="Times New Roman"/>
                <w:sz w:val="15"/>
                <w:szCs w:val="15"/>
                <w:b w:val="1"/>
                <w:bCs w:val="1"/>
                <w:color w:val="auto"/>
                <w:vertAlign w:val="subscript"/>
              </w:rPr>
              <w:t>Assets</w:t>
            </w:r>
            <w:r>
              <w:rPr>
                <w:rFonts w:ascii="Times New Roman" w:cs="Times New Roman" w:eastAsia="Times New Roman" w:hAnsi="Times New Roman"/>
                <w:sz w:val="5"/>
                <w:szCs w:val="5"/>
                <w:b w:val="1"/>
                <w:bCs w:val="1"/>
                <w:color w:val="auto"/>
              </w:rPr>
              <w:t xml:space="preserve"> (1), (2)</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Debt—20.8% of Net Assets</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AKW Holdings Limited </w:t>
            </w:r>
            <w:r>
              <w:rPr>
                <w:rFonts w:ascii="Times New Roman" w:cs="Times New Roman" w:eastAsia="Times New Roman" w:hAnsi="Times New Roman"/>
                <w:sz w:val="12"/>
                <w:szCs w:val="12"/>
                <w:color w:val="auto"/>
                <w:vertAlign w:val="superscript"/>
              </w:rPr>
              <w:t>(9), (11), (12)</w:t>
            </w:r>
          </w:p>
        </w:tc>
        <w:tc>
          <w:tcPr>
            <w:tcW w:w="6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2"/>
              </w:rPr>
              <w:t>03/15/2027</w:t>
            </w:r>
          </w:p>
        </w:tc>
        <w:tc>
          <w:tcPr>
            <w:tcW w:w="340" w:type="dxa"/>
            <w:vAlign w:val="bottom"/>
          </w:tcPr>
          <w:p>
            <w:pPr>
              <w:spacing w:after="0"/>
              <w:rPr>
                <w:sz w:val="12"/>
                <w:szCs w:val="12"/>
                <w:color w:val="auto"/>
              </w:rPr>
            </w:pP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12.32 %</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SOFR+700</w:t>
            </w:r>
          </w:p>
        </w:tc>
        <w:tc>
          <w:tcPr>
            <w:tcW w:w="2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41,869</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57,286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52,926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0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6.8)</w:t>
            </w: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MidOcean JF Holdings Corp.</w:t>
            </w:r>
          </w:p>
        </w:tc>
        <w:tc>
          <w:tcPr>
            <w:tcW w:w="62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2"/>
              </w:rPr>
              <w:t>07/31/2026</w:t>
            </w:r>
          </w:p>
        </w:tc>
        <w:tc>
          <w:tcPr>
            <w:tcW w:w="340" w:type="dxa"/>
            <w:vAlign w:val="bottom"/>
          </w:tcPr>
          <w:p>
            <w:pPr>
              <w:spacing w:after="0"/>
              <w:rPr>
                <w:sz w:val="12"/>
                <w:szCs w:val="12"/>
                <w:color w:val="auto"/>
              </w:rPr>
            </w:pPr>
          </w:p>
        </w:tc>
        <w:tc>
          <w:tcPr>
            <w:tcW w:w="20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Distribution</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11.38 %</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SOFR+605</w:t>
            </w:r>
          </w:p>
        </w:tc>
        <w:tc>
          <w:tcPr>
            <w:tcW w:w="22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49,750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49,172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106,458</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101,930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 Secured Debt—0.0% of Net Assets</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Subordinated Debt—27.9% of Net Assets</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Flock Financial, LLC </w:t>
            </w:r>
            <w:r>
              <w:rPr>
                <w:rFonts w:ascii="Times New Roman" w:cs="Times New Roman" w:eastAsia="Times New Roman" w:hAnsi="Times New Roman"/>
                <w:sz w:val="12"/>
                <w:szCs w:val="12"/>
                <w:color w:val="auto"/>
                <w:vertAlign w:val="superscript"/>
              </w:rPr>
              <w:t>(6), (12)</w:t>
            </w:r>
          </w:p>
        </w:tc>
        <w:tc>
          <w:tcPr>
            <w:tcW w:w="6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2"/>
              </w:rPr>
              <w:t>10/19/2027</w:t>
            </w:r>
          </w:p>
        </w:tc>
        <w:tc>
          <w:tcPr>
            <w:tcW w:w="340" w:type="dxa"/>
            <w:vAlign w:val="bottom"/>
            <w:shd w:val="clear" w:color="auto" w:fill="CCECFF"/>
          </w:tcPr>
          <w:p>
            <w:pPr>
              <w:spacing w:after="0"/>
              <w:rPr>
                <w:sz w:val="12"/>
                <w:szCs w:val="12"/>
                <w:color w:val="auto"/>
              </w:rPr>
            </w:pP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0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14.5 %</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21,398</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21,398</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21,398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14.5%)</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PennantPark Senior Loan Fund, LLC </w:t>
            </w:r>
            <w:r>
              <w:rPr>
                <w:rFonts w:ascii="Times New Roman" w:cs="Times New Roman" w:eastAsia="Times New Roman" w:hAnsi="Times New Roman"/>
                <w:sz w:val="12"/>
                <w:szCs w:val="12"/>
                <w:color w:val="auto"/>
                <w:vertAlign w:val="superscript"/>
              </w:rPr>
              <w:t>(12)</w:t>
            </w:r>
          </w:p>
        </w:tc>
        <w:tc>
          <w:tcPr>
            <w:tcW w:w="62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7/31/2027</w:t>
            </w:r>
          </w:p>
        </w:tc>
        <w:tc>
          <w:tcPr>
            <w:tcW w:w="340" w:type="dxa"/>
            <w:vAlign w:val="bottom"/>
            <w:shd w:val="clear" w:color="auto" w:fill="CCECFF"/>
          </w:tcPr>
          <w:p>
            <w:pPr>
              <w:spacing w:after="0"/>
              <w:rPr>
                <w:sz w:val="12"/>
                <w:szCs w:val="12"/>
                <w:color w:val="auto"/>
              </w:rPr>
            </w:pP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0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13.33 %</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SOFR+800</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115,886</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115,886</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115,886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Subordinated Debt</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137,284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137,284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Preferred Equity—5.4% of Net Assets (6)</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Flock Financial Class A Preferred Equity</w:t>
            </w:r>
            <w:r>
              <w:rPr>
                <w:rFonts w:ascii="Times New Roman" w:cs="Times New Roman" w:eastAsia="Times New Roman" w:hAnsi="Times New Roman"/>
                <w:sz w:val="12"/>
                <w:szCs w:val="12"/>
                <w:color w:val="auto"/>
                <w:vertAlign w:val="superscript"/>
              </w:rPr>
              <w:t>(12)</w:t>
            </w:r>
          </w:p>
        </w:tc>
        <w:tc>
          <w:tcPr>
            <w:tcW w:w="62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2,047,727</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Flock Financial Class B Preferred Equity</w:t>
            </w:r>
            <w:r>
              <w:rPr>
                <w:rFonts w:ascii="Times New Roman" w:cs="Times New Roman" w:eastAsia="Times New Roman" w:hAnsi="Times New Roman"/>
                <w:sz w:val="12"/>
                <w:szCs w:val="12"/>
                <w:color w:val="auto"/>
                <w:vertAlign w:val="superscript"/>
              </w:rPr>
              <w:t>(12)</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0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5,409,091</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19,318</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19,318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26,631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26,631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Common Equity—21.7% of Net Assets (6)</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AKW Holdings Limited - Common Equity </w:t>
            </w:r>
            <w:r>
              <w:rPr>
                <w:rFonts w:ascii="Times New Roman" w:cs="Times New Roman" w:eastAsia="Times New Roman" w:hAnsi="Times New Roman"/>
                <w:sz w:val="12"/>
                <w:szCs w:val="12"/>
                <w:color w:val="auto"/>
                <w:vertAlign w:val="superscript"/>
              </w:rPr>
              <w:t>(9), (11), (12)</w:t>
            </w:r>
          </w:p>
        </w:tc>
        <w:tc>
          <w:tcPr>
            <w:tcW w:w="62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JF Intermediate, LLC</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Distribution</w:t>
            </w:r>
          </w:p>
        </w:tc>
        <w:tc>
          <w:tcPr>
            <w:tcW w:w="10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43,918</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4,488</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32,593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PennantPark Senior Loan Fund, LLC </w:t>
            </w:r>
            <w:r>
              <w:rPr>
                <w:rFonts w:ascii="Times New Roman" w:cs="Times New Roman" w:eastAsia="Times New Roman" w:hAnsi="Times New Roman"/>
                <w:sz w:val="12"/>
                <w:szCs w:val="12"/>
                <w:color w:val="auto"/>
                <w:vertAlign w:val="superscript"/>
              </w:rPr>
              <w:t>(12)</w:t>
            </w:r>
          </w:p>
        </w:tc>
        <w:tc>
          <w:tcPr>
            <w:tcW w:w="62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67,373,319</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67,436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69,718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72,056</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106,729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342,429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372,574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Investments—256.5% of Net Assets</w:t>
            </w:r>
          </w:p>
        </w:tc>
        <w:tc>
          <w:tcPr>
            <w:tcW w:w="62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2080" w:type="dxa"/>
            <w:vAlign w:val="bottom"/>
            <w:shd w:val="clear" w:color="auto" w:fill="CCECFF"/>
          </w:tcPr>
          <w:p>
            <w:pPr>
              <w:spacing w:after="0"/>
              <w:rPr>
                <w:sz w:val="11"/>
                <w:szCs w:val="11"/>
                <w:color w:val="auto"/>
              </w:rPr>
            </w:pPr>
          </w:p>
        </w:tc>
        <w:tc>
          <w:tcPr>
            <w:tcW w:w="10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7"/>
              </w:rPr>
              <w:t>1,252,98</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2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2080" w:type="dxa"/>
            <w:vAlign w:val="bottom"/>
            <w:shd w:val="clear" w:color="auto" w:fill="CCECFF"/>
          </w:tcPr>
          <w:p>
            <w:pPr>
              <w:spacing w:after="0"/>
              <w:rPr>
                <w:sz w:val="11"/>
                <w:szCs w:val="11"/>
                <w:color w:val="auto"/>
              </w:rPr>
            </w:pPr>
          </w:p>
        </w:tc>
        <w:tc>
          <w:tcPr>
            <w:tcW w:w="10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1,259,875</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Cash and Cash Equivalents—12.0% of Net Assets</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47,300</w:t>
            </w:r>
          </w:p>
        </w:tc>
        <w:tc>
          <w:tcPr>
            <w:tcW w:w="80" w:type="dxa"/>
            <w:vAlign w:val="bottom"/>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47,300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Non-Money Market Cash</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6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2080" w:type="dxa"/>
            <w:vAlign w:val="bottom"/>
            <w:shd w:val="clear" w:color="auto" w:fill="CCECFF"/>
          </w:tcPr>
          <w:p>
            <w:pPr>
              <w:spacing w:after="0"/>
              <w:rPr>
                <w:sz w:val="14"/>
                <w:szCs w:val="14"/>
                <w:color w:val="auto"/>
              </w:rPr>
            </w:pPr>
          </w:p>
        </w:tc>
        <w:tc>
          <w:tcPr>
            <w:tcW w:w="108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59,151</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59,152</w:t>
            </w:r>
          </w:p>
        </w:tc>
        <w:tc>
          <w:tcPr>
            <w:tcW w:w="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Equivalents—268.5% of Net Assets</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7"/>
              </w:rPr>
              <w:t>1,312,13</w:t>
            </w:r>
          </w:p>
        </w:tc>
        <w:tc>
          <w:tcPr>
            <w:tcW w:w="80" w:type="dxa"/>
            <w:vAlign w:val="bottom"/>
            <w:vMerge w:val="restart"/>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1,319,027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jc w:val="right"/>
              <w:ind w:right="72"/>
              <w:spacing w:after="0" w:line="76" w:lineRule="exact"/>
              <w:rPr>
                <w:sz w:val="20"/>
                <w:szCs w:val="20"/>
                <w:color w:val="auto"/>
              </w:rPr>
            </w:pPr>
            <w:r>
              <w:rPr>
                <w:rFonts w:ascii="Times New Roman" w:cs="Times New Roman" w:eastAsia="Times New Roman" w:hAnsi="Times New Roman"/>
                <w:sz w:val="8"/>
                <w:szCs w:val="8"/>
                <w:color w:val="auto"/>
              </w:rPr>
              <w:t>7</w:t>
            </w:r>
          </w:p>
        </w:tc>
        <w:tc>
          <w:tcPr>
            <w:tcW w:w="80" w:type="dxa"/>
            <w:vAlign w:val="bottom"/>
            <w:vMerge w:val="continue"/>
          </w:tcPr>
          <w:p>
            <w:pPr>
              <w:spacing w:after="0"/>
              <w:rPr>
                <w:sz w:val="8"/>
                <w:szCs w:val="8"/>
                <w:color w:val="auto"/>
              </w:rPr>
            </w:pPr>
          </w:p>
        </w:tc>
        <w:tc>
          <w:tcPr>
            <w:tcW w:w="8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Assets—(168.5%) of Net Assets</w:t>
            </w:r>
          </w:p>
        </w:tc>
        <w:tc>
          <w:tcPr>
            <w:tcW w:w="620" w:type="dxa"/>
            <w:vAlign w:val="bottom"/>
            <w:shd w:val="clear" w:color="auto" w:fill="CCECFF"/>
          </w:tcPr>
          <w:p>
            <w:pPr>
              <w:spacing w:after="0"/>
              <w:rPr>
                <w:sz w:val="10"/>
                <w:szCs w:val="10"/>
                <w:color w:val="auto"/>
              </w:rPr>
            </w:pPr>
          </w:p>
        </w:tc>
        <w:tc>
          <w:tcPr>
            <w:tcW w:w="340" w:type="dxa"/>
            <w:vAlign w:val="bottom"/>
            <w:shd w:val="clear" w:color="auto" w:fill="CCECFF"/>
          </w:tcPr>
          <w:p>
            <w:pPr>
              <w:spacing w:after="0"/>
              <w:rPr>
                <w:sz w:val="10"/>
                <w:szCs w:val="10"/>
                <w:color w:val="auto"/>
              </w:rPr>
            </w:pPr>
          </w:p>
        </w:tc>
        <w:tc>
          <w:tcPr>
            <w:tcW w:w="208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(827,805 )</w:t>
            </w:r>
          </w:p>
        </w:tc>
        <w:tc>
          <w:tcPr>
            <w:tcW w:w="0" w:type="dxa"/>
            <w:vAlign w:val="bottom"/>
          </w:tcPr>
          <w:p>
            <w:pPr>
              <w:spacing w:after="0"/>
              <w:rPr>
                <w:sz w:val="1"/>
                <w:szCs w:val="1"/>
                <w:color w:val="auto"/>
              </w:rPr>
            </w:pPr>
          </w:p>
        </w:tc>
      </w:tr>
      <w:tr>
        <w:trPr>
          <w:trHeight w:val="140"/>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Net Assets—100.0%</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491,222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1"/>
          <w:szCs w:val="11"/>
          <w:color w:val="auto"/>
        </w:rPr>
        <w:t>(1)The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53" w:lineRule="auto"/>
        <w:rPr>
          <w:sz w:val="20"/>
          <w:szCs w:val="20"/>
          <w:color w:val="auto"/>
        </w:rPr>
      </w:pPr>
      <w:r>
        <w:rPr>
          <w:rFonts w:ascii="Times New Roman" w:cs="Times New Roman" w:eastAsia="Times New Roman" w:hAnsi="Times New Roman"/>
          <w:sz w:val="11"/>
          <w:szCs w:val="11"/>
          <w:color w:val="auto"/>
        </w:rPr>
        <w:t>(2)The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(3)Valued based on our accounting policy (See Note 2).</w:t>
      </w:r>
    </w:p>
    <w:p>
      <w:pPr>
        <w:spacing w:after="0" w:line="30" w:lineRule="exact"/>
        <w:rPr>
          <w:sz w:val="20"/>
          <w:szCs w:val="20"/>
          <w:color w:val="auto"/>
        </w:rPr>
      </w:pPr>
    </w:p>
    <w:p>
      <w:pPr>
        <w:ind w:right="1720"/>
        <w:spacing w:after="0" w:line="281" w:lineRule="auto"/>
        <w:rPr>
          <w:sz w:val="20"/>
          <w:szCs w:val="20"/>
          <w:color w:val="auto"/>
        </w:rPr>
      </w:pPr>
      <w:r>
        <w:rPr>
          <w:rFonts w:ascii="Times New Roman" w:cs="Times New Roman" w:eastAsia="Times New Roman" w:hAnsi="Times New Roman"/>
          <w:sz w:val="10"/>
          <w:szCs w:val="10"/>
          <w:color w:val="auto"/>
        </w:rPr>
        <w:t>(4)Represents floating rate instruments that accrue interest at a predetermined spread relative to an index, typically the applicable Secured Overnight Financing Rate (SOFR), or Prime rate (P), or Sterling Overnight Index Average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w:t>
      </w:r>
    </w:p>
    <w:p>
      <w:pPr>
        <w:spacing w:after="0"/>
        <w:rPr>
          <w:sz w:val="20"/>
          <w:szCs w:val="20"/>
          <w:color w:val="auto"/>
        </w:rPr>
      </w:pPr>
      <w:r>
        <w:rPr>
          <w:rFonts w:ascii="Times New Roman" w:cs="Times New Roman" w:eastAsia="Times New Roman" w:hAnsi="Times New Roman"/>
          <w:sz w:val="11"/>
          <w:szCs w:val="11"/>
          <w:color w:val="auto"/>
        </w:rPr>
        <w:t>with a quarterly frequency payment. All securities are subject to a SOFR or Prime rate floor where a spread is provided, unless noted. The spread provided includes payment-in-kind or "PIK" interest and other fee rates, if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(5)The security was not valued using significant unobservable inputs. The value of all other securities was determined using significant unobservable inputs (See Note 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(6)Non-income producing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(7)Partial non-accrual PIK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(8)Represents the purchase of a security with delayed settlement or a revolving line of credit that is currently an unfunded investment. This security does not earn a basis point spread above an index while it is unfunded.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(9)Non-U.S. company or principal place of business outside the United States.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(10)Investment is held through our Taxable Subsidiary (See Note 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(11)Par / Shares amount is denominated in British Pounds (£) and in Canadian (CAD) as denoted.</w:t>
      </w:r>
    </w:p>
    <w:p>
      <w:pPr>
        <w:spacing w:after="0" w:line="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1"/>
          <w:szCs w:val="11"/>
          <w:color w:val="auto"/>
        </w:rPr>
        <w:t>(12)The investment is treated as a non-qualifying asset under Section 55(a) of the 1940 Act. Under the 1940 Act, we may not acquire any non-qualifying asset unless, at the time the acquisition is made, qualifying assets represent at least 70% of our total assets. As of June 30, 2024, qualifying assets represent 77% of the Company’s total assets and non-qualifying assets represent 23% of the Company’s total assets.</w:t>
      </w: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12" w:right="70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00" w:type="dxa"/>
            <w:vAlign w:val="bottom"/>
          </w:tcPr>
          <w:p>
            <w:pPr>
              <w:spacing w:after="0"/>
              <w:rPr>
                <w:sz w:val="10"/>
                <w:szCs w:val="10"/>
                <w:color w:val="auto"/>
              </w:rPr>
            </w:pPr>
          </w:p>
        </w:tc>
        <w:tc>
          <w:tcPr>
            <w:tcW w:w="820" w:type="dxa"/>
            <w:vAlign w:val="bottom"/>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02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92"/>
              <w:spacing w:after="0"/>
              <w:rPr>
                <w:sz w:val="20"/>
                <w:szCs w:val="20"/>
                <w:color w:val="auto"/>
              </w:rPr>
            </w:pPr>
            <w:r>
              <w:rPr>
                <w:rFonts w:ascii="Times New Roman" w:cs="Times New Roman" w:eastAsia="Times New Roman" w:hAnsi="Times New Roman"/>
                <w:sz w:val="10"/>
                <w:szCs w:val="10"/>
                <w:color w:val="auto"/>
                <w:w w:val="97"/>
              </w:rPr>
              <w:t>Basis Point</w:t>
            </w: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4"/>
              </w:rPr>
              <w:t>Spread Above</w:t>
            </w:r>
          </w:p>
        </w:tc>
        <w:tc>
          <w:tcPr>
            <w:tcW w:w="8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34" w:lineRule="exact"/>
              <w:rPr>
                <w:sz w:val="20"/>
                <w:szCs w:val="20"/>
                <w:color w:val="auto"/>
              </w:rPr>
            </w:pPr>
            <w:r>
              <w:rPr>
                <w:rFonts w:ascii="Times New Roman" w:cs="Times New Roman" w:eastAsia="Times New Roman" w:hAnsi="Times New Roman"/>
                <w:sz w:val="10"/>
                <w:szCs w:val="10"/>
                <w:color w:val="auto"/>
                <w:w w:val="86"/>
              </w:rPr>
              <w:t xml:space="preserve">Index </w:t>
            </w:r>
            <w:r>
              <w:rPr>
                <w:rFonts w:ascii="Times New Roman" w:cs="Times New Roman" w:eastAsia="Times New Roman" w:hAnsi="Times New Roman"/>
                <w:sz w:val="12"/>
                <w:szCs w:val="12"/>
                <w:color w:val="auto"/>
                <w:w w:val="86"/>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31"/>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in Non-Controlled, Non-Affiliated Portfolio Companies</w:t>
            </w:r>
          </w:p>
        </w:tc>
        <w:tc>
          <w:tcPr>
            <w:tcW w:w="82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000" w:type="dxa"/>
            <w:vAlign w:val="bottom"/>
            <w:shd w:val="clear" w:color="auto" w:fill="CCECFF"/>
          </w:tcPr>
          <w:p>
            <w:pPr>
              <w:ind w:left="20"/>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—165.4% of Net Assets </w:t>
            </w:r>
            <w:r>
              <w:rPr>
                <w:rFonts w:ascii="Times New Roman" w:cs="Times New Roman" w:eastAsia="Times New Roman" w:hAnsi="Times New Roman"/>
                <w:sz w:val="12"/>
                <w:szCs w:val="12"/>
                <w:b w:val="1"/>
                <w:bCs w:val="1"/>
                <w:color w:val="auto"/>
                <w:vertAlign w:val="superscript"/>
              </w:rPr>
              <w:t>(1), (2)</w:t>
            </w:r>
          </w:p>
        </w:tc>
        <w:tc>
          <w:tcPr>
            <w:tcW w:w="82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Debt—93.2% of Net Assets</w:t>
            </w:r>
          </w:p>
        </w:tc>
        <w:tc>
          <w:tcPr>
            <w:tcW w:w="8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SOFR+660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5,144</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5,073</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5,119</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A1 Garage Merger Sub, LLC - Unfunded Term Loan</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12/21/2024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A1 Garage Merger Sub,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2,532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05/07/2026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SOFR+626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221</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Ad.net Acquisition,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05/07/2026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05/23/2024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1,221</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Anteriad, LLC (f/k/a MeritDirect,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05/23/2024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1,612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07/21/2027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3,023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3,014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2,962</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Any Hour Services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07/21/2027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136"/>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10.77 %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SOFR+525</w:t>
            </w:r>
          </w:p>
        </w:tc>
        <w:tc>
          <w:tcPr>
            <w:tcW w:w="8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1,330</w:t>
            </w:r>
          </w:p>
        </w:tc>
        <w:tc>
          <w:tcPr>
            <w:tcW w:w="260" w:type="dxa"/>
            <w:vAlign w:val="bottom"/>
          </w:tcPr>
          <w:p>
            <w:pPr>
              <w:spacing w:after="0"/>
              <w:rPr>
                <w:sz w:val="11"/>
                <w:szCs w:val="11"/>
                <w:color w:val="auto"/>
              </w:rPr>
            </w:pP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1,330</w:t>
            </w:r>
          </w:p>
        </w:tc>
        <w:tc>
          <w:tcPr>
            <w:tcW w:w="180" w:type="dxa"/>
            <w:vAlign w:val="bottom"/>
          </w:tcPr>
          <w:p>
            <w:pPr>
              <w:spacing w:after="0"/>
              <w:rPr>
                <w:sz w:val="11"/>
                <w:szCs w:val="11"/>
                <w:color w:val="auto"/>
              </w:rPr>
            </w:pPr>
          </w:p>
        </w:tc>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1,327</w:t>
            </w:r>
          </w:p>
        </w:tc>
        <w:tc>
          <w:tcPr>
            <w:tcW w:w="0" w:type="dxa"/>
            <w:vAlign w:val="bottom"/>
          </w:tcPr>
          <w:p>
            <w:pPr>
              <w:spacing w:after="0"/>
              <w:rPr>
                <w:sz w:val="1"/>
                <w:szCs w:val="1"/>
                <w:color w:val="auto"/>
              </w:rPr>
            </w:pPr>
          </w:p>
        </w:tc>
      </w:tr>
      <w:tr>
        <w:trPr>
          <w:trHeight w:val="64"/>
        </w:trPr>
        <w:tc>
          <w:tcPr>
            <w:tcW w:w="30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1,863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1,859</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581</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Apex Service Partners,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12/29/2026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824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808</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12/29/2026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13.25 %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SOFR+475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Applied Technical Services, LLC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12/29/2026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216"/>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08/03/2029</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2"/>
              <w:spacing w:after="0" w:line="216" w:lineRule="exact"/>
              <w:rPr>
                <w:sz w:val="20"/>
                <w:szCs w:val="20"/>
                <w:color w:val="auto"/>
              </w:rPr>
            </w:pPr>
            <w:r>
              <w:rPr>
                <w:rFonts w:ascii="Times New Roman" w:cs="Times New Roman" w:eastAsia="Times New Roman" w:hAnsi="Times New Roman"/>
                <w:sz w:val="10"/>
                <w:szCs w:val="10"/>
                <w:color w:val="auto"/>
              </w:rPr>
              <w:t xml:space="preserve">11.62 </w:t>
            </w:r>
            <w:r>
              <w:rPr>
                <w:rFonts w:ascii="Times New Roman" w:cs="Times New Roman" w:eastAsia="Times New Roman" w:hAnsi="Times New Roman"/>
                <w:sz w:val="19"/>
                <w:szCs w:val="19"/>
                <w:color w:val="auto"/>
                <w:vertAlign w:val="superscript"/>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SOFR+615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8,090</w:t>
            </w:r>
          </w:p>
        </w:tc>
        <w:tc>
          <w:tcPr>
            <w:tcW w:w="260" w:type="dxa"/>
            <w:vAlign w:val="bottom"/>
            <w:shd w:val="clear" w:color="auto" w:fill="CCECFF"/>
          </w:tcPr>
          <w:p>
            <w:pPr>
              <w:spacing w:after="0"/>
              <w:rPr>
                <w:sz w:val="18"/>
                <w:szCs w:val="18"/>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7,970</w:t>
            </w:r>
          </w:p>
        </w:tc>
        <w:tc>
          <w:tcPr>
            <w:tcW w:w="180" w:type="dxa"/>
            <w:vAlign w:val="bottom"/>
            <w:shd w:val="clear" w:color="auto" w:fill="CCECFF"/>
          </w:tcPr>
          <w:p>
            <w:pPr>
              <w:spacing w:after="0"/>
              <w:rPr>
                <w:sz w:val="18"/>
                <w:szCs w:val="18"/>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8,009</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Arcfield Acquisition Corp.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08/04/2028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3,521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Berwick Industrial Park</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11/02/2023</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Buildings and Real Estate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4,030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3,924</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07/01/2029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4,869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4,604</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01/31/2028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11.81 %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BioDerm,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01/31/2028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09/17/2026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1,851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1,823</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09/17/2026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3,354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09/17/2026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338</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Blackhawk Industrial Distribution,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09/17/2026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3,089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12/04/2025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SOFR+626</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9,838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9,838</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06/14/2028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34,056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33,496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34,056</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 -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06/14/2028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Cartessa Aesthetics, LLC -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06/14/2028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2,297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08/20/2026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6,592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6,524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6,460</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CF512, Inc.(Revolver)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08/20/2026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Compex Legal Services,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02/09/2026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SOFR+555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949</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Compex Legal Services, Inc.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02/07/2025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Compex Legal Services, Inc.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02/07/2025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Connatix Buyer,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07/13/2027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1,875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11/30/2028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12.82 %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1,990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08/16/2027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SOFR+551</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Crane 1 Services, Inc.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08/16/2027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33"/>
        </w:trPr>
        <w:tc>
          <w:tcPr>
            <w:tcW w:w="3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w:t>
            </w: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08/31/2027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8,276</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8,190</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8,276</w:t>
            </w:r>
          </w:p>
        </w:tc>
        <w:tc>
          <w:tcPr>
            <w:tcW w:w="0" w:type="dxa"/>
            <w:vAlign w:val="bottom"/>
          </w:tcPr>
          <w:p>
            <w:pPr>
              <w:spacing w:after="0"/>
              <w:rPr>
                <w:sz w:val="1"/>
                <w:szCs w:val="1"/>
                <w:color w:val="auto"/>
              </w:rPr>
            </w:pPr>
          </w:p>
        </w:tc>
      </w:tr>
      <w:tr>
        <w:trPr>
          <w:trHeight w:val="137"/>
        </w:trPr>
        <w:tc>
          <w:tcPr>
            <w:tcW w:w="300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w:t>
            </w: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0" w:type="dxa"/>
            <w:vAlign w:val="bottom"/>
            <w:shd w:val="clear" w:color="auto" w:fill="CCECFF"/>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Dr. Squatch, LLC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08/27/2026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2,000</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33"/>
        </w:trPr>
        <w:tc>
          <w:tcPr>
            <w:tcW w:w="3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w:t>
            </w: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Dr. Squatch, LLC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08/31/2027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2,326</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11/03/2025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DRS Holdings III,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11/03/2025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6,219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6,133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6,125</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 - Unfunded Term Loan</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5,625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EDS Buyer, LLC -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1,688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ETE Intermediate II, LLC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05/25/2029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1,656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03/15/2027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24,375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24,097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23,888</w:t>
            </w:r>
          </w:p>
        </w:tc>
        <w:tc>
          <w:tcPr>
            <w:tcW w:w="0" w:type="dxa"/>
            <w:vAlign w:val="bottom"/>
          </w:tcPr>
          <w:p>
            <w:pPr>
              <w:spacing w:after="0"/>
              <w:rPr>
                <w:sz w:val="1"/>
                <w:szCs w:val="1"/>
                <w:color w:val="auto"/>
              </w:rPr>
            </w:pPr>
          </w:p>
        </w:tc>
      </w:tr>
      <w:tr>
        <w:trPr>
          <w:trHeight w:val="17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Exigo Intermediate II, LLC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03/15/2027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1,856</w:t>
            </w:r>
          </w:p>
        </w:tc>
        <w:tc>
          <w:tcPr>
            <w:tcW w:w="26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20" w:type="dxa"/>
            <w:vAlign w:val="bottom"/>
          </w:tcPr>
          <w:p>
            <w:pPr>
              <w:spacing w:after="0"/>
              <w:rPr>
                <w:sz w:val="10"/>
                <w:szCs w:val="10"/>
                <w:color w:val="auto"/>
              </w:rPr>
            </w:pP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02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92"/>
              <w:spacing w:after="0"/>
              <w:rPr>
                <w:sz w:val="20"/>
                <w:szCs w:val="20"/>
                <w:color w:val="auto"/>
              </w:rPr>
            </w:pPr>
            <w:r>
              <w:rPr>
                <w:rFonts w:ascii="Times New Roman" w:cs="Times New Roman" w:eastAsia="Times New Roman" w:hAnsi="Times New Roman"/>
                <w:sz w:val="10"/>
                <w:szCs w:val="10"/>
                <w:color w:val="auto"/>
                <w:w w:val="97"/>
              </w:rPr>
              <w:t>Basis Point</w:t>
            </w:r>
          </w:p>
        </w:tc>
        <w:tc>
          <w:tcPr>
            <w:tcW w:w="84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4"/>
              </w:rPr>
              <w:t>Spread Above</w:t>
            </w:r>
          </w:p>
        </w:tc>
        <w:tc>
          <w:tcPr>
            <w:tcW w:w="8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34" w:lineRule="exact"/>
              <w:rPr>
                <w:sz w:val="20"/>
                <w:szCs w:val="20"/>
                <w:color w:val="auto"/>
              </w:rPr>
            </w:pPr>
            <w:r>
              <w:rPr>
                <w:rFonts w:ascii="Times New Roman" w:cs="Times New Roman" w:eastAsia="Times New Roman" w:hAnsi="Times New Roman"/>
                <w:sz w:val="10"/>
                <w:szCs w:val="10"/>
                <w:color w:val="auto"/>
                <w:w w:val="86"/>
              </w:rPr>
              <w:t xml:space="preserve">Index </w:t>
            </w:r>
            <w:r>
              <w:rPr>
                <w:rFonts w:ascii="Times New Roman" w:cs="Times New Roman" w:eastAsia="Times New Roman" w:hAnsi="Times New Roman"/>
                <w:sz w:val="12"/>
                <w:szCs w:val="12"/>
                <w:color w:val="auto"/>
                <w:w w:val="86"/>
                <w:vertAlign w:val="superscript"/>
              </w:rPr>
              <w:t>(4)</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80" w:type="dxa"/>
            <w:vAlign w:val="bottom"/>
          </w:tcPr>
          <w:p>
            <w:pPr>
              <w:spacing w:after="0"/>
              <w:rPr>
                <w:sz w:val="11"/>
                <w:szCs w:val="11"/>
                <w:color w:val="auto"/>
              </w:rPr>
            </w:pPr>
          </w:p>
        </w:tc>
        <w:tc>
          <w:tcPr>
            <w:tcW w:w="66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1"/>
                <w:szCs w:val="11"/>
                <w:color w:val="auto"/>
              </w:rPr>
            </w:pPr>
          </w:p>
        </w:tc>
        <w:tc>
          <w:tcPr>
            <w:tcW w:w="780" w:type="dxa"/>
            <w:vAlign w:val="bottom"/>
          </w:tcPr>
          <w:p>
            <w:pPr>
              <w:jc w:val="right"/>
              <w:ind w:right="17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33"/>
        </w:trPr>
        <w:tc>
          <w:tcPr>
            <w:tcW w:w="282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02/23/2028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SOFR+710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w:t>
            </w:r>
          </w:p>
        </w:tc>
        <w:tc>
          <w:tcPr>
            <w:tcW w:w="2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 - Unfunded Term Loan</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02/23/2028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837</w:t>
            </w:r>
          </w:p>
        </w:tc>
        <w:tc>
          <w:tcPr>
            <w:tcW w:w="280" w:type="dxa"/>
            <w:vAlign w:val="bottom"/>
          </w:tcPr>
          <w:p>
            <w:pPr>
              <w:spacing w:after="0"/>
              <w:rPr>
                <w:sz w:val="11"/>
                <w:szCs w:val="11"/>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37"/>
        </w:trPr>
        <w:tc>
          <w:tcPr>
            <w:tcW w:w="282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20" w:type="dxa"/>
            <w:vAlign w:val="bottom"/>
            <w:shd w:val="clear" w:color="auto" w:fill="CCECFF"/>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Five Star Buyer,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02/23/2028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741</w:t>
            </w: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ETE Blocker, LLC - Promissory Note</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05/19/2029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12.56 %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08/10/2027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10.98 %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613</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608</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607</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Graffiti Buyer, Inc.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12/08/2023</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276</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 (Revolver)</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08/10/2027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239</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239</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237</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Graffiti Buyer, Inc.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08/10/2027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529</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12/31/2026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SOFR+560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335</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335</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327</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Hancock Roofing and Construction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12/31/2026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415</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11/23/2028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6M SOFR+585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1,898</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1,868</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1,898</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Holdco Sands Intermediate,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11/23/2027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3,941</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SOFR+625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279</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278</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279</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HV Watterson Holdings, LLC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12/17/2026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2,219</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 - (Revolver)</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SOFR+625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1,200</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1,200</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1,198</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 - (Revolver)</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12/17/2026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12/10/2024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11.28 %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11,237</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11,167</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11,069</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 (Revolver)</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12/10/2024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271</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271</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267</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HW Holdco, LLC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12/10/2024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3,116</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IG Investments Holdings,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09/22/2027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477</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Imagine Acquisitionco, LLC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11/15/2027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2,341</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Imagine Acquisitionco,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11/15/2027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1,685</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12/07/2023</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SOFR+715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20,300</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20,100</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20,300</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12/28/2028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SOFR+685</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2,089</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2,089</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2,089</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 - Unfunded Term Loan</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12/28/2023</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Infinity Home Services Holdco, Inc.(Revolver)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12/28/2028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1,292</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11/01/2026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SOFR+585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1,420</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1,416</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1,420</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Infolinks Media Buyco, LLC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11/01/2023</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949</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Integrated Data Services - Term Loan</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08/01/2029</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SOFR+650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15,467</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15,161</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15,106</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Integrated Data Services - (Revolver)</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08/01/2029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2,533</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(59 )</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08/27/2026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11.41 %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9,880</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9,839</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9,781</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 - Unfunded Term Loan</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08/31/2025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2,500</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Integrity Marketing Acquisition, LLC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08/31/2025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160</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06/30/2025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SOFR+761</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13,234</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12,998</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12,969</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Inventus Power,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06/30/2025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1,729</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03/03/2028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11.06 %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8,838</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8,718</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8,661</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 (Revolver)</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03/03/2028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SOFR+560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1,121</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1,121</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1,098</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ITI Holdings, Inc.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03/03/2028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370</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12/20/2023</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13.42 %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SOFR+810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9,409</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9,402</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9,409</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K2 Pure Solutions NoCal, L.P.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12/20/2023</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1,938</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11/10/2027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9,173</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8,957</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9,035</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Kinetic Purchaser,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11/10/2026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4,854</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02/18/2027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11.88 %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SOFR+700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2,807</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2,764</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2,779</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 (Revolver)</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08/16/2026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SOFR+700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1,977</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1,977</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1,957</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Lash OpCo, LLC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08/16/2026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935</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(9 )</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10/31/2024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SOFR+640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w:t>
            </w:r>
          </w:p>
        </w:tc>
        <w:tc>
          <w:tcPr>
            <w:tcW w:w="280" w:type="dxa"/>
            <w:vAlign w:val="bottom"/>
          </w:tcPr>
          <w:p>
            <w:pPr>
              <w:spacing w:after="0"/>
              <w:rPr>
                <w:sz w:val="11"/>
                <w:szCs w:val="11"/>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w:t>
            </w:r>
          </w:p>
        </w:tc>
        <w:tc>
          <w:tcPr>
            <w:tcW w:w="200" w:type="dxa"/>
            <w:vAlign w:val="bottom"/>
          </w:tcPr>
          <w:p>
            <w:pPr>
              <w:spacing w:after="0"/>
              <w:rPr>
                <w:sz w:val="11"/>
                <w:szCs w:val="11"/>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(PIK 5.50%)</w:t>
            </w:r>
          </w:p>
        </w:tc>
        <w:tc>
          <w:tcPr>
            <w:tcW w:w="10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Ledge Lounger,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11/09/2026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SOFR+625</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9,085</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8,964</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8,971</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Ledge Lounger,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11/09/2026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1,933</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02/03/2026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SOFR+535</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2,198</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2,187</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2,176</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Lightspeed Buyer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02/03/2026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1,166</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07/31/2024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204</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 - Unfunded Term Loan</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07/31/2024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1,260</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Holdings, LLC (Revolver)</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01/31/2030</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587</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LSF9 Atlantis Holdings,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03/31/2029</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SOFR+725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5,625</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5,436</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5,381</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05/31/2028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SOFR+700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4,988</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4,892</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4,913</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 (Revolver)</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05/31/2028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12.39 %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SOFR+700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347</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347</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342</w:t>
            </w: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32"/>
        </w:trPr>
        <w:tc>
          <w:tcPr>
            <w:tcW w:w="282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Loving Tan Intermediate II, Inc. (Revolver)</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05/31/2028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284</w:t>
            </w:r>
          </w:p>
        </w:tc>
        <w:tc>
          <w:tcPr>
            <w:tcW w:w="280" w:type="dxa"/>
            <w:vAlign w:val="bottom"/>
          </w:tcPr>
          <w:p>
            <w:pPr>
              <w:spacing w:after="0"/>
              <w:rPr>
                <w:sz w:val="11"/>
                <w:szCs w:val="11"/>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05/14/2026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1,835</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1,807</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1,817</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 (Revolver)</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05/14/2026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1,209</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 (Revolver)</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04/16/2027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SOFR+585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MBS Holdings, Inc.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04/16/2027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583</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07/25/2028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20,135</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19,835</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19,685</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 (Revolver)</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07/25/2028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1,039</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1,039</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1,016</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MDI Buyer,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07/25/2028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1,188</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12/10/2027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10.66 %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1,937</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1,919</w:t>
            </w:r>
          </w:p>
        </w:tc>
        <w:tc>
          <w:tcPr>
            <w:tcW w:w="200" w:type="dxa"/>
            <w:vAlign w:val="bottom"/>
          </w:tcPr>
          <w:p>
            <w:pPr>
              <w:spacing w:after="0"/>
              <w:rPr>
                <w:sz w:val="12"/>
                <w:szCs w:val="1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1,888</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 Term Loan I</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12/10/2027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1,038</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 Term Loan II</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12/10/2027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8,922</w:t>
            </w:r>
          </w:p>
        </w:tc>
        <w:tc>
          <w:tcPr>
            <w:tcW w:w="280" w:type="dxa"/>
            <w:vAlign w:val="bottom"/>
          </w:tcPr>
          <w:p>
            <w:pPr>
              <w:spacing w:after="0"/>
              <w:rPr>
                <w:sz w:val="12"/>
                <w:szCs w:val="12"/>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(134 )</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Meadowlark Acquirer, LLC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12/10/2027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1,685</w:t>
            </w: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(43 )</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20" w:type="dxa"/>
            <w:vAlign w:val="bottom"/>
          </w:tcPr>
          <w:p>
            <w:pPr>
              <w:spacing w:after="0"/>
              <w:rPr>
                <w:sz w:val="10"/>
                <w:szCs w:val="10"/>
                <w:color w:val="auto"/>
              </w:rPr>
            </w:pPr>
          </w:p>
        </w:tc>
        <w:tc>
          <w:tcPr>
            <w:tcW w:w="1020" w:type="dxa"/>
            <w:vAlign w:val="bottom"/>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1960" w:type="dxa"/>
            <w:vAlign w:val="bottom"/>
          </w:tcPr>
          <w:p>
            <w:pPr>
              <w:spacing w:after="0"/>
              <w:rPr>
                <w:sz w:val="10"/>
                <w:szCs w:val="10"/>
                <w:color w:val="auto"/>
              </w:rPr>
            </w:pPr>
          </w:p>
        </w:tc>
        <w:tc>
          <w:tcPr>
            <w:tcW w:w="100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92"/>
              <w:spacing w:after="0"/>
              <w:rPr>
                <w:sz w:val="20"/>
                <w:szCs w:val="20"/>
                <w:color w:val="auto"/>
              </w:rPr>
            </w:pPr>
            <w:r>
              <w:rPr>
                <w:rFonts w:ascii="Times New Roman" w:cs="Times New Roman" w:eastAsia="Times New Roman" w:hAnsi="Times New Roman"/>
                <w:sz w:val="10"/>
                <w:szCs w:val="10"/>
                <w:color w:val="auto"/>
                <w:w w:val="97"/>
              </w:rPr>
              <w:t>Basis Point</w:t>
            </w: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4"/>
              </w:rPr>
              <w:t>Spread Above</w:t>
            </w:r>
          </w:p>
        </w:tc>
        <w:tc>
          <w:tcPr>
            <w:tcW w:w="8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34" w:lineRule="exact"/>
              <w:rPr>
                <w:sz w:val="20"/>
                <w:szCs w:val="20"/>
                <w:color w:val="auto"/>
              </w:rPr>
            </w:pPr>
            <w:r>
              <w:rPr>
                <w:rFonts w:ascii="Times New Roman" w:cs="Times New Roman" w:eastAsia="Times New Roman" w:hAnsi="Times New Roman"/>
                <w:sz w:val="10"/>
                <w:szCs w:val="10"/>
                <w:color w:val="auto"/>
                <w:w w:val="86"/>
              </w:rPr>
              <w:t xml:space="preserve">Index </w:t>
            </w:r>
            <w:r>
              <w:rPr>
                <w:rFonts w:ascii="Times New Roman" w:cs="Times New Roman" w:eastAsia="Times New Roman" w:hAnsi="Times New Roman"/>
                <w:sz w:val="12"/>
                <w:szCs w:val="12"/>
                <w:color w:val="auto"/>
                <w:w w:val="86"/>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09/28/2027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484</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484</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474</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 - Unfunded Term Loan A</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06/16/2023</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 - Unfunded Term Loan B</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12/16/2024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2,510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09/28/2027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736</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Municipal Emergency Services,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09/28/2027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NBH Group LLC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08/19/2026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Neptune Flood Incorporated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05/09/2029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08/31/2029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20,500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20,092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20,090</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NORA Acquisition, LLC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08/31/2029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2,707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Acquisition, Inc.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09/03/2027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12.84 %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4,409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4,347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4,012</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ORL Acquisition,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09/03/2027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05/18/2026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SOFR+725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13,578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13,445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13,340</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Ox Two, LLC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05/18/2026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2,419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Pequod Merger Sub, Inc. - Unfunded Term Loan</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12/02/2026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2,847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(57 )</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Pequod Merger Sub,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12/02/2026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PL Acquisitionco, LLC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11/09/2027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3,236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(324 )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07/06/2028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34,987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34,547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33,412</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Pragmatic Institute, LLC Unfunded Term Loan</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07/06/2028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7,193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(252 )</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 (Revolver)</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07/06/2028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4,795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4,795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4,579</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11/19/2026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1,484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1,461</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 (Revolver)</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11/19/2026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521</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Questex,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09/09/2024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9.81 %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SOFR+425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20,193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20,115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20,193</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Questex, LLC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09/09/2024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3,590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03/31/2025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668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661</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Radius Aerospace,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03/31/2025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1,559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Rancho Health MSO, Inc.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 - Unfunded Term Loan</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Rancho Health MSO,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02/28/2028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5,863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5,791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5,628</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Recteq, LLC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01/29/2026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(34 )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Now Group, Inc. and Dynata,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12/20/2024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 (Revolver)</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06/20/2025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SOFR+510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06/20/2025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03/10/2025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11,699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11,588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11,582</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 Unfunded Term Loan</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06/15/2029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Rural Sourcing Holdings,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06/15/2029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Sales Benchmark Index LLC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01/03/2025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 (Revolver)</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12/20/2024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157</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Sargent &amp; Greenleaf Inc.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12/20/2024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56"/>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07/14/2025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13.15 %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4,647</w:t>
            </w:r>
          </w:p>
        </w:tc>
        <w:tc>
          <w:tcPr>
            <w:tcW w:w="260" w:type="dxa"/>
            <w:vAlign w:val="bottom"/>
            <w:shd w:val="clear" w:color="auto" w:fill="CCECFF"/>
          </w:tcPr>
          <w:p>
            <w:pPr>
              <w:spacing w:after="0"/>
              <w:rPr>
                <w:sz w:val="13"/>
                <w:szCs w:val="13"/>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4,611</w:t>
            </w:r>
          </w:p>
        </w:tc>
        <w:tc>
          <w:tcPr>
            <w:tcW w:w="180" w:type="dxa"/>
            <w:vAlign w:val="bottom"/>
            <w:shd w:val="clear" w:color="auto" w:fill="CCECFF"/>
          </w:tcPr>
          <w:p>
            <w:pPr>
              <w:spacing w:after="0"/>
              <w:rPr>
                <w:sz w:val="13"/>
                <w:szCs w:val="13"/>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4,496</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07/14/2025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(PIK 0.5%)</w:t>
            </w: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 (Revolver)</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07/14/2025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06/13/2029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4,752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4,691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4,609</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06/13/2029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SOFR+605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708</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 (Revolver)</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06/13/2029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2,397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(72 )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Shiftkey,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06/21/2027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SOFR+601</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17,775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17,636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17,331</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14.04 %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SOFR+865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29,681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29,190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29,236</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14.04 %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SOFR+865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2,083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2,052</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Sigma Defense Systems, LLC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Signature Systems Holding Company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05/03/2024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2,016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Solutionreach,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07/17/2025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03/01/2028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w:t>
            </w:r>
          </w:p>
        </w:tc>
        <w:tc>
          <w:tcPr>
            <w:tcW w:w="0" w:type="dxa"/>
            <w:vAlign w:val="bottom"/>
          </w:tcPr>
          <w:p>
            <w:pPr>
              <w:spacing w:after="0"/>
              <w:rPr>
                <w:sz w:val="1"/>
                <w:szCs w:val="1"/>
                <w:color w:val="auto"/>
              </w:rPr>
            </w:pPr>
          </w:p>
        </w:tc>
      </w:tr>
      <w:tr>
        <w:trPr>
          <w:trHeight w:val="16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Spendmend Holdings LLC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03/01/2028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2,684</w:t>
            </w:r>
          </w:p>
        </w:tc>
        <w:tc>
          <w:tcPr>
            <w:tcW w:w="260" w:type="dxa"/>
            <w:vAlign w:val="bottom"/>
            <w:shd w:val="clear" w:color="auto" w:fill="CCECFF"/>
          </w:tcPr>
          <w:p>
            <w:pPr>
              <w:spacing w:after="0"/>
              <w:rPr>
                <w:sz w:val="13"/>
                <w:szCs w:val="13"/>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3"/>
                <w:szCs w:val="13"/>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 - Funded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03/01/2028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548</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Spendmend Holdings LLC -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03/01/2028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841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33"/>
        </w:trPr>
        <w:tc>
          <w:tcPr>
            <w:tcW w:w="282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System Planning and Analysis, Inc. - (Revolver) </w:t>
            </w:r>
            <w:r>
              <w:rPr>
                <w:rFonts w:ascii="Times New Roman" w:cs="Times New Roman" w:eastAsia="Times New Roman" w:hAnsi="Times New Roman"/>
                <w:sz w:val="12"/>
                <w:szCs w:val="12"/>
                <w:color w:val="auto"/>
                <w:vertAlign w:val="superscript"/>
              </w:rPr>
              <w:t>(7)</w:t>
            </w:r>
          </w:p>
        </w:tc>
        <w:tc>
          <w:tcPr>
            <w:tcW w:w="10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(f/k/a Management Consulting &amp; Research,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08/16/2027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2,925</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(32 )</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10/31/2025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11.66 %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SOFR+665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1,104</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07/27/2026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SOFR+740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2,271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2,239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2,262</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The Bluebird Group LLC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07/27/2026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08/30/2027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185</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 (Revolver)</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08/30/2027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246</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The Vertex Companies, LLC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08/30/2027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TWS Acquisition Corporation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06/16/2025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1,644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82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 xml:space="preserve">Tyto Athene, LLC (Revolver) </w:t>
            </w:r>
            <w:r>
              <w:rPr>
                <w:rFonts w:ascii="Times New Roman" w:cs="Times New Roman" w:eastAsia="Times New Roman" w:hAnsi="Times New Roman"/>
                <w:sz w:val="12"/>
                <w:szCs w:val="12"/>
                <w:color w:val="auto"/>
                <w:vertAlign w:val="superscript"/>
              </w:rPr>
              <w:t>(7)</w:t>
            </w:r>
          </w:p>
        </w:tc>
        <w:tc>
          <w:tcPr>
            <w:tcW w:w="1020" w:type="dxa"/>
            <w:vAlign w:val="bottom"/>
            <w:vMerge w:val="restart"/>
          </w:tcPr>
          <w:p>
            <w:pPr>
              <w:ind w:left="400"/>
              <w:spacing w:after="0"/>
              <w:rPr>
                <w:sz w:val="20"/>
                <w:szCs w:val="20"/>
                <w:color w:val="auto"/>
              </w:rPr>
            </w:pPr>
            <w:r>
              <w:rPr>
                <w:rFonts w:ascii="Times New Roman" w:cs="Times New Roman" w:eastAsia="Times New Roman" w:hAnsi="Times New Roman"/>
                <w:sz w:val="10"/>
                <w:szCs w:val="10"/>
                <w:color w:val="auto"/>
              </w:rPr>
              <w:t>04/01/2026</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line="108" w:lineRule="exact"/>
              <w:rPr>
                <w:sz w:val="20"/>
                <w:szCs w:val="20"/>
                <w:color w:val="auto"/>
              </w:rPr>
            </w:pPr>
            <w:r>
              <w:rPr>
                <w:rFonts w:ascii="Times New Roman" w:cs="Times New Roman" w:eastAsia="Times New Roman" w:hAnsi="Times New Roman"/>
                <w:sz w:val="10"/>
                <w:szCs w:val="10"/>
                <w:color w:val="auto"/>
              </w:rPr>
              <w:t>364</w:t>
            </w:r>
          </w:p>
        </w:tc>
        <w:tc>
          <w:tcPr>
            <w:tcW w:w="260" w:type="dxa"/>
            <w:vAlign w:val="bottom"/>
          </w:tcPr>
          <w:p>
            <w:pPr>
              <w:spacing w:after="0"/>
              <w:rPr>
                <w:sz w:val="9"/>
                <w:szCs w:val="9"/>
                <w:color w:val="auto"/>
              </w:rPr>
            </w:pP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760" w:type="dxa"/>
            <w:vAlign w:val="bottom"/>
          </w:tcPr>
          <w:p>
            <w:pPr>
              <w:jc w:val="right"/>
              <w:ind w:right="52"/>
              <w:spacing w:after="0" w:line="108" w:lineRule="exact"/>
              <w:rPr>
                <w:sz w:val="20"/>
                <w:szCs w:val="20"/>
                <w:color w:val="auto"/>
              </w:rPr>
            </w:pPr>
            <w:r>
              <w:rPr>
                <w:rFonts w:ascii="Times New Roman" w:cs="Times New Roman" w:eastAsia="Times New Roman" w:hAnsi="Times New Roman"/>
                <w:sz w:val="10"/>
                <w:szCs w:val="10"/>
                <w:color w:val="auto"/>
              </w:rPr>
              <w:t>(32</w:t>
            </w: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 - Unfunded Term Loan</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02/01/2024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7,222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(150 )</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02/27/2026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3,805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3,762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3,767</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 (Revolver)</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02/27/2026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Wildcat Buyerco, Inc.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02/27/2026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03/01/2024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SOFR+735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2,589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2,583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2,504</w:t>
            </w: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472,975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468,007</w:t>
            </w:r>
          </w:p>
        </w:tc>
        <w:tc>
          <w:tcPr>
            <w:tcW w:w="0" w:type="dxa"/>
            <w:vAlign w:val="bottom"/>
          </w:tcPr>
          <w:p>
            <w:pPr>
              <w:spacing w:after="0"/>
              <w:rPr>
                <w:sz w:val="1"/>
                <w:szCs w:val="1"/>
                <w:color w:val="auto"/>
              </w:rPr>
            </w:pPr>
          </w:p>
        </w:tc>
      </w:tr>
      <w:tr>
        <w:trPr>
          <w:trHeight w:val="148"/>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U.S. Government Securities—19.9% of Net Assets</w:t>
            </w:r>
          </w:p>
        </w:tc>
        <w:tc>
          <w:tcPr>
            <w:tcW w:w="102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U.S. Treasury Bill </w:t>
            </w:r>
            <w:r>
              <w:rPr>
                <w:rFonts w:ascii="Times New Roman" w:cs="Times New Roman" w:eastAsia="Times New Roman" w:hAnsi="Times New Roman"/>
                <w:sz w:val="12"/>
                <w:szCs w:val="12"/>
                <w:color w:val="auto"/>
                <w:vertAlign w:val="superscript"/>
              </w:rPr>
              <w:t>(5)</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10/19/2023</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Short-Term U.S. Government Securities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5.31 %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99,768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99,751</w:t>
            </w:r>
          </w:p>
        </w:tc>
        <w:tc>
          <w:tcPr>
            <w:tcW w:w="0" w:type="dxa"/>
            <w:vAlign w:val="bottom"/>
          </w:tcPr>
          <w:p>
            <w:pPr>
              <w:spacing w:after="0"/>
              <w:rPr>
                <w:sz w:val="1"/>
                <w:szCs w:val="1"/>
                <w:color w:val="auto"/>
              </w:rPr>
            </w:pPr>
          </w:p>
        </w:tc>
      </w:tr>
      <w:tr>
        <w:trPr>
          <w:trHeight w:val="144"/>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U.S. Government Securities</w:t>
            </w:r>
          </w:p>
        </w:tc>
        <w:tc>
          <w:tcPr>
            <w:tcW w:w="102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99,768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99,751</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20" w:type="dxa"/>
            <w:vAlign w:val="bottom"/>
          </w:tcPr>
          <w:p>
            <w:pPr>
              <w:spacing w:after="0"/>
              <w:rPr>
                <w:sz w:val="10"/>
                <w:szCs w:val="10"/>
                <w:color w:val="auto"/>
              </w:rPr>
            </w:pP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02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92"/>
              <w:spacing w:after="0"/>
              <w:rPr>
                <w:sz w:val="20"/>
                <w:szCs w:val="20"/>
                <w:color w:val="auto"/>
              </w:rPr>
            </w:pPr>
            <w:r>
              <w:rPr>
                <w:rFonts w:ascii="Times New Roman" w:cs="Times New Roman" w:eastAsia="Times New Roman" w:hAnsi="Times New Roman"/>
                <w:sz w:val="10"/>
                <w:szCs w:val="10"/>
                <w:color w:val="auto"/>
                <w:w w:val="97"/>
              </w:rPr>
              <w:t>Basis Point</w:t>
            </w: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4"/>
              </w:rPr>
              <w:t>Spread Above</w:t>
            </w:r>
          </w:p>
        </w:tc>
        <w:tc>
          <w:tcPr>
            <w:tcW w:w="8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0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34" w:lineRule="exact"/>
              <w:rPr>
                <w:sz w:val="20"/>
                <w:szCs w:val="20"/>
                <w:color w:val="auto"/>
              </w:rPr>
            </w:pPr>
            <w:r>
              <w:rPr>
                <w:rFonts w:ascii="Times New Roman" w:cs="Times New Roman" w:eastAsia="Times New Roman" w:hAnsi="Times New Roman"/>
                <w:sz w:val="10"/>
                <w:szCs w:val="10"/>
                <w:color w:val="auto"/>
                <w:w w:val="86"/>
              </w:rPr>
              <w:t xml:space="preserve">Index </w:t>
            </w:r>
            <w:r>
              <w:rPr>
                <w:rFonts w:ascii="Times New Roman" w:cs="Times New Roman" w:eastAsia="Times New Roman" w:hAnsi="Times New Roman"/>
                <w:sz w:val="12"/>
                <w:szCs w:val="12"/>
                <w:color w:val="auto"/>
                <w:w w:val="86"/>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 Secured Debt—16.0% of Net Assets</w:t>
            </w:r>
          </w:p>
        </w:tc>
        <w:tc>
          <w:tcPr>
            <w:tcW w:w="9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Ascensus Holdings, Inc.</w:t>
            </w:r>
          </w:p>
        </w:tc>
        <w:tc>
          <w:tcPr>
            <w:tcW w:w="9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08/02/2028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SOFR+676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3,000</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2,717</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2,837</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Atlas Purchaser, Inc</w:t>
            </w:r>
          </w:p>
        </w:tc>
        <w:tc>
          <w:tcPr>
            <w:tcW w:w="90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05/07/2029</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14.66 %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SOFR+900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13,821</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Best Practice Associates LLC</w:t>
            </w:r>
          </w:p>
        </w:tc>
        <w:tc>
          <w:tcPr>
            <w:tcW w:w="9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06/29/2027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SOFR+915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17,825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17,559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17,469</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90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07/28/2030</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14.42 %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SOFR+910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7,680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7,920</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ENC Parent Corporation</w:t>
            </w:r>
          </w:p>
        </w:tc>
        <w:tc>
          <w:tcPr>
            <w:tcW w:w="9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08/19/2029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13.15 %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SOFR+776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7,440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6,675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Halo Buyer, Inc.</w:t>
            </w:r>
          </w:p>
        </w:tc>
        <w:tc>
          <w:tcPr>
            <w:tcW w:w="90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07/06/2026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13.67 %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SOFR+835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32,500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32,232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31,525</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QuantiTech LLC</w:t>
            </w:r>
          </w:p>
        </w:tc>
        <w:tc>
          <w:tcPr>
            <w:tcW w:w="9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02/04/2027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9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84,376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80,396</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Subordinated Debt/Corporate Notes—10.7% of Net Assets</w:t>
            </w: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Express Wash Acquisition Company, LLC</w:t>
            </w:r>
          </w:p>
        </w:tc>
        <w:tc>
          <w:tcPr>
            <w:tcW w:w="90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01/15/2029</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15.15 %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SOFR+976</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22,219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21,568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21,597</w:t>
            </w:r>
          </w:p>
        </w:tc>
        <w:tc>
          <w:tcPr>
            <w:tcW w:w="0" w:type="dxa"/>
            <w:vAlign w:val="bottom"/>
          </w:tcPr>
          <w:p>
            <w:pPr>
              <w:spacing w:after="0"/>
              <w:rPr>
                <w:sz w:val="1"/>
                <w:szCs w:val="1"/>
                <w:color w:val="auto"/>
              </w:rPr>
            </w:pPr>
          </w:p>
        </w:tc>
      </w:tr>
      <w:tr>
        <w:trPr>
          <w:trHeight w:val="14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Flock Financial, LLC </w:t>
            </w:r>
            <w:r>
              <w:rPr>
                <w:rFonts w:ascii="Times New Roman" w:cs="Times New Roman" w:eastAsia="Times New Roman" w:hAnsi="Times New Roman"/>
                <w:sz w:val="12"/>
                <w:szCs w:val="12"/>
                <w:color w:val="auto"/>
                <w:vertAlign w:val="superscript"/>
              </w:rPr>
              <w:t>(11)</w:t>
            </w:r>
          </w:p>
        </w:tc>
        <w:tc>
          <w:tcPr>
            <w:tcW w:w="9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05/26/2027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33,329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32,300</w:t>
            </w: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Subordinated Debt/Corporate Notes</w:t>
            </w:r>
          </w:p>
        </w:tc>
        <w:tc>
          <w:tcPr>
            <w:tcW w:w="9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54,897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53,897</w:t>
            </w:r>
          </w:p>
        </w:tc>
        <w:tc>
          <w:tcPr>
            <w:tcW w:w="0" w:type="dxa"/>
            <w:vAlign w:val="bottom"/>
          </w:tcPr>
          <w:p>
            <w:pPr>
              <w:spacing w:after="0"/>
              <w:rPr>
                <w:sz w:val="1"/>
                <w:szCs w:val="1"/>
                <w:color w:val="auto"/>
              </w:rPr>
            </w:pPr>
          </w:p>
        </w:tc>
      </w:tr>
      <w:tr>
        <w:trPr>
          <w:trHeight w:val="14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Preferred Equity/Partnership Interests—2.6% of Net Assets </w:t>
            </w:r>
            <w:r>
              <w:rPr>
                <w:rFonts w:ascii="Times New Roman" w:cs="Times New Roman" w:eastAsia="Times New Roman" w:hAnsi="Times New Roman"/>
                <w:sz w:val="12"/>
                <w:szCs w:val="12"/>
                <w:b w:val="1"/>
                <w:bCs w:val="1"/>
                <w:color w:val="auto"/>
                <w:vertAlign w:val="superscript"/>
              </w:rPr>
              <w:t>(6)</w:t>
            </w: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Holdings, Inc.</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271</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AH Newco Equityholdings, LLC</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1,066</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(9)</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918</w:t>
            </w:r>
          </w:p>
        </w:tc>
        <w:tc>
          <w:tcPr>
            <w:tcW w:w="0" w:type="dxa"/>
            <w:vAlign w:val="bottom"/>
          </w:tcPr>
          <w:p>
            <w:pPr>
              <w:spacing w:after="0"/>
              <w:rPr>
                <w:sz w:val="1"/>
                <w:szCs w:val="1"/>
                <w:color w:val="auto"/>
              </w:rPr>
            </w:pPr>
          </w:p>
        </w:tc>
      </w:tr>
      <w:tr>
        <w:trPr>
          <w:trHeight w:val="14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Cartessa Aesthetics, LLC </w:t>
            </w:r>
            <w:r>
              <w:rPr>
                <w:rFonts w:ascii="Times New Roman" w:cs="Times New Roman" w:eastAsia="Times New Roman" w:hAnsi="Times New Roman"/>
                <w:sz w:val="12"/>
                <w:szCs w:val="12"/>
                <w:color w:val="auto"/>
                <w:vertAlign w:val="superscript"/>
              </w:rPr>
              <w:t>(9)</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3,562,500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4,975</w:t>
            </w: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Lash Coinvest, LLC - Preferred Equity</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64,967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789</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 - Class A-2 Preferred Equity</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743,826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750</w:t>
            </w:r>
          </w:p>
        </w:tc>
        <w:tc>
          <w:tcPr>
            <w:tcW w:w="0" w:type="dxa"/>
            <w:vAlign w:val="bottom"/>
          </w:tcPr>
          <w:p>
            <w:pPr>
              <w:spacing w:after="0"/>
              <w:rPr>
                <w:sz w:val="1"/>
                <w:szCs w:val="1"/>
                <w:color w:val="auto"/>
              </w:rPr>
            </w:pPr>
          </w:p>
        </w:tc>
      </w:tr>
      <w:tr>
        <w:trPr>
          <w:trHeight w:val="14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A Preferred Equity </w:t>
            </w:r>
            <w:r>
              <w:rPr>
                <w:rFonts w:ascii="Times New Roman" w:cs="Times New Roman" w:eastAsia="Times New Roman" w:hAnsi="Times New Roman"/>
                <w:sz w:val="12"/>
                <w:szCs w:val="12"/>
                <w:color w:val="auto"/>
                <w:vertAlign w:val="superscript"/>
              </w:rPr>
              <w:t>(9)</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172</w:t>
            </w: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B Preferred Equity </w:t>
            </w:r>
            <w:r>
              <w:rPr>
                <w:rFonts w:ascii="Times New Roman" w:cs="Times New Roman" w:eastAsia="Times New Roman" w:hAnsi="Times New Roman"/>
                <w:sz w:val="12"/>
                <w:szCs w:val="12"/>
                <w:color w:val="auto"/>
                <w:vertAlign w:val="superscript"/>
              </w:rPr>
              <w:t>(9)</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929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794</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Intermediate Holdings II, Inc</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551</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NXOF Holdings, Inc. (Tyto Athene, LLC)</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Holdco, Inc.</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 - Preferred Equity</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CR Intermediate Holdco, Inc.</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1,527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1,527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2,490</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(8),(11)</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320</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TWD Parent Holdings, LLC</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Equity/Partnership Interests</w:t>
            </w: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9,701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13,280</w:t>
            </w: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Common Equity/Partnership Interests/Warrants—23.0% of Net</w:t>
            </w:r>
          </w:p>
        </w:tc>
        <w:tc>
          <w:tcPr>
            <w:tcW w:w="90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920" w:type="dxa"/>
            <w:vAlign w:val="bottom"/>
            <w:shd w:val="clear" w:color="auto" w:fill="CCECFF"/>
          </w:tcPr>
          <w:p>
            <w:pPr>
              <w:ind w:left="20"/>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Assets </w:t>
            </w:r>
            <w:r>
              <w:rPr>
                <w:rFonts w:ascii="Times New Roman" w:cs="Times New Roman" w:eastAsia="Times New Roman" w:hAnsi="Times New Roman"/>
                <w:sz w:val="12"/>
                <w:szCs w:val="12"/>
                <w:b w:val="1"/>
                <w:bCs w:val="1"/>
                <w:color w:val="auto"/>
                <w:vertAlign w:val="superscript"/>
              </w:rPr>
              <w:t>(6)</w:t>
            </w:r>
          </w:p>
        </w:tc>
        <w:tc>
          <w:tcPr>
            <w:tcW w:w="90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A1 Garage Equity, LLC </w:t>
            </w:r>
            <w:r>
              <w:rPr>
                <w:rFonts w:ascii="Times New Roman" w:cs="Times New Roman" w:eastAsia="Times New Roman" w:hAnsi="Times New Roman"/>
                <w:sz w:val="12"/>
                <w:szCs w:val="12"/>
                <w:color w:val="auto"/>
                <w:vertAlign w:val="superscript"/>
              </w:rPr>
              <w:t>(9)</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2,193,038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2,340</w:t>
            </w: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Holdings, Inc.</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2,667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Affinion Group Holdings, Inc. (Warrants)</w:t>
            </w:r>
          </w:p>
        </w:tc>
        <w:tc>
          <w:tcPr>
            <w:tcW w:w="9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04/10/2024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77,190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2,126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(9)</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805,164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1,074</w:t>
            </w:r>
          </w:p>
        </w:tc>
        <w:tc>
          <w:tcPr>
            <w:tcW w:w="0" w:type="dxa"/>
            <w:vAlign w:val="bottom"/>
          </w:tcPr>
          <w:p>
            <w:pPr>
              <w:spacing w:after="0"/>
              <w:rPr>
                <w:sz w:val="1"/>
                <w:szCs w:val="1"/>
                <w:color w:val="auto"/>
              </w:rPr>
            </w:pPr>
          </w:p>
        </w:tc>
      </w:tr>
      <w:tr>
        <w:trPr>
          <w:trHeight w:val="14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(7), (9)</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194,836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Altamira Intermediate Company II, Inc.</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AMCSI Crash Co-Invest, LP</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2,489,777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2,490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3,318</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AMCSI Crash Co-Invest, LP </w:t>
            </w:r>
            <w:r>
              <w:rPr>
                <w:rFonts w:ascii="Times New Roman" w:cs="Times New Roman" w:eastAsia="Times New Roman" w:hAnsi="Times New Roman"/>
                <w:sz w:val="12"/>
                <w:szCs w:val="12"/>
                <w:color w:val="auto"/>
                <w:vertAlign w:val="superscript"/>
              </w:rPr>
              <w:t>(7)</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510,223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(9)</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Athletico Holdings, LLC </w:t>
            </w:r>
            <w:r>
              <w:rPr>
                <w:rFonts w:ascii="Times New Roman" w:cs="Times New Roman" w:eastAsia="Times New Roman" w:hAnsi="Times New Roman"/>
                <w:sz w:val="12"/>
                <w:szCs w:val="12"/>
                <w:color w:val="auto"/>
                <w:vertAlign w:val="superscript"/>
              </w:rPr>
              <w:t>(9)</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9,357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9,032</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Atlas Investment Aggregator, LLC</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1,700,000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1,613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293</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1,312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1,513</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Holdings, LP</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740</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Parent, LLC</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57,416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333</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Cowboy Parent LLC</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27,778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3,015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5,451</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Acquisition Parent Holdings, L.P.</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173</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Delta InvestCo LP</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863,299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1,542</w:t>
            </w:r>
          </w:p>
        </w:tc>
        <w:tc>
          <w:tcPr>
            <w:tcW w:w="0" w:type="dxa"/>
            <w:vAlign w:val="bottom"/>
          </w:tcPr>
          <w:p>
            <w:pPr>
              <w:spacing w:after="0"/>
              <w:rPr>
                <w:sz w:val="1"/>
                <w:szCs w:val="1"/>
                <w:color w:val="auto"/>
              </w:rPr>
            </w:pPr>
          </w:p>
        </w:tc>
      </w:tr>
      <w:tr>
        <w:trPr>
          <w:trHeight w:val="144"/>
        </w:trPr>
        <w:tc>
          <w:tcPr>
            <w:tcW w:w="29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(Sigma Defense Systems, LLC) </w:t>
            </w:r>
            <w:r>
              <w:rPr>
                <w:rFonts w:ascii="Times New Roman" w:cs="Times New Roman" w:eastAsia="Times New Roman" w:hAnsi="Times New Roman"/>
                <w:sz w:val="12"/>
                <w:szCs w:val="12"/>
                <w:color w:val="auto"/>
                <w:vertAlign w:val="superscript"/>
              </w:rPr>
              <w:t>(9)</w:t>
            </w: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Delta InvestCo LP </w:t>
            </w:r>
            <w:r>
              <w:rPr>
                <w:rFonts w:ascii="Times New Roman" w:cs="Times New Roman" w:eastAsia="Times New Roman" w:hAnsi="Times New Roman"/>
                <w:sz w:val="12"/>
                <w:szCs w:val="12"/>
                <w:color w:val="auto"/>
                <w:vertAlign w:val="superscript"/>
              </w:rPr>
              <w:t>(7)</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277,745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(Sigma Defense Systems, LLC) </w:t>
            </w:r>
            <w:r>
              <w:rPr>
                <w:rFonts w:ascii="Times New Roman" w:cs="Times New Roman" w:eastAsia="Times New Roman" w:hAnsi="Times New Roman"/>
                <w:sz w:val="12"/>
                <w:szCs w:val="12"/>
                <w:color w:val="auto"/>
                <w:vertAlign w:val="superscript"/>
              </w:rPr>
              <w:t>(7), (9)</w:t>
            </w: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12"/>
                <w:szCs w:val="12"/>
                <w:color w:val="auto"/>
                <w:vertAlign w:val="superscript"/>
              </w:rPr>
              <w:t>(11)</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1,854</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Topco, LP</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937,500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LLC</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1,458,333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1,648</w:t>
            </w:r>
          </w:p>
        </w:tc>
        <w:tc>
          <w:tcPr>
            <w:tcW w:w="0" w:type="dxa"/>
            <w:vAlign w:val="bottom"/>
          </w:tcPr>
          <w:p>
            <w:pPr>
              <w:spacing w:after="0"/>
              <w:rPr>
                <w:sz w:val="1"/>
                <w:szCs w:val="1"/>
                <w:color w:val="auto"/>
              </w:rPr>
            </w:pPr>
          </w:p>
        </w:tc>
      </w:tr>
      <w:tr>
        <w:trPr>
          <w:trHeight w:val="14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(9)</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14,578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2,060</w:t>
            </w: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(7),(9)</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II LP </w:t>
            </w:r>
            <w:r>
              <w:rPr>
                <w:rFonts w:ascii="Times New Roman" w:cs="Times New Roman" w:eastAsia="Times New Roman" w:hAnsi="Times New Roman"/>
                <w:sz w:val="12"/>
                <w:szCs w:val="12"/>
                <w:color w:val="auto"/>
                <w:vertAlign w:val="superscript"/>
              </w:rPr>
              <w:t>(9)</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20,882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2,175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2,951</w:t>
            </w:r>
          </w:p>
        </w:tc>
        <w:tc>
          <w:tcPr>
            <w:tcW w:w="0" w:type="dxa"/>
            <w:vAlign w:val="bottom"/>
          </w:tcPr>
          <w:p>
            <w:pPr>
              <w:spacing w:after="0"/>
              <w:rPr>
                <w:sz w:val="1"/>
                <w:szCs w:val="1"/>
                <w:color w:val="auto"/>
              </w:rPr>
            </w:pPr>
          </w:p>
        </w:tc>
      </w:tr>
      <w:tr>
        <w:trPr>
          <w:trHeight w:val="133"/>
        </w:trPr>
        <w:tc>
          <w:tcPr>
            <w:tcW w:w="2920" w:type="dxa"/>
            <w:vAlign w:val="bottom"/>
            <w:shd w:val="clear" w:color="auto" w:fill="CCECFF"/>
          </w:tcPr>
          <w:p>
            <w:pPr>
              <w:spacing w:after="0"/>
              <w:rPr>
                <w:sz w:val="11"/>
                <w:szCs w:val="11"/>
                <w:color w:val="auto"/>
              </w:rPr>
            </w:pP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Parent Holdings, LLC</w:t>
            </w:r>
          </w:p>
        </w:tc>
        <w:tc>
          <w:tcPr>
            <w:tcW w:w="90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655,714</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656</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800</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ETE Blocker, LLC - Common Equity</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374,444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371</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Lash Coinvest LLC</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889,376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4,076</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Loving Tan, LP - Common Equity</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462,827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389</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w:t>
            </w:r>
          </w:p>
        </w:tc>
        <w:tc>
          <w:tcPr>
            <w:tcW w:w="9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TVC Coinvest, LLC</w:t>
            </w:r>
          </w:p>
        </w:tc>
        <w:tc>
          <w:tcPr>
            <w:tcW w:w="9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810,645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2,390</w:t>
            </w:r>
          </w:p>
        </w:tc>
        <w:tc>
          <w:tcPr>
            <w:tcW w:w="0" w:type="dxa"/>
            <w:vAlign w:val="bottom"/>
          </w:tcPr>
          <w:p>
            <w:pPr>
              <w:spacing w:after="0"/>
              <w:rPr>
                <w:sz w:val="1"/>
                <w:szCs w:val="1"/>
                <w:color w:val="auto"/>
              </w:rPr>
            </w:pPr>
          </w:p>
        </w:tc>
      </w:tr>
      <w:tr>
        <w:trPr>
          <w:trHeight w:val="140"/>
        </w:trPr>
        <w:tc>
          <w:tcPr>
            <w:tcW w:w="29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(TVC Enterprises, LLC)</w:t>
            </w:r>
          </w:p>
        </w:tc>
        <w:tc>
          <w:tcPr>
            <w:tcW w:w="9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92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02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5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580" w:type="dxa"/>
            <w:vAlign w:val="bottom"/>
            <w:vMerge w:val="restart"/>
          </w:tcPr>
          <w:p>
            <w:pPr>
              <w:jc w:val="center"/>
              <w:ind w:left="92"/>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320" w:type="dxa"/>
            <w:vAlign w:val="bottom"/>
          </w:tcPr>
          <w:p>
            <w:pPr>
              <w:spacing w:after="0"/>
              <w:rPr>
                <w:sz w:val="10"/>
                <w:szCs w:val="10"/>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7"/>
              </w:rPr>
              <w:t>Basis Point</w:t>
            </w: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5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4"/>
              </w:rPr>
              <w:t>Spread Above</w:t>
            </w:r>
          </w:p>
        </w:tc>
        <w:tc>
          <w:tcPr>
            <w:tcW w:w="8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58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320" w:type="dxa"/>
            <w:vAlign w:val="bottom"/>
          </w:tcPr>
          <w:p>
            <w:pPr>
              <w:spacing w:after="0"/>
              <w:rPr>
                <w:sz w:val="11"/>
                <w:szCs w:val="11"/>
                <w:color w:val="auto"/>
              </w:rPr>
            </w:pPr>
          </w:p>
        </w:tc>
        <w:tc>
          <w:tcPr>
            <w:tcW w:w="1060" w:type="dxa"/>
            <w:vAlign w:val="bottom"/>
          </w:tcPr>
          <w:p>
            <w:pPr>
              <w:jc w:val="center"/>
              <w:ind w:right="112"/>
              <w:spacing w:after="0" w:line="134" w:lineRule="exact"/>
              <w:rPr>
                <w:sz w:val="20"/>
                <w:szCs w:val="20"/>
                <w:color w:val="auto"/>
              </w:rPr>
            </w:pPr>
            <w:r>
              <w:rPr>
                <w:rFonts w:ascii="Times New Roman" w:cs="Times New Roman" w:eastAsia="Times New Roman" w:hAnsi="Times New Roman"/>
                <w:sz w:val="10"/>
                <w:szCs w:val="10"/>
                <w:color w:val="auto"/>
                <w:w w:val="86"/>
              </w:rPr>
              <w:t xml:space="preserve">Index </w:t>
            </w:r>
            <w:r>
              <w:rPr>
                <w:rFonts w:ascii="Times New Roman" w:cs="Times New Roman" w:eastAsia="Times New Roman" w:hAnsi="Times New Roman"/>
                <w:sz w:val="12"/>
                <w:szCs w:val="12"/>
                <w:color w:val="auto"/>
                <w:w w:val="86"/>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GCOM InvestCo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2,434</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1,003</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401</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Go Dawgs Capital III, LP</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675,325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1,479</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(American Insulated Glass, LLC)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450,000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338</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HPA SPQ Aggregator LP- Common Equity</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750,399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751</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1,600,000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1,778</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Icon Partners V C,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1,118,318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1,002</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Icon Partners V C, L.P. </w:t>
            </w:r>
            <w:r>
              <w:rPr>
                <w:rFonts w:ascii="Times New Roman" w:cs="Times New Roman" w:eastAsia="Times New Roman" w:hAnsi="Times New Roman"/>
                <w:sz w:val="12"/>
                <w:szCs w:val="12"/>
                <w:color w:val="auto"/>
                <w:vertAlign w:val="superscript"/>
              </w:rPr>
              <w:t>(7)</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381,682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(40 )</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IHS Parent Holdngs,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1,218,045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1,642</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743,826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Infogroup Parent Holdings, Inc.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Other Media</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181,495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2,327</w:t>
            </w:r>
          </w:p>
        </w:tc>
        <w:tc>
          <w:tcPr>
            <w:tcW w:w="0" w:type="dxa"/>
            <w:vAlign w:val="bottom"/>
          </w:tcPr>
          <w:p>
            <w:pPr>
              <w:spacing w:after="0"/>
              <w:rPr>
                <w:sz w:val="1"/>
                <w:szCs w:val="1"/>
                <w:color w:val="auto"/>
              </w:rPr>
            </w:pPr>
          </w:p>
        </w:tc>
      </w:tr>
      <w:tr>
        <w:trPr>
          <w:trHeight w:val="140"/>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(Data Axle, Inc.)</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Ironclad Holdco, LLC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4,566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663</w:t>
            </w:r>
          </w:p>
        </w:tc>
        <w:tc>
          <w:tcPr>
            <w:tcW w:w="0" w:type="dxa"/>
            <w:vAlign w:val="bottom"/>
          </w:tcPr>
          <w:p>
            <w:pPr>
              <w:spacing w:after="0"/>
              <w:rPr>
                <w:sz w:val="1"/>
                <w:szCs w:val="1"/>
                <w:color w:val="auto"/>
              </w:rPr>
            </w:pPr>
          </w:p>
        </w:tc>
      </w:tr>
      <w:tr>
        <w:trPr>
          <w:trHeight w:val="144"/>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(Applied Technical Services, LLC)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ITC Infusion Co-invest, LP</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162,445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1,624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1,775</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ITC Rumba, LLC</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375,675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1,158</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(Cano Health, LLC)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Kentucky Racing Holdco, LLC (Warrants)</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161,252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1,630</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1,308,814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1,892</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KL Stockton Co-Invest LP</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382,353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775</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(Any Hour Services)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Lariat ecoserv Co-Invest Holdings, LLC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363,656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LEP Pequod Holdings,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1,006</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Investment Holdco LLC</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273,143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741</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851,087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902</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Lorient Peregrine Investments, LP</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335,590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4,530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4,452</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A Common Equity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169,230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B Common Equity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929,200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Mars Intermidiate Holdings II, Inc.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232</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Aggregator, LP</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30,993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3,103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3,326</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815,385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3,920,145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3,984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4,430</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NEPRT Parent Holdings, LLC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w:t>
            </w:r>
          </w:p>
        </w:tc>
        <w:tc>
          <w:tcPr>
            <w:tcW w:w="0" w:type="dxa"/>
            <w:vAlign w:val="bottom"/>
          </w:tcPr>
          <w:p>
            <w:pPr>
              <w:spacing w:after="0"/>
              <w:rPr>
                <w:sz w:val="1"/>
                <w:szCs w:val="1"/>
                <w:color w:val="auto"/>
              </w:rPr>
            </w:pPr>
          </w:p>
        </w:tc>
      </w:tr>
      <w:tr>
        <w:trPr>
          <w:trHeight w:val="144"/>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(Recteq, LLC)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Parent Holdings, LLC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1,257</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North Haven Saints Equity Holdings, LP</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351,553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351</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NXOF Holdings, Inc.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3,261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(Tyto Athene, LLC)</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OceanSound Discovery Equity,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98,286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2,133</w:t>
            </w:r>
          </w:p>
        </w:tc>
        <w:tc>
          <w:tcPr>
            <w:tcW w:w="0" w:type="dxa"/>
            <w:vAlign w:val="bottom"/>
          </w:tcPr>
          <w:p>
            <w:pPr>
              <w:spacing w:after="0"/>
              <w:rPr>
                <w:sz w:val="1"/>
                <w:szCs w:val="1"/>
                <w:color w:val="auto"/>
              </w:rPr>
            </w:pPr>
          </w:p>
        </w:tc>
      </w:tr>
      <w:tr>
        <w:trPr>
          <w:trHeight w:val="144"/>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(Holdco Sands Intermediate, LLC)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OHCP V BC COI,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446,250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390</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OHCP V BC COI, L.P. </w:t>
            </w:r>
            <w:r>
              <w:rPr>
                <w:rFonts w:ascii="Times New Roman" w:cs="Times New Roman" w:eastAsia="Times New Roman" w:hAnsi="Times New Roman"/>
                <w:sz w:val="12"/>
                <w:szCs w:val="12"/>
                <w:color w:val="auto"/>
                <w:vertAlign w:val="superscript"/>
              </w:rPr>
              <w:t>(7)</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303,750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(38 )</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ORL Holdco, Inc.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PennantPark-TSO Senior Loan Fund II, LP </w:t>
            </w:r>
            <w:r>
              <w:rPr>
                <w:rFonts w:ascii="Times New Roman" w:cs="Times New Roman" w:eastAsia="Times New Roman" w:hAnsi="Times New Roman"/>
                <w:sz w:val="12"/>
                <w:szCs w:val="12"/>
                <w:color w:val="auto"/>
                <w:vertAlign w:val="superscript"/>
              </w:rPr>
              <w:t>(11)</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12,269,640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12,270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12,485</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Pink Lily Holdco, LLC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1,918,047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747</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Quad (U.S.) Co-Invest,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2,958,706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2,959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3,461</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446</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(7),(9)</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RFMG Parent,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1,050,000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1,052</w:t>
            </w:r>
          </w:p>
        </w:tc>
        <w:tc>
          <w:tcPr>
            <w:tcW w:w="0" w:type="dxa"/>
            <w:vAlign w:val="bottom"/>
          </w:tcPr>
          <w:p>
            <w:pPr>
              <w:spacing w:after="0"/>
              <w:rPr>
                <w:sz w:val="1"/>
                <w:szCs w:val="1"/>
                <w:color w:val="auto"/>
              </w:rPr>
            </w:pPr>
          </w:p>
        </w:tc>
      </w:tr>
      <w:tr>
        <w:trPr>
          <w:trHeight w:val="140"/>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(Rancho Health MSO, Inc.)</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SBI Holdings Investments LLC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36,585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291</w:t>
            </w:r>
          </w:p>
        </w:tc>
        <w:tc>
          <w:tcPr>
            <w:tcW w:w="0" w:type="dxa"/>
            <w:vAlign w:val="bottom"/>
          </w:tcPr>
          <w:p>
            <w:pPr>
              <w:spacing w:after="0"/>
              <w:rPr>
                <w:sz w:val="1"/>
                <w:szCs w:val="1"/>
                <w:color w:val="auto"/>
              </w:rPr>
            </w:pPr>
          </w:p>
        </w:tc>
      </w:tr>
      <w:tr>
        <w:trPr>
          <w:trHeight w:val="140"/>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Topco, LP</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2,981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2,372</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CR Intermediate Holdco, Inc.</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2,059</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 L2 Holdings, LLC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881,966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604</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SSC Dominion Holdings, LLC</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3,294</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Class B (US Dominion, Inc.)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StellPen Holdings, LLC</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153,846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169</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(CF512, Inc.)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254,206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405</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Tower Arch Infolinks Media, LP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536,514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951</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Tower Arch Infolinks Media, LP </w:t>
            </w:r>
            <w:r>
              <w:rPr>
                <w:rFonts w:ascii="Times New Roman" w:cs="Times New Roman" w:eastAsia="Times New Roman" w:hAnsi="Times New Roman"/>
                <w:sz w:val="12"/>
                <w:szCs w:val="12"/>
                <w:color w:val="auto"/>
                <w:vertAlign w:val="superscript"/>
              </w:rPr>
              <w:t>(7), (9)</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358,931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(8). (11)</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11,527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TWD Parent Holdings, LLC</w:t>
            </w:r>
          </w:p>
        </w:tc>
        <w:tc>
          <w:tcPr>
            <w:tcW w:w="104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(The Vertex Companies, LLC)</w:t>
            </w: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00" w:type="dxa"/>
            <w:vAlign w:val="bottom"/>
          </w:tcPr>
          <w:p>
            <w:pPr>
              <w:spacing w:after="0"/>
              <w:rPr>
                <w:sz w:val="10"/>
                <w:szCs w:val="10"/>
                <w:color w:val="auto"/>
              </w:rPr>
            </w:pPr>
          </w:p>
        </w:tc>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1880" w:type="dxa"/>
            <w:vAlign w:val="bottom"/>
          </w:tcPr>
          <w:p>
            <w:pPr>
              <w:spacing w:after="0"/>
              <w:rPr>
                <w:sz w:val="10"/>
                <w:szCs w:val="10"/>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Basis Point</w:t>
            </w:r>
          </w:p>
        </w:tc>
        <w:tc>
          <w:tcPr>
            <w:tcW w:w="260" w:type="dxa"/>
            <w:vAlign w:val="bottom"/>
          </w:tcPr>
          <w:p>
            <w:pPr>
              <w:spacing w:after="0"/>
              <w:rPr>
                <w:sz w:val="10"/>
                <w:szCs w:val="10"/>
                <w:color w:val="auto"/>
              </w:rPr>
            </w:pPr>
          </w:p>
        </w:tc>
        <w:tc>
          <w:tcPr>
            <w:tcW w:w="820" w:type="dxa"/>
            <w:vAlign w:val="bottom"/>
            <w:vMerge w:val="restart"/>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Spread Above</w:t>
            </w:r>
          </w:p>
        </w:tc>
        <w:tc>
          <w:tcPr>
            <w:tcW w:w="2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0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00" w:type="dxa"/>
            <w:vAlign w:val="bottom"/>
          </w:tcPr>
          <w:p>
            <w:pPr>
              <w:jc w:val="center"/>
              <w:ind w:right="32"/>
              <w:spacing w:after="0" w:line="134" w:lineRule="exact"/>
              <w:rPr>
                <w:sz w:val="20"/>
                <w:szCs w:val="20"/>
                <w:color w:val="auto"/>
              </w:rPr>
            </w:pPr>
            <w:r>
              <w:rPr>
                <w:rFonts w:ascii="Times New Roman" w:cs="Times New Roman" w:eastAsia="Times New Roman" w:hAnsi="Times New Roman"/>
                <w:sz w:val="10"/>
                <w:szCs w:val="10"/>
                <w:color w:val="auto"/>
                <w:w w:val="86"/>
              </w:rPr>
              <w:t xml:space="preserve">Index </w:t>
            </w:r>
            <w:r>
              <w:rPr>
                <w:rFonts w:ascii="Times New Roman" w:cs="Times New Roman" w:eastAsia="Times New Roman" w:hAnsi="Times New Roman"/>
                <w:sz w:val="12"/>
                <w:szCs w:val="12"/>
                <w:color w:val="auto"/>
                <w:w w:val="86"/>
                <w:vertAlign w:val="superscript"/>
              </w:rPr>
              <w:t>(4)</w:t>
            </w:r>
          </w:p>
        </w:tc>
        <w:tc>
          <w:tcPr>
            <w:tcW w:w="260" w:type="dxa"/>
            <w:vAlign w:val="bottom"/>
          </w:tcPr>
          <w:p>
            <w:pPr>
              <w:spacing w:after="0"/>
              <w:rPr>
                <w:sz w:val="11"/>
                <w:szCs w:val="11"/>
                <w:color w:val="auto"/>
              </w:rPr>
            </w:pP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11"/>
                <w:szCs w:val="11"/>
                <w:color w:val="auto"/>
              </w:rPr>
            </w:pPr>
          </w:p>
        </w:tc>
        <w:tc>
          <w:tcPr>
            <w:tcW w:w="58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(9)</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400</w:t>
            </w:r>
          </w:p>
        </w:tc>
        <w:tc>
          <w:tcPr>
            <w:tcW w:w="1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362</w:t>
            </w:r>
          </w:p>
        </w:tc>
        <w:tc>
          <w:tcPr>
            <w:tcW w:w="2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Partners Co., L.P.</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1,111,111</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WCP Ivyrehab (QP) CF Feeder, LP </w:t>
            </w:r>
            <w:r>
              <w:rPr>
                <w:rFonts w:ascii="Times New Roman" w:cs="Times New Roman" w:eastAsia="Times New Roman" w:hAnsi="Times New Roman"/>
                <w:sz w:val="12"/>
                <w:szCs w:val="12"/>
                <w:color w:val="auto"/>
                <w:vertAlign w:val="superscript"/>
              </w:rPr>
              <w:t>(9)</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3,715,012</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3,754</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4,319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WCP Ivyrehab QP CF Feeder, LP - Unfunded </w:t>
            </w:r>
            <w:r>
              <w:rPr>
                <w:rFonts w:ascii="Times New Roman" w:cs="Times New Roman" w:eastAsia="Times New Roman" w:hAnsi="Times New Roman"/>
                <w:sz w:val="12"/>
                <w:szCs w:val="12"/>
                <w:color w:val="auto"/>
                <w:vertAlign w:val="superscript"/>
              </w:rPr>
              <w:t>(7) (9)</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284,988</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Parent, LP</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Electronics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2,314</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231</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(Wildcat Buyerco, Inc.)</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95,037</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115,477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w:t>
            </w:r>
          </w:p>
        </w:tc>
        <w:tc>
          <w:tcPr>
            <w:tcW w:w="9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Companies</w:t>
            </w:r>
          </w:p>
        </w:tc>
        <w:tc>
          <w:tcPr>
            <w:tcW w:w="9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816,754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830,808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w w:val="99"/>
              </w:rPr>
              <w:t xml:space="preserve">Investments in Non-Controlled, Affiliated Portfolio Companies—10.9% of Net Assets </w:t>
            </w:r>
            <w:r>
              <w:rPr>
                <w:rFonts w:ascii="Times New Roman" w:cs="Times New Roman" w:eastAsia="Times New Roman" w:hAnsi="Times New Roman"/>
                <w:sz w:val="12"/>
                <w:szCs w:val="12"/>
                <w:b w:val="1"/>
                <w:bCs w:val="1"/>
                <w:color w:val="auto"/>
                <w:w w:val="99"/>
                <w:vertAlign w:val="superscript"/>
              </w:rPr>
              <w:t>(1), (2)</w:t>
            </w: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Debt—2.1% of Net Assets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w:t>
            </w:r>
          </w:p>
        </w:tc>
        <w:tc>
          <w:tcPr>
            <w:tcW w:w="9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03/31/2027</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12.18 %</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1M SOFR+685</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7,042</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7,042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7,043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Unfunded Term Loan</w:t>
            </w:r>
          </w:p>
        </w:tc>
        <w:tc>
          <w:tcPr>
            <w:tcW w:w="9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03/31/2027</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667</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Junior Revolver</w:t>
            </w:r>
          </w:p>
        </w:tc>
        <w:tc>
          <w:tcPr>
            <w:tcW w:w="9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03/31/2027</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11.68 %</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1M SOFR+685</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3,333</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3,333</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3,333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10,375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Preferred Equity/Partnership Interests—6.4% of Net Assets</w:t>
            </w:r>
            <w:r>
              <w:rPr>
                <w:rFonts w:ascii="Times New Roman" w:cs="Times New Roman" w:eastAsia="Times New Roman" w:hAnsi="Times New Roman"/>
                <w:sz w:val="12"/>
                <w:szCs w:val="12"/>
                <w:b w:val="1"/>
                <w:bCs w:val="1"/>
                <w:color w:val="auto"/>
                <w:vertAlign w:val="superscript"/>
              </w:rPr>
              <w:t>(6)</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5,887,236</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32,791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31,032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 - Series B</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918</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918</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Equity/Partnership Interests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33,709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32,105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000" w:type="dxa"/>
            <w:vAlign w:val="bottom"/>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w w:val="99"/>
              </w:rPr>
              <w:t>Common Equity/Partnership Interests/Warrants—2.4% of Net Assets</w:t>
            </w:r>
          </w:p>
        </w:tc>
        <w:tc>
          <w:tcPr>
            <w:tcW w:w="900" w:type="dxa"/>
            <w:vAlign w:val="bottom"/>
            <w:shd w:val="clear" w:color="auto" w:fill="CCECFF"/>
          </w:tcPr>
          <w:p>
            <w:pPr>
              <w:spacing w:after="0"/>
              <w:rPr>
                <w:sz w:val="9"/>
                <w:szCs w:val="9"/>
                <w:color w:val="auto"/>
              </w:rPr>
            </w:pPr>
          </w:p>
        </w:tc>
        <w:tc>
          <w:tcPr>
            <w:tcW w:w="1880" w:type="dxa"/>
            <w:vAlign w:val="bottom"/>
            <w:shd w:val="clear" w:color="auto" w:fill="CCECFF"/>
          </w:tcPr>
          <w:p>
            <w:pPr>
              <w:spacing w:after="0"/>
              <w:rPr>
                <w:sz w:val="9"/>
                <w:szCs w:val="9"/>
                <w:color w:val="auto"/>
              </w:rPr>
            </w:pPr>
          </w:p>
        </w:tc>
        <w:tc>
          <w:tcPr>
            <w:tcW w:w="102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6"/>
                <w:szCs w:val="6"/>
                <w:b w:val="1"/>
                <w:bCs w:val="1"/>
                <w:color w:val="auto"/>
              </w:rPr>
              <w:t>(6)</w:t>
            </w:r>
          </w:p>
        </w:tc>
        <w:tc>
          <w:tcPr>
            <w:tcW w:w="900" w:type="dxa"/>
            <w:vAlign w:val="bottom"/>
            <w:tcBorders>
              <w:bottom w:val="single" w:sz="8" w:color="CCECFF"/>
            </w:tcBorders>
            <w:shd w:val="clear" w:color="auto" w:fill="CCECFF"/>
          </w:tcPr>
          <w:p>
            <w:pPr>
              <w:spacing w:after="0"/>
              <w:rPr>
                <w:sz w:val="8"/>
                <w:szCs w:val="8"/>
                <w:color w:val="auto"/>
              </w:rPr>
            </w:pPr>
          </w:p>
        </w:tc>
        <w:tc>
          <w:tcPr>
            <w:tcW w:w="1880" w:type="dxa"/>
            <w:vAlign w:val="bottom"/>
            <w:tcBorders>
              <w:bottom w:val="single" w:sz="8" w:color="CCECFF"/>
            </w:tcBorders>
            <w:shd w:val="clear" w:color="auto" w:fill="CCECFF"/>
          </w:tcPr>
          <w:p>
            <w:pPr>
              <w:spacing w:after="0"/>
              <w:rPr>
                <w:sz w:val="8"/>
                <w:szCs w:val="8"/>
                <w:color w:val="auto"/>
              </w:rPr>
            </w:pPr>
          </w:p>
        </w:tc>
        <w:tc>
          <w:tcPr>
            <w:tcW w:w="1020" w:type="dxa"/>
            <w:vAlign w:val="bottom"/>
            <w:tcBorders>
              <w:bottom w:val="single" w:sz="8" w:color="CCECFF"/>
            </w:tcBorders>
            <w:shd w:val="clear" w:color="auto" w:fill="CCECFF"/>
          </w:tcPr>
          <w:p>
            <w:pPr>
              <w:spacing w:after="0"/>
              <w:rPr>
                <w:sz w:val="8"/>
                <w:szCs w:val="8"/>
                <w:color w:val="auto"/>
              </w:rPr>
            </w:pPr>
          </w:p>
        </w:tc>
        <w:tc>
          <w:tcPr>
            <w:tcW w:w="900" w:type="dxa"/>
            <w:vAlign w:val="bottom"/>
            <w:tcBorders>
              <w:bottom w:val="single" w:sz="8" w:color="CCECFF"/>
            </w:tcBorders>
            <w:shd w:val="clear" w:color="auto" w:fill="CCECFF"/>
          </w:tcPr>
          <w:p>
            <w:pPr>
              <w:spacing w:after="0"/>
              <w:rPr>
                <w:sz w:val="8"/>
                <w:szCs w:val="8"/>
                <w:color w:val="auto"/>
              </w:rPr>
            </w:pPr>
          </w:p>
        </w:tc>
        <w:tc>
          <w:tcPr>
            <w:tcW w:w="260" w:type="dxa"/>
            <w:vAlign w:val="bottom"/>
            <w:tcBorders>
              <w:bottom w:val="single" w:sz="8" w:color="CCECFF"/>
            </w:tcBorders>
            <w:shd w:val="clear" w:color="auto" w:fill="CCECFF"/>
          </w:tcPr>
          <w:p>
            <w:pPr>
              <w:spacing w:after="0"/>
              <w:rPr>
                <w:sz w:val="8"/>
                <w:szCs w:val="8"/>
                <w:color w:val="auto"/>
              </w:rPr>
            </w:pPr>
          </w:p>
        </w:tc>
        <w:tc>
          <w:tcPr>
            <w:tcW w:w="820" w:type="dxa"/>
            <w:vAlign w:val="bottom"/>
            <w:tcBorders>
              <w:bottom w:val="single" w:sz="8" w:color="CCECFF"/>
            </w:tcBorders>
            <w:shd w:val="clear" w:color="auto" w:fill="CCECFF"/>
          </w:tcPr>
          <w:p>
            <w:pPr>
              <w:spacing w:after="0"/>
              <w:rPr>
                <w:sz w:val="8"/>
                <w:szCs w:val="8"/>
                <w:color w:val="auto"/>
              </w:rPr>
            </w:pPr>
          </w:p>
        </w:tc>
        <w:tc>
          <w:tcPr>
            <w:tcW w:w="160" w:type="dxa"/>
            <w:vAlign w:val="bottom"/>
            <w:tcBorders>
              <w:bottom w:val="single" w:sz="8" w:color="CCECFF"/>
            </w:tcBorders>
            <w:shd w:val="clear" w:color="auto" w:fill="CCECFF"/>
          </w:tcPr>
          <w:p>
            <w:pPr>
              <w:spacing w:after="0"/>
              <w:rPr>
                <w:sz w:val="8"/>
                <w:szCs w:val="8"/>
                <w:color w:val="auto"/>
              </w:rPr>
            </w:pPr>
          </w:p>
        </w:tc>
        <w:tc>
          <w:tcPr>
            <w:tcW w:w="580" w:type="dxa"/>
            <w:vAlign w:val="bottom"/>
            <w:tcBorders>
              <w:bottom w:val="single" w:sz="8" w:color="CCECFF"/>
            </w:tcBorders>
            <w:shd w:val="clear" w:color="auto" w:fill="CCECFF"/>
          </w:tcPr>
          <w:p>
            <w:pPr>
              <w:spacing w:after="0"/>
              <w:rPr>
                <w:sz w:val="8"/>
                <w:szCs w:val="8"/>
                <w:color w:val="auto"/>
              </w:rPr>
            </w:pPr>
          </w:p>
        </w:tc>
        <w:tc>
          <w:tcPr>
            <w:tcW w:w="200" w:type="dxa"/>
            <w:vAlign w:val="bottom"/>
            <w:tcBorders>
              <w:bottom w:val="single" w:sz="8" w:color="CCECFF"/>
            </w:tcBorders>
            <w:shd w:val="clear" w:color="auto" w:fill="CCECFF"/>
          </w:tcPr>
          <w:p>
            <w:pPr>
              <w:spacing w:after="0"/>
              <w:rPr>
                <w:sz w:val="8"/>
                <w:szCs w:val="8"/>
                <w:color w:val="auto"/>
              </w:rPr>
            </w:pPr>
          </w:p>
        </w:tc>
        <w:tc>
          <w:tcPr>
            <w:tcW w:w="80" w:type="dxa"/>
            <w:vAlign w:val="bottom"/>
            <w:tcBorders>
              <w:bottom w:val="single" w:sz="8" w:color="CCECFF"/>
            </w:tcBorders>
            <w:shd w:val="clear" w:color="auto" w:fill="CCECFF"/>
          </w:tcPr>
          <w:p>
            <w:pPr>
              <w:spacing w:after="0"/>
              <w:rPr>
                <w:sz w:val="8"/>
                <w:szCs w:val="8"/>
                <w:color w:val="auto"/>
              </w:rPr>
            </w:pPr>
          </w:p>
        </w:tc>
        <w:tc>
          <w:tcPr>
            <w:tcW w:w="680" w:type="dxa"/>
            <w:vAlign w:val="bottom"/>
            <w:tcBorders>
              <w:bottom w:val="single" w:sz="8" w:color="CCECFF"/>
            </w:tcBorders>
            <w:shd w:val="clear" w:color="auto" w:fill="CCECFF"/>
          </w:tcPr>
          <w:p>
            <w:pPr>
              <w:spacing w:after="0"/>
              <w:rPr>
                <w:sz w:val="8"/>
                <w:szCs w:val="8"/>
                <w:color w:val="auto"/>
              </w:rPr>
            </w:pPr>
          </w:p>
        </w:tc>
        <w:tc>
          <w:tcPr>
            <w:tcW w:w="80" w:type="dxa"/>
            <w:vAlign w:val="bottom"/>
            <w:tcBorders>
              <w:bottom w:val="single" w:sz="8" w:color="CCECFF"/>
            </w:tcBorders>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7,444,347</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2,852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JF Intermediate, LLC</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Distribution</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19,687</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2,065</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8,759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72,917</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6,786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11,703</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12,290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Affiliated Portfolio Companies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55,787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54,771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in Controlled, Affiliated Portfolio Companies—43.0% of</w:t>
            </w:r>
          </w:p>
        </w:tc>
        <w:tc>
          <w:tcPr>
            <w:tcW w:w="900" w:type="dxa"/>
            <w:vAlign w:val="bottom"/>
            <w:shd w:val="clear" w:color="auto" w:fill="CCECFF"/>
          </w:tcPr>
          <w:p>
            <w:pPr>
              <w:spacing w:after="0"/>
              <w:rPr>
                <w:sz w:val="11"/>
                <w:szCs w:val="11"/>
                <w:color w:val="auto"/>
              </w:rPr>
            </w:pPr>
          </w:p>
        </w:tc>
        <w:tc>
          <w:tcPr>
            <w:tcW w:w="188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000" w:type="dxa"/>
            <w:vAlign w:val="bottom"/>
            <w:shd w:val="clear" w:color="auto" w:fill="CCECFF"/>
          </w:tcPr>
          <w:p>
            <w:pPr>
              <w:ind w:left="20"/>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Net Assets </w:t>
            </w:r>
            <w:r>
              <w:rPr>
                <w:rFonts w:ascii="Times New Roman" w:cs="Times New Roman" w:eastAsia="Times New Roman" w:hAnsi="Times New Roman"/>
                <w:sz w:val="12"/>
                <w:szCs w:val="12"/>
                <w:b w:val="1"/>
                <w:bCs w:val="1"/>
                <w:color w:val="auto"/>
                <w:vertAlign w:val="superscript"/>
              </w:rPr>
              <w:t>(1), (2)</w:t>
            </w:r>
          </w:p>
        </w:tc>
        <w:tc>
          <w:tcPr>
            <w:tcW w:w="900" w:type="dxa"/>
            <w:vAlign w:val="bottom"/>
            <w:shd w:val="clear" w:color="auto" w:fill="CCECFF"/>
          </w:tcPr>
          <w:p>
            <w:pPr>
              <w:spacing w:after="0"/>
              <w:rPr>
                <w:sz w:val="11"/>
                <w:szCs w:val="11"/>
                <w:color w:val="auto"/>
              </w:rPr>
            </w:pPr>
          </w:p>
        </w:tc>
        <w:tc>
          <w:tcPr>
            <w:tcW w:w="188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Debt—9.8% of Net Assets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AKW Holdings Limited </w:t>
            </w:r>
            <w:r>
              <w:rPr>
                <w:rFonts w:ascii="Times New Roman" w:cs="Times New Roman" w:eastAsia="Times New Roman" w:hAnsi="Times New Roman"/>
                <w:sz w:val="12"/>
                <w:szCs w:val="12"/>
                <w:color w:val="auto"/>
                <w:vertAlign w:val="superscript"/>
              </w:rPr>
              <w:t>(8), (10), (11)</w:t>
            </w:r>
          </w:p>
        </w:tc>
        <w:tc>
          <w:tcPr>
            <w:tcW w:w="9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03/15/2027</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12.21 %</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SONIA+700</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40,371</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55,388</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49,275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55,388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49,275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 Secured Debt—0.0% of Net Assets</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Mailsouth Inc. </w:t>
            </w:r>
            <w:r>
              <w:rPr>
                <w:rFonts w:ascii="Times New Roman" w:cs="Times New Roman" w:eastAsia="Times New Roman" w:hAnsi="Times New Roman"/>
                <w:sz w:val="12"/>
                <w:szCs w:val="12"/>
                <w:color w:val="auto"/>
                <w:vertAlign w:val="superscript"/>
              </w:rPr>
              <w:t>(6)</w:t>
            </w:r>
          </w:p>
        </w:tc>
        <w:tc>
          <w:tcPr>
            <w:tcW w:w="9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04/23/2025</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14,896</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12,383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12,383</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Subordinated Debt—20.4% of Net Assets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PennantPark Senior Loan Fund, LLC </w:t>
            </w:r>
            <w:r>
              <w:rPr>
                <w:rFonts w:ascii="Times New Roman" w:cs="Times New Roman" w:eastAsia="Times New Roman" w:hAnsi="Times New Roman"/>
                <w:sz w:val="12"/>
                <w:szCs w:val="12"/>
                <w:b w:val="1"/>
                <w:bCs w:val="1"/>
                <w:color w:val="auto"/>
                <w:vertAlign w:val="superscript"/>
              </w:rPr>
              <w:t>(11)</w:t>
            </w:r>
          </w:p>
        </w:tc>
        <w:tc>
          <w:tcPr>
            <w:tcW w:w="9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07/31/2027</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13.37 %</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SOFR+800</w:t>
            </w:r>
          </w:p>
        </w:tc>
        <w:tc>
          <w:tcPr>
            <w:tcW w:w="260" w:type="dxa"/>
            <w:vAlign w:val="bottom"/>
            <w:shd w:val="clear" w:color="auto" w:fill="CCECFF"/>
          </w:tcPr>
          <w:p>
            <w:pPr>
              <w:spacing w:after="0"/>
              <w:rPr>
                <w:sz w:val="13"/>
                <w:szCs w:val="13"/>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102,325</w:t>
            </w: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102,325</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102,325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Subordinated Debt</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102,325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102,325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Common Equity—12.8% of Net Assets </w:t>
            </w:r>
            <w:r>
              <w:rPr>
                <w:rFonts w:ascii="Times New Roman" w:cs="Times New Roman" w:eastAsia="Times New Roman" w:hAnsi="Times New Roman"/>
                <w:sz w:val="12"/>
                <w:szCs w:val="12"/>
                <w:b w:val="1"/>
                <w:bCs w:val="1"/>
                <w:color w:val="auto"/>
                <w:vertAlign w:val="superscript"/>
              </w:rPr>
              <w:t>(6)</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AKW Holdings Limited </w:t>
            </w:r>
            <w:r>
              <w:rPr>
                <w:rFonts w:ascii="Times New Roman" w:cs="Times New Roman" w:eastAsia="Times New Roman" w:hAnsi="Times New Roman"/>
                <w:sz w:val="12"/>
                <w:szCs w:val="12"/>
                <w:color w:val="auto"/>
                <w:vertAlign w:val="superscript"/>
              </w:rPr>
              <w:t>(8), (10), (11)</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950</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MSpark, LLC</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51,151</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16,516</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PennantPark Senior Loan Fund, LLC </w:t>
            </w:r>
            <w:r>
              <w:rPr>
                <w:rFonts w:ascii="Times New Roman" w:cs="Times New Roman" w:eastAsia="Times New Roman" w:hAnsi="Times New Roman"/>
                <w:sz w:val="12"/>
                <w:szCs w:val="12"/>
                <w:b w:val="1"/>
                <w:bCs w:val="1"/>
                <w:color w:val="auto"/>
                <w:vertAlign w:val="superscript"/>
              </w:rPr>
              <w:t>(11)</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58,580,060</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58,643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62,083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75,290</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64,468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245,386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216,068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Investments—219.4% of Net Assets</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1,117,927</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1,101,647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Equivalents—7.7% of Net Assets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24,683</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24,683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Non-Money Market Cash</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14,101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38,784</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38,775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Equivalents—227.1% of Net Assets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1,156,711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1,140,422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Assets—(127.1%) of Net Assets</w:t>
            </w:r>
          </w:p>
        </w:tc>
        <w:tc>
          <w:tcPr>
            <w:tcW w:w="90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(638,235 )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Net Assets—100.0%</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502,187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1"/>
          <w:szCs w:val="11"/>
          <w:color w:val="auto"/>
        </w:rPr>
        <w:t>(1)The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73" w:lineRule="auto"/>
        <w:rPr>
          <w:sz w:val="20"/>
          <w:szCs w:val="20"/>
          <w:color w:val="auto"/>
        </w:rPr>
      </w:pPr>
      <w:r>
        <w:rPr>
          <w:rFonts w:ascii="Times New Roman" w:cs="Times New Roman" w:eastAsia="Times New Roman" w:hAnsi="Times New Roman"/>
          <w:sz w:val="11"/>
          <w:szCs w:val="11"/>
          <w:color w:val="auto"/>
        </w:rPr>
        <w:t>(2)The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rPr>
          <w:sz w:val="20"/>
          <w:szCs w:val="20"/>
          <w:color w:val="auto"/>
        </w:rPr>
      </w:pPr>
      <w:r>
        <w:rPr>
          <w:rFonts w:ascii="Times New Roman" w:cs="Times New Roman" w:eastAsia="Times New Roman" w:hAnsi="Times New Roman"/>
          <w:sz w:val="11"/>
          <w:szCs w:val="11"/>
          <w:color w:val="auto"/>
        </w:rPr>
        <w:t>(3)Valued based on our accounting policy (See Note 2).</w:t>
      </w:r>
    </w:p>
    <w:p>
      <w:pPr>
        <w:spacing w:after="0" w:line="30" w:lineRule="exact"/>
        <w:rPr>
          <w:sz w:val="20"/>
          <w:szCs w:val="20"/>
          <w:color w:val="auto"/>
        </w:rPr>
      </w:pPr>
    </w:p>
    <w:p>
      <w:pPr>
        <w:ind w:right="1740"/>
        <w:spacing w:after="0" w:line="288" w:lineRule="auto"/>
        <w:rPr>
          <w:sz w:val="20"/>
          <w:szCs w:val="20"/>
          <w:color w:val="auto"/>
        </w:rPr>
      </w:pPr>
      <w:r>
        <w:rPr>
          <w:rFonts w:ascii="Times New Roman" w:cs="Times New Roman" w:eastAsia="Times New Roman" w:hAnsi="Times New Roman"/>
          <w:sz w:val="10"/>
          <w:szCs w:val="10"/>
          <w:color w:val="auto"/>
        </w:rPr>
        <w:t>(4)Represents floating rate instruments that accrue interest at a predetermined spread relative to an index, typically the applicable Secured Overnight Financing Rate (SOFR) or Prime rate, (P), or Sterling Overnight Index Average,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rPr>
          <w:sz w:val="20"/>
          <w:szCs w:val="20"/>
          <w:color w:val="auto"/>
        </w:rPr>
      </w:pPr>
      <w:r>
        <w:rPr>
          <w:rFonts w:ascii="Times New Roman" w:cs="Times New Roman" w:eastAsia="Times New Roman" w:hAnsi="Times New Roman"/>
          <w:sz w:val="11"/>
          <w:szCs w:val="11"/>
          <w:color w:val="auto"/>
        </w:rPr>
        <w:t>(5)The security was not valued using significant unobservable inputs. The value of all other securities was determined using significant unobservable inputs (See Note 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(6)Non-income producing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(7)Represents the purchase of a security with delayed settlement or a revolving line of credit that is currently an unfunded investment. This security does not earn a basis point spread above an index while it is unfunded.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(8)Non-U.S. company or principal place of business outside the United States.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(9)Investment is held through our Taxable Subsidiary (See Note 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(10)Par / Shares amount is denominated in British Pounds (£) as denoted.</w:t>
      </w:r>
    </w:p>
    <w:p>
      <w:pPr>
        <w:spacing w:after="0" w:line="30"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1"/>
          <w:szCs w:val="11"/>
          <w:color w:val="auto"/>
        </w:rPr>
        <w:t>(11)The investment is treated as a non-qualifying asset under Section 55(a) of the 1940 Act. Under the 1940 Act, we may not acquire any non-qualifying asset unless, at the time the acquisition is made, qualifying assets represent at least 70% of our total assets. As of September 30, 2023, qualifying assets represent 77% of the Company’s total assets and non-qualifying assets represent 23% of the Company’s total assets.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ORGANIZATION</w:t>
      </w:r>
    </w:p>
    <w:p>
      <w:pPr>
        <w:spacing w:after="0" w:line="165"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PennantPark Investment Corporation was organized as a Maryland corporation in January 2007. We are a closed-end, externally managed, non-diversified investment company that has elected to be treated as a BDC under the 1940 Act. Our investment objective is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On April 14, 2022, trading of the Company's common stock commenced on the New York Stock Exchange after the Company voluntarily withdrew the principal listing of its common stock from the Nasdaq Stock Market LLC effective at market close on April 13, 2022. Our common stock trades on the New York Stock Exchange under the symbol “PNNT.”</w:t>
      </w:r>
    </w:p>
    <w:p>
      <w:pPr>
        <w:spacing w:after="0" w:line="130"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We execute our investment strategy directly and through our wholly owned subsidiaries, our unconsolidated joint venture and unconsolidated limited partnership. The term “subsidiary” means entities that primarily engage in investment activities in securities or other assets and are wholly owned by us. The Company does not intend to create or acquire primary control of any entity which primarily engages in investment activities of securities or other assets other than entities wholly owned by the Company. We comply with the provisions of Section 18 of the 1940 Act governing capital structure and leverage on an aggregate basis with our subsidiaries. Our subsidiaries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 1940 Act relating to investment advisory contracts, including but not limited to, Section 15, as if it were an investment adviser to the Company under Section 2(a)(20) of the 1940 Act.</w:t>
      </w:r>
    </w:p>
    <w:p>
      <w:pPr>
        <w:spacing w:after="0" w:line="132"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We have entered into an investment management agreement, (the "Investment Management Agreement"), with PennantPark Investment Advisors, LLC (the "Investment Adviser"), an external adviser that manages our day-to-day operations. We have also entered into an administration agreement, (the "Administration Agreement"), with PennantPark Investment Administrator LLC (the "Administrator"), which provides the administrative services necessary for us to operate. PennantPark Investment, through the Administrator, also provides similar services to SBIC II under a separate administration agreement.</w:t>
      </w:r>
    </w:p>
    <w:p>
      <w:pPr>
        <w:spacing w:after="0" w:line="127"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On July 31, 2020, we and certain entities and managed accounts of the private credit investment manager of Pantheon Ventures (UK) LLP, or Pantheon, entered into a limited liability company agreement to co-manage PSLF, a newly- formed unconsolidated joint venture. In connection with this transaction, we contributed in-kind our formerly wholly-owned subsidiary, Funding I. As a result of this transaction, Funding I became a wholly-owned subsidiary of PSLF and was deconsolidated from our financial statements. PSLF invests primarily in middle-market and other corporate debt securities consistent with our strategy. PSLF was formed as a Delaware limited liability company. See Note 4.</w:t>
      </w:r>
    </w:p>
    <w:p>
      <w:pPr>
        <w:spacing w:after="0" w:line="127" w:lineRule="exact"/>
        <w:rPr>
          <w:sz w:val="20"/>
          <w:szCs w:val="20"/>
          <w:color w:val="auto"/>
        </w:rPr>
      </w:pPr>
    </w:p>
    <w:p>
      <w:pPr>
        <w:jc w:val="both"/>
        <w:ind w:right="1520" w:firstLine="420"/>
        <w:spacing w:after="0" w:line="258" w:lineRule="auto"/>
        <w:rPr>
          <w:sz w:val="20"/>
          <w:szCs w:val="20"/>
          <w:color w:val="auto"/>
        </w:rPr>
      </w:pPr>
      <w:r>
        <w:rPr>
          <w:rFonts w:ascii="Times New Roman" w:cs="Times New Roman" w:eastAsia="Times New Roman" w:hAnsi="Times New Roman"/>
          <w:sz w:val="13"/>
          <w:szCs w:val="13"/>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w:t>
      </w:r>
    </w:p>
    <w:p>
      <w:pPr>
        <w:ind w:right="140"/>
        <w:spacing w:after="0" w:line="257" w:lineRule="auto"/>
        <w:rPr>
          <w:sz w:val="20"/>
          <w:szCs w:val="20"/>
          <w:color w:val="auto"/>
        </w:rPr>
      </w:pPr>
      <w:r>
        <w:rPr>
          <w:rFonts w:ascii="Times New Roman" w:cs="Times New Roman" w:eastAsia="Times New Roman" w:hAnsi="Times New Roman"/>
          <w:sz w:val="13"/>
          <w:szCs w:val="13"/>
          <w:color w:val="auto"/>
        </w:rPr>
        <w:t>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October 2021, we issued $165.0 million in aggregate principal amount of our 2026 Notes-2 at a public offering price per note of 99.4%. Interest on the 2026</w:t>
      </w:r>
    </w:p>
    <w:p>
      <w:pPr>
        <w:spacing w:after="0" w:line="2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3"/>
          <w:szCs w:val="13"/>
          <w:color w:val="auto"/>
        </w:rPr>
        <w:t>Notes is paid semi -annually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Notes-2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general, unsecured obligations and rank equal in right of payment with all of our existing and future senior unsecured indebtedness. The 2026 Notes-2 are effectively</w:t>
      </w:r>
    </w:p>
    <w:p>
      <w:pPr>
        <w:spacing w:after="0" w:line="7" w:lineRule="exact"/>
        <w:rPr>
          <w:sz w:val="20"/>
          <w:szCs w:val="20"/>
          <w:color w:val="auto"/>
        </w:rPr>
      </w:pPr>
    </w:p>
    <w:p>
      <w:pPr>
        <w:ind w:right="480"/>
        <w:spacing w:after="0" w:line="257" w:lineRule="auto"/>
        <w:rPr>
          <w:sz w:val="20"/>
          <w:szCs w:val="20"/>
          <w:color w:val="auto"/>
        </w:rPr>
      </w:pPr>
      <w:r>
        <w:rPr>
          <w:rFonts w:ascii="Times New Roman" w:cs="Times New Roman" w:eastAsia="Times New Roman" w:hAnsi="Times New Roman"/>
          <w:sz w:val="13"/>
          <w:szCs w:val="13"/>
          <w:color w:val="auto"/>
        </w:rPr>
        <w:t>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30" w:lineRule="exact"/>
        <w:rPr>
          <w:sz w:val="20"/>
          <w:szCs w:val="20"/>
          <w:color w:val="auto"/>
        </w:rPr>
      </w:pPr>
    </w:p>
    <w:p>
      <w:pPr>
        <w:ind w:right="200" w:firstLine="420"/>
        <w:spacing w:after="0" w:line="259" w:lineRule="auto"/>
        <w:rPr>
          <w:sz w:val="20"/>
          <w:szCs w:val="20"/>
          <w:color w:val="auto"/>
        </w:rPr>
      </w:pPr>
      <w:r>
        <w:rPr>
          <w:rFonts w:ascii="Times New Roman" w:cs="Times New Roman" w:eastAsia="Times New Roman" w:hAnsi="Times New Roman"/>
          <w:sz w:val="13"/>
          <w:szCs w:val="13"/>
          <w:color w:val="auto"/>
        </w:rPr>
        <w:t>On November 22, 2021, we formed PNNT Investment Holdings II, LLC, a Delaware limited liability company (“Holdings II”), as a wholly owned subsidiary. On December 31, 2022, we contributed 100% of our interests in PNNT Investment Holdings, LLC (“Holdings”) to Holdings II .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30"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In January 2022, we formed PennantPark-TSO Senior Loan Fund II LP, ("PTSF II"), an unconsolidated limited partnership, organized as a Delaware limited partnership. We sold $82.3 million in investments to a wholly -owned subsidiary of PTSF II in exchange for cash in the amount of $75.7 million and an $6.6 million equity interest in PTSF II representing 23.1% of the total outstanding Class A Units of PTSF II. We recognized $0.2 million of realized gain upon the formation of PTSF II. As of June 30, 2024, our capital commitment of $15.0 million is 100% funded and we hold 23.1% of the total outstanding Class A Units of PTSF II and a 4.99% voting interest in the general partner which manages PTSF II.</w:t>
      </w:r>
    </w:p>
    <w:p>
      <w:pPr>
        <w:spacing w:after="0" w:line="127" w:lineRule="exact"/>
        <w:rPr>
          <w:sz w:val="20"/>
          <w:szCs w:val="20"/>
          <w:color w:val="auto"/>
        </w:rPr>
      </w:pPr>
    </w:p>
    <w:p>
      <w:pPr>
        <w:ind w:right="420" w:firstLine="420"/>
        <w:spacing w:after="0" w:line="286" w:lineRule="auto"/>
        <w:rPr>
          <w:sz w:val="20"/>
          <w:szCs w:val="20"/>
          <w:color w:val="auto"/>
        </w:rPr>
      </w:pPr>
      <w:r>
        <w:rPr>
          <w:rFonts w:ascii="Times New Roman" w:cs="Times New Roman" w:eastAsia="Times New Roman" w:hAnsi="Times New Roman"/>
          <w:sz w:val="13"/>
          <w:szCs w:val="13"/>
          <w:color w:val="auto"/>
        </w:rPr>
        <w:t>We are operated by a person who has claimed an exclusion from the definition of the term “commodity pool operator” under the Commodity Exchange Act of 1936, as amended, or the Commodity Exchange Act, and therefore, is not subject to registration or regulation as a commodity pool operator under the Commodity Exchange Act.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SIGNIFICANT ACCOUNTING POLICIES</w:t>
      </w:r>
    </w:p>
    <w:p>
      <w:pPr>
        <w:spacing w:after="0" w:line="165"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and any other parameters used in determining these estimates and assumptions could cause actual results to differ from such estimates and assumptions. We may reclassify certain prior period amounts to conform to the current period presentation. We have eliminated all intercompany balances and transactions in consolidation. References to the Financial Accounting Standards Board’s ("FASB’s") or Accounting Standards Codification, as amended ("ASC"), serve as a single source of accounting literature. Subsequent events are evaluated and disclosed as appropriate for events occurring through the date the consolidated financial statements are issued.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305" w:lineRule="exact"/>
        <w:rPr>
          <w:sz w:val="20"/>
          <w:szCs w:val="20"/>
          <w:color w:val="auto"/>
        </w:rPr>
      </w:pPr>
    </w:p>
    <w:p>
      <w:pPr>
        <w:jc w:val="both"/>
        <w:ind w:right="120" w:firstLine="420"/>
        <w:spacing w:after="0" w:line="268" w:lineRule="auto"/>
        <w:rPr>
          <w:sz w:val="20"/>
          <w:szCs w:val="20"/>
          <w:color w:val="auto"/>
        </w:rPr>
      </w:pPr>
      <w:r>
        <w:rPr>
          <w:rFonts w:ascii="Times New Roman" w:cs="Times New Roman" w:eastAsia="Times New Roman" w:hAnsi="Times New Roman"/>
          <w:sz w:val="13"/>
          <w:szCs w:val="13"/>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Restatement of Previously Issued Financial Statement</w:t>
      </w:r>
    </w:p>
    <w:p>
      <w:pPr>
        <w:spacing w:after="0" w:line="165"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As noted in the Annual Report on Form 10-K for the year ended September 30, 2023, during the preparation of the financial statements as of and for the year ended September 30, 2023, Management identified an error in the classification and presentation of cash pertaining to the Company’s affiliates – PSLF and PTSF II in the September 30, 2022 financial statements. The Company recorded cash activity and due to affiliates pertaining to their investments as a reduction of the cash account instead of presenting the related cash and cash equivalents as an asset and a due to affiliates as a liability. This misclassification also existed at June 30, 2023, and the impact of the error correction is reflected on the consolidated statement of cash flows for the nine months ended June 30,</w:t>
      </w:r>
    </w:p>
    <w:p>
      <w:pPr>
        <w:spacing w:after="0" w:line="263" w:lineRule="auto"/>
        <w:rPr>
          <w:sz w:val="20"/>
          <w:szCs w:val="20"/>
          <w:color w:val="auto"/>
        </w:rPr>
      </w:pPr>
      <w:r>
        <w:rPr>
          <w:rFonts w:ascii="Times New Roman" w:cs="Times New Roman" w:eastAsia="Times New Roman" w:hAnsi="Times New Roman"/>
          <w:sz w:val="13"/>
          <w:szCs w:val="13"/>
          <w:color w:val="auto"/>
        </w:rPr>
        <w:t>2023 as an increase to cash and cash equivalents, beginning of period totaling $2.1 million, an increase to cash and cash equivalents, end of period totaling $3.9 million, and increase in due to affiliates of $1.8 million.</w:t>
      </w:r>
    </w:p>
    <w:p>
      <w:pPr>
        <w:spacing w:after="0" w:line="127"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There was no impact from the error correction to total net assets and net asset value per share as reported on the consolidated statement of assets and liabilities as of June 30, 2023. In addition, there was no impact from the error correction on net investment income or net increase (decrease) in net assets resulting from operations in total or on a per common share basis as reported on the consolidated statements of operations for the nine months ended June 30, 2023. The corrections related to the prior year comparative cash flow statement amounts were reported in the quarter ended June 30, 2024.</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significant accounting policies consistently applied are as follows: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(a)Investment Valuations</w:t>
      </w:r>
    </w:p>
    <w:p>
      <w:pPr>
        <w:spacing w:after="0" w:line="167"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32"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12" w:lineRule="exact"/>
        <w:rPr>
          <w:sz w:val="20"/>
          <w:szCs w:val="20"/>
          <w:color w:val="auto"/>
        </w:rPr>
      </w:pPr>
    </w:p>
    <w:p>
      <w:pPr>
        <w:ind w:left="420" w:right="36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the Investment Adviser responsible for the portfolio investment;</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the Investment Adviser;</w:t>
      </w:r>
    </w:p>
    <w:p>
      <w:pPr>
        <w:spacing w:after="0" w:line="127" w:lineRule="exact"/>
        <w:rPr>
          <w:sz w:val="20"/>
          <w:szCs w:val="20"/>
          <w:color w:val="auto"/>
        </w:rPr>
      </w:pPr>
    </w:p>
    <w:p>
      <w:pPr>
        <w:ind w:left="420" w:right="180"/>
        <w:spacing w:after="0" w:line="268" w:lineRule="auto"/>
        <w:rPr>
          <w:sz w:val="20"/>
          <w:szCs w:val="20"/>
          <w:color w:val="auto"/>
        </w:rPr>
      </w:pPr>
      <w:r>
        <w:rPr>
          <w:rFonts w:ascii="Times New Roman" w:cs="Times New Roman" w:eastAsia="Times New Roman" w:hAnsi="Times New Roman"/>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7" w:lineRule="exact"/>
        <w:rPr>
          <w:sz w:val="20"/>
          <w:szCs w:val="20"/>
          <w:color w:val="auto"/>
        </w:rPr>
      </w:pPr>
    </w:p>
    <w:p>
      <w:pPr>
        <w:ind w:left="420" w:right="160"/>
        <w:spacing w:after="0" w:line="268" w:lineRule="auto"/>
        <w:rPr>
          <w:sz w:val="20"/>
          <w:szCs w:val="20"/>
          <w:color w:val="auto"/>
        </w:rPr>
      </w:pPr>
      <w:r>
        <w:rPr>
          <w:rFonts w:ascii="Times New Roman" w:cs="Times New Roman" w:eastAsia="Times New Roman" w:hAnsi="Times New Roman"/>
          <w:sz w:val="13"/>
          <w:szCs w:val="13"/>
          <w:color w:val="auto"/>
        </w:rPr>
        <w:t>(4)The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7"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2" w:lineRule="exact"/>
        <w:rPr>
          <w:sz w:val="20"/>
          <w:szCs w:val="20"/>
          <w:color w:val="auto"/>
        </w:rPr>
      </w:pPr>
    </w:p>
    <w:p>
      <w:pPr>
        <w:ind w:right="30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(b)Security Transactions, Revenue Recognition, and Realized/Unrealized Gains or Losses</w:t>
      </w:r>
    </w:p>
    <w:p>
      <w:pPr>
        <w:spacing w:after="0" w:line="167"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and the Credit Facility during the reporting period, including the reversal of previously recorded unrealized appreciation or depreciation, when gains or losses are realized.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4" w:name="page25"/>
    <w:bookmarkEnd w:id="24"/>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149"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may or may not be recurring in nature. Such fees include loan prepayment penalties, structuring fees, amendment fees, and agency fees and are recorded as other investment income when earned.</w:t>
      </w:r>
    </w:p>
    <w:p>
      <w:pPr>
        <w:spacing w:after="0" w:line="132"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 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June 30, 2024, we had three portfolio companies on non- accrual, representing 4.2% and 2.5% percent of overall portfolio on a cost and fair value basis, respectively. As of September 30, 2023, we had one portfolio company on non-accrual, representing 1.2% and zero percent of our overall portfolio on a cost and fair value basis, respectively.</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(c)Income Taxes</w:t>
      </w:r>
    </w:p>
    <w:p>
      <w:pPr>
        <w:spacing w:after="0" w:line="167"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federal income taxes. However, we may choose to retain a portion of our calendar year income, which may result in the imposition of an excise tax. Additionally, certain of the Company’s consolidated subsidiaries are subject to federal, state and local income taxes. For the three and nine months ended June 30, 2024, we recorded a provision for taxes on net investment income of $0.7 million and $1.9 million respectively, which pertains to U.S. federal excise tax. For the three and nine months ended June 30, 2023, we recorded a provision for taxes on net investment income of $1.2 million and $3.6 million respectively, which pertains to U.S. federal excise tax.</w:t>
      </w:r>
    </w:p>
    <w:p>
      <w:pPr>
        <w:spacing w:after="0" w:line="132"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32"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Holdings II, is subject to U.S. federal, state and local corporate income taxes. The income tax expense and related tax liabilities of the Taxable Subsidiary are reflected in the Company’s consolidated financial statements.</w:t>
      </w:r>
    </w:p>
    <w:p>
      <w:pPr>
        <w:spacing w:after="0" w:line="112" w:lineRule="exact"/>
        <w:rPr>
          <w:sz w:val="20"/>
          <w:szCs w:val="20"/>
          <w:color w:val="auto"/>
        </w:rPr>
      </w:pPr>
    </w:p>
    <w:p>
      <w:pPr>
        <w:ind w:right="20" w:firstLine="420"/>
        <w:spacing w:after="0" w:line="255" w:lineRule="auto"/>
        <w:rPr>
          <w:sz w:val="20"/>
          <w:szCs w:val="20"/>
          <w:color w:val="auto"/>
        </w:rPr>
      </w:pPr>
      <w:r>
        <w:rPr>
          <w:rFonts w:ascii="Times New Roman" w:cs="Times New Roman" w:eastAsia="Times New Roman" w:hAnsi="Times New Roman"/>
          <w:sz w:val="13"/>
          <w:szCs w:val="13"/>
          <w:color w:val="auto"/>
        </w:rPr>
        <w:t>For the three and nine months ended June 30, 2024, the Company recognized a provision for taxes of zero and $0.2 million, respectively, on net realized gain (loss) on investments by the Taxable Subsidiary. For the three and nine months ended June 30, 2023, the Company recognized a provision for taxes of $1.7 million and $2.4 million, respectively, on net realized gain on investments by the Taxable Subsidiary. For the three months and nine months ended June 30, 2024, the Company recognized a provision for taxes of zero and $0.7 million, respectively, on net realized gain (loss) on investments by the Taxable Subsidiary. For the three and nine months ended June 30, 2023, the Company recognized a provision for taxes of zero and $(0.9) million, respectively, on net unrealized gain (loss) on investments by the Taxable Subsidiary. The provision for taxes on net realized and unrealized gains on investments is the result of netting (i) the expected tax liability on the gains from the sales of investments which is likely to be realized and unrealized during fiscal year ending September 30, 2024 and (ii) the expected tax benefit resulting from the use of loss carryforwards to offset such gains. As of June 30, 2024 and September 30, 2023, the Company recognized a provision for taxes of $0.9 million and $3.4 million, respectively, on net realized and unrealized gains on investments by the Taxable Subsidiary.</w:t>
      </w:r>
    </w:p>
    <w:p>
      <w:pPr>
        <w:spacing w:after="0" w:line="134" w:lineRule="exact"/>
        <w:rPr>
          <w:sz w:val="20"/>
          <w:szCs w:val="20"/>
          <w:color w:val="auto"/>
        </w:rPr>
      </w:pPr>
    </w:p>
    <w:p>
      <w:pPr>
        <w:ind w:right="560" w:firstLine="420"/>
        <w:spacing w:after="0" w:line="286" w:lineRule="auto"/>
        <w:rPr>
          <w:sz w:val="20"/>
          <w:szCs w:val="20"/>
          <w:color w:val="auto"/>
        </w:rPr>
      </w:pPr>
      <w:r>
        <w:rPr>
          <w:rFonts w:ascii="Times New Roman" w:cs="Times New Roman" w:eastAsia="Times New Roman" w:hAnsi="Times New Roman"/>
          <w:sz w:val="13"/>
          <w:szCs w:val="13"/>
          <w:color w:val="auto"/>
        </w:rPr>
        <w:t>During the three months and nine months ended June 30, 2024, the Company paid zero, respectively, in federal taxes on realized gains on the sale of investments held by the Taxable Subsidiary. The state and local tax liability is zero as of June 30, 2024 is included under accrued other expenses in the consolidated statement of assets and liabilities.</w:t>
      </w:r>
    </w:p>
    <w:p>
      <w:pPr>
        <w:spacing w:after="0" w:line="112"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87" w:lineRule="exact"/>
        <w:rPr>
          <w:sz w:val="20"/>
          <w:szCs w:val="20"/>
          <w:color w:val="auto"/>
        </w:rPr>
      </w:pPr>
    </w:p>
    <w:p>
      <w:pPr>
        <w:ind w:right="320" w:firstLine="420"/>
        <w:spacing w:after="0" w:line="268" w:lineRule="auto"/>
        <w:rPr>
          <w:sz w:val="20"/>
          <w:szCs w:val="20"/>
          <w:color w:val="auto"/>
        </w:rPr>
      </w:pPr>
      <w:r>
        <w:rPr>
          <w:rFonts w:ascii="Times New Roman" w:cs="Times New Roman" w:eastAsia="Times New Roman" w:hAnsi="Times New Roman"/>
          <w:sz w:val="13"/>
          <w:szCs w:val="13"/>
          <w:color w:val="auto"/>
        </w:rPr>
        <w:t>Because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(d)Distributions and Capital Transactions</w:t>
      </w:r>
    </w:p>
    <w:p>
      <w:pPr>
        <w:spacing w:after="0" w:line="167"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23" w:lineRule="exact"/>
        <w:rPr>
          <w:sz w:val="20"/>
          <w:szCs w:val="20"/>
          <w:color w:val="auto"/>
        </w:rPr>
      </w:pPr>
    </w:p>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25" w:name="page26"/>
    <w:bookmarkEnd w:id="25"/>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149"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On June 4, 2024, we entered into equity distribution agreements with Truist Securities, Inc. and Keefe, Bruyette &amp; Woods, Inc. (together, the "Equity Distribution Agreements"), as sales agents (each a "Sales Agent" and together, the "Sales Agents") in connection with the sale of shares of our common stock, with an aggregate offering price of up to $100 million under an at-the-market offering ("ATM Program").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p>
    <w:p>
      <w:pPr>
        <w:spacing w:after="0" w:line="292"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During the three and nine months ended June 30, 2024, we issued 71,594 and 71,594 shares of common stock through the ATM Program at an average price of $7.72 and $7.72 per share, raising $0.6 million and $0.6 million of net proceeds after commissions to the sales agents and inclusive of proceeds from the Investment Adviser to ensure that all shares were sold at or above NAV, respectively. In connection with the share issuance, we expensed $0.3 million of deferred offering costs incurred related to establishing the ATM Program to additional paid in capital.</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(e)Foreign Currency Translation</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1.Fair value of investment securities, other assets and liabilities – at the exchange rates prevailing at the end of the applicable period; and</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2.Purchases and sales of investment securities, income and expenses – at the exchange rates prevailing on the respective dates of such transactions.</w:t>
      </w:r>
    </w:p>
    <w:p>
      <w:pPr>
        <w:spacing w:after="0" w:line="163" w:lineRule="exact"/>
        <w:rPr>
          <w:sz w:val="20"/>
          <w:szCs w:val="20"/>
          <w:color w:val="auto"/>
        </w:rPr>
      </w:pPr>
    </w:p>
    <w:p>
      <w:pPr>
        <w:jc w:val="both"/>
        <w:ind w:right="20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23"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(f)Consolidation</w:t>
      </w:r>
    </w:p>
    <w:p>
      <w:pPr>
        <w:spacing w:after="0" w:line="131" w:lineRule="exact"/>
        <w:rPr>
          <w:sz w:val="20"/>
          <w:szCs w:val="20"/>
          <w:color w:val="auto"/>
        </w:rPr>
      </w:pPr>
    </w:p>
    <w:p>
      <w:pPr>
        <w:ind w:right="240" w:firstLine="420"/>
        <w:spacing w:after="0" w:line="268" w:lineRule="auto"/>
        <w:rPr>
          <w:sz w:val="20"/>
          <w:szCs w:val="20"/>
          <w:color w:val="auto"/>
        </w:rPr>
      </w:pPr>
      <w:r>
        <w:rPr>
          <w:rFonts w:ascii="Times New Roman" w:cs="Times New Roman" w:eastAsia="Times New Roman" w:hAnsi="Times New Roman"/>
          <w:sz w:val="13"/>
          <w:szCs w:val="13"/>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Subsidiary in our Consolidated Financial Statements. We do not consolidate our non-controlling interests in PSLF or PTSF II. See further description of our investment in PSLF in Note 4.</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(g)Asset Transfers and Servicing</w:t>
      </w:r>
    </w:p>
    <w:p>
      <w:pPr>
        <w:spacing w:after="0" w:line="167"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Asset transfers that do not meet ASC Topic 860, Transfers and Servicing, requirements for sale accounting treatment are reflected in the Consolidated Statements of Assets and Liabilities and the Consolidated Schedules of Investments as investments.</w:t>
      </w:r>
    </w:p>
    <w:p>
      <w:pPr>
        <w:spacing w:after="0" w:line="108" w:lineRule="exact"/>
        <w:rPr>
          <w:sz w:val="20"/>
          <w:szCs w:val="20"/>
          <w:color w:val="auto"/>
        </w:rPr>
      </w:pPr>
    </w:p>
    <w:p>
      <w:pPr>
        <w:ind w:left="560" w:hanging="350"/>
        <w:spacing w:after="0"/>
        <w:tabs>
          <w:tab w:leader="none" w:pos="560" w:val="left"/>
        </w:tabs>
        <w:numPr>
          <w:ilvl w:val="0"/>
          <w:numId w:val="3"/>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Recent Accounting Pronouncements</w:t>
      </w:r>
    </w:p>
    <w:p>
      <w:pPr>
        <w:spacing w:after="0" w:line="167"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In March 2020, the FASB issued Accounting Standards Update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June 30, 2023. The FASB approved an (optional) two year extension to December 31, 2024, for transitioning away from LIBOR. The Company utilized the optional expedients and exceptions provided by ASU 2020-04 during the three and nine months ended June 30, 2024, the effect of which was not material to the consolidated financial statements and the notes thereto.</w:t>
      </w:r>
    </w:p>
    <w:p>
      <w:pPr>
        <w:spacing w:after="0" w:line="130"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310 -40,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spacing w:after="0" w:line="130" w:lineRule="exact"/>
        <w:rPr>
          <w:sz w:val="20"/>
          <w:szCs w:val="20"/>
          <w:color w:val="auto"/>
        </w:rPr>
      </w:pPr>
    </w:p>
    <w:p>
      <w:pPr>
        <w:jc w:val="both"/>
        <w:ind w:right="100" w:firstLine="420"/>
        <w:spacing w:after="0" w:line="257" w:lineRule="auto"/>
        <w:rPr>
          <w:sz w:val="20"/>
          <w:szCs w:val="20"/>
          <w:color w:val="auto"/>
        </w:rPr>
      </w:pPr>
      <w:r>
        <w:rPr>
          <w:rFonts w:ascii="Times New Roman" w:cs="Times New Roman" w:eastAsia="Times New Roman" w:hAnsi="Times New Roman"/>
          <w:sz w:val="13"/>
          <w:szCs w:val="13"/>
          <w:color w:val="auto"/>
        </w:rPr>
        <w:t>In June 2022, the FASB issued ASU 2022-03, Fair Value Measurement (Topic 820): Fair Value Measurement of Equity Securities Subject to Contractual Sale Restrictions ("ASU 2022-03"), which changed the fair value measurement disclosure requirements of ASC Topic 820, Fair Value Measurements and Disclosures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32" w:lineRule="exact"/>
        <w:rPr>
          <w:sz w:val="20"/>
          <w:szCs w:val="20"/>
          <w:color w:val="auto"/>
        </w:rPr>
      </w:pPr>
    </w:p>
    <w:p>
      <w:pPr>
        <w:jc w:val="both"/>
        <w:ind w:right="440" w:firstLine="420"/>
        <w:spacing w:after="0" w:line="268" w:lineRule="auto"/>
        <w:rPr>
          <w:sz w:val="20"/>
          <w:szCs w:val="20"/>
          <w:color w:val="auto"/>
        </w:rPr>
      </w:pPr>
      <w:r>
        <w:rPr>
          <w:rFonts w:ascii="Times New Roman" w:cs="Times New Roman" w:eastAsia="Times New Roman" w:hAnsi="Times New Roman"/>
          <w:sz w:val="13"/>
          <w:szCs w:val="13"/>
          <w:color w:val="auto"/>
        </w:rPr>
        <w:t>In December 2023, the FASB issued ASU 2023 - 09 "Improvements to Income Tax Disclosures" ("ASU 2023 - 09"). ASU 2023 - 09 intends to improve the transparency of income tax disclosures. ASU 2023 - 09 is effective for fiscal years beginning after December 15, 2024 and is to be adopted on a prospective basis with the option to apply retrospectively. We are currently assessing the impact of this guidance, however, we do not expect a material impact to our financial statements.</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303" w:lineRule="exact"/>
        <w:rPr>
          <w:sz w:val="20"/>
          <w:szCs w:val="20"/>
          <w:color w:val="auto"/>
        </w:rPr>
      </w:pPr>
    </w:p>
    <w:p>
      <w:pPr>
        <w:ind w:left="140" w:hanging="134"/>
        <w:spacing w:after="0"/>
        <w:tabs>
          <w:tab w:leader="none" w:pos="14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AGREEMENTS AND RELATED PARTY TRANSACTIONS</w:t>
      </w:r>
    </w:p>
    <w:p>
      <w:pPr>
        <w:spacing w:after="0" w:line="160" w:lineRule="exact"/>
        <w:rPr>
          <w:rFonts w:ascii="Times New Roman" w:cs="Times New Roman" w:eastAsia="Times New Roman" w:hAnsi="Times New Roman"/>
          <w:sz w:val="13"/>
          <w:szCs w:val="13"/>
          <w:b w:val="1"/>
          <w:bCs w:val="1"/>
          <w:color w:val="auto"/>
        </w:rPr>
      </w:pPr>
    </w:p>
    <w:p>
      <w:pPr>
        <w:ind w:left="460" w:hanging="250"/>
        <w:spacing w:after="0"/>
        <w:tabs>
          <w:tab w:leader="none" w:pos="460" w:val="left"/>
        </w:tabs>
        <w:numPr>
          <w:ilvl w:val="1"/>
          <w:numId w:val="4"/>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Investment Management Agreement</w:t>
      </w:r>
    </w:p>
    <w:p>
      <w:pPr>
        <w:spacing w:after="0" w:line="167"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The Investment Management Agreement with the Investment Adviser was reapproved by our board of directors, including a majority of our directors who are not interested persons of us or the Investment Adviser, in May 2024. Under the Investment Management Agreement, the Investment Adviser, subject to the overall supervision of our board of directors, manages the day -to-day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SBIC II’s investment management agreement does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b w:val="1"/>
          <w:bCs w:val="1"/>
          <w:i w:val="1"/>
          <w:iCs w:val="1"/>
          <w:color w:val="auto"/>
        </w:rPr>
        <w:t>Base Management Fee</w:t>
      </w:r>
    </w:p>
    <w:p>
      <w:pPr>
        <w:spacing w:after="0" w:line="167"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2024, the Investment Adviser earned base management fees of $4.2 million and $12.4 million, respectively, from us. For the three and nine months ended June 30, 2023, the Investment Adviser earned base management fee of $4.0 million and $12.6 million respectively, from us.</w:t>
      </w:r>
    </w:p>
    <w:p>
      <w:pPr>
        <w:spacing w:after="0" w:line="28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b w:val="1"/>
          <w:bCs w:val="1"/>
          <w:i w:val="1"/>
          <w:iCs w:val="1"/>
          <w:color w:val="auto"/>
        </w:rPr>
        <w:t>Incentive Fee</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incentive fee has two parts, as follows:</w:t>
      </w:r>
    </w:p>
    <w:p>
      <w:pPr>
        <w:spacing w:after="0" w:line="127" w:lineRule="exact"/>
        <w:rPr>
          <w:sz w:val="20"/>
          <w:szCs w:val="20"/>
          <w:color w:val="auto"/>
        </w:rPr>
      </w:pPr>
    </w:p>
    <w:p>
      <w:pPr>
        <w:ind w:right="80" w:firstLine="420"/>
        <w:spacing w:after="0" w:line="253" w:lineRule="auto"/>
        <w:rPr>
          <w:sz w:val="20"/>
          <w:szCs w:val="20"/>
          <w:color w:val="auto"/>
        </w:rPr>
      </w:pPr>
      <w:r>
        <w:rPr>
          <w:rFonts w:ascii="Times New Roman" w:cs="Times New Roman" w:eastAsia="Times New Roman" w:hAnsi="Times New Roman"/>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w:t>
      </w:r>
    </w:p>
    <w:p>
      <w:pPr>
        <w:spacing w:after="0" w:line="102"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For the three and nine months ended June 30, 2024, the Investment Adviser earned $3.3 million and $9.7 million, respectively, in incentive fees on net investment income from us. For the three and nine months ended June 30, 2023, the Investment Adviser earned an incentive fee of $4.9 million and $10.6 million, respectively, in incentive fees on net investment income from us.</w:t>
      </w:r>
    </w:p>
    <w:p>
      <w:pPr>
        <w:spacing w:after="0" w:line="76"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w:t>
      </w:r>
      <w:r>
        <w:rPr>
          <w:rFonts w:ascii="Times New Roman" w:cs="Times New Roman" w:eastAsia="Times New Roman" w:hAnsi="Times New Roman"/>
          <w:sz w:val="13"/>
          <w:szCs w:val="13"/>
          <w:color w:val="auto"/>
          <w:strike w:val="1"/>
        </w:rPr>
        <w:t>,</w:t>
      </w:r>
      <w:r>
        <w:rPr>
          <w:rFonts w:ascii="Times New Roman" w:cs="Times New Roman" w:eastAsia="Times New Roman" w:hAnsi="Times New Roman"/>
          <w:sz w:val="13"/>
          <w:szCs w:val="13"/>
          <w:color w:val="auto"/>
        </w:rPr>
        <w:t xml:space="preserve">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nine months ended June 30, 2024 and 2023, the Investment Adviser did not accrue an incentive fee on capital gains as calculated under the Investment Management Agreement (as described above).</w:t>
      </w:r>
    </w:p>
    <w:p>
      <w:pPr>
        <w:spacing w:after="0" w:line="94" w:lineRule="exact"/>
        <w:rPr>
          <w:sz w:val="20"/>
          <w:szCs w:val="20"/>
          <w:color w:val="auto"/>
        </w:rPr>
      </w:pPr>
    </w:p>
    <w:p>
      <w:pPr>
        <w:ind w:right="80" w:firstLine="420"/>
        <w:spacing w:after="0" w:line="256" w:lineRule="auto"/>
        <w:rPr>
          <w:sz w:val="20"/>
          <w:szCs w:val="20"/>
          <w:color w:val="auto"/>
        </w:rPr>
      </w:pPr>
      <w:r>
        <w:rPr>
          <w:rFonts w:ascii="Times New Roman" w:cs="Times New Roman" w:eastAsia="Times New Roman" w:hAnsi="Times New Roman"/>
          <w:sz w:val="13"/>
          <w:szCs w:val="13"/>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any. If such amount is negative, then there is no accrual for such year. There can be no assurance that such unrealized capital appreciation will be realized in the future. For each of the three and nine months ended June 30, 2024 and 2023, the Investment Adviser did not accrue an incentive fee on capital gains as calculated under GAAP.</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7" w:name="page28"/>
    <w:bookmarkEnd w:id="27"/>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1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i w:val="1"/>
          <w:iCs w:val="1"/>
          <w:color w:val="auto"/>
        </w:rPr>
        <w:t>(b) Administration Agreement</w:t>
      </w:r>
    </w:p>
    <w:p>
      <w:pPr>
        <w:spacing w:after="0" w:line="167"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The Administration Agreement with the Administrator was reapproved by our board of directors, including a majority of our directors who are not interested persons of us, in May 2024. Under the Administration Agreement, the Administrator provides administrative services and office facilities to us. For providing these services, facilities and personnel,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Financial Officer, Chief Compliance Officer, Corporate Counsel and their respective staffs. The amount billed by the Administrator may include credits related to its administrative agreement with PSLF.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nine months ended June 30, 2024, we recorded the Investment Administrator expense of approximately $0.5 million and $1.2 million, respectively, for the services described above. For the three and nine months ended June 30, 2023, we recorded the Investment Administrator expense of approximately $0.8 million and $1.4 million, respectively, for the services described above.</w:t>
      </w:r>
    </w:p>
    <w:p>
      <w:pPr>
        <w:spacing w:after="0" w:line="134"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or its affiliates on matters related to potential or actual investments and transactions, including tax structuring and/or due diligence.</w:t>
      </w:r>
    </w:p>
    <w:p>
      <w:pPr>
        <w:spacing w:after="0" w:line="1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i w:val="1"/>
          <w:iCs w:val="1"/>
          <w:color w:val="auto"/>
        </w:rPr>
        <w:t>(c) Other Related Party Transactions</w:t>
      </w:r>
    </w:p>
    <w:p>
      <w:pPr>
        <w:spacing w:after="0" w:line="167"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The Company, the Investment Adviser and certain other affiliates have been granted an order for exemptive relief by the SEC for the Company to co- invest with other funds managed by the Investment Adviser. If we co-invest with other affiliated funds, our Investment Adviser would not receive compensation except to the extent permitted by the exemptive order and applicable law, including the limitations set forth in Section 57(k) of the 1940 Act.</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There were no transactions subject to Rule 17a-7 under the 1940 Act during each of the three and nine months ended June 30, 2024 and 2023.</w:t>
      </w:r>
    </w:p>
    <w:p>
      <w:pPr>
        <w:spacing w:after="0" w:line="163"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For the three and nine months ended June 30, 2024, we sold $37.8 million and $191.8 million in investments to PSLF at fair value, respectively, and recognized less than $0.1 million and less than $0.1 million of net realized gains, respectively. For the three and nine months ended June 30, 2023, we sold $61.8 million and $80.2 million in investments to PSLF at fair value, respectively, and recognized less than $0.2 million and less than $0.3 million of net realized gains, respectively.</w:t>
      </w:r>
    </w:p>
    <w:p>
      <w:pPr>
        <w:spacing w:after="0" w:line="123" w:lineRule="exact"/>
        <w:rPr>
          <w:sz w:val="20"/>
          <w:szCs w:val="20"/>
          <w:color w:val="auto"/>
        </w:rPr>
      </w:pPr>
    </w:p>
    <w:p>
      <w:pPr>
        <w:ind w:right="260" w:firstLine="420"/>
        <w:spacing w:after="0" w:line="286" w:lineRule="auto"/>
        <w:rPr>
          <w:sz w:val="20"/>
          <w:szCs w:val="20"/>
          <w:color w:val="auto"/>
        </w:rPr>
      </w:pPr>
      <w:r>
        <w:rPr>
          <w:rFonts w:ascii="Times New Roman" w:cs="Times New Roman" w:eastAsia="Times New Roman" w:hAnsi="Times New Roman"/>
          <w:sz w:val="13"/>
          <w:szCs w:val="13"/>
          <w:color w:val="auto"/>
        </w:rPr>
        <w:t>For the three and nine months ended June 30, 2024, we sold zero in investments to PTSF II at fair value, respectively, and recognized zero of net realized gains, respectively. For the three and nine months ended June 30, 2023, we sold zero in investments to PTSF II at fair value, respectively, and recognized zero of net realized gains, respectively.</w:t>
      </w:r>
    </w:p>
    <w:p>
      <w:pPr>
        <w:spacing w:after="0" w:line="112" w:lineRule="exact"/>
        <w:rPr>
          <w:sz w:val="20"/>
          <w:szCs w:val="20"/>
          <w:color w:val="auto"/>
        </w:rPr>
      </w:pPr>
    </w:p>
    <w:p>
      <w:pPr>
        <w:ind w:right="520" w:firstLine="420"/>
        <w:spacing w:after="0" w:line="286" w:lineRule="auto"/>
        <w:rPr>
          <w:sz w:val="20"/>
          <w:szCs w:val="20"/>
          <w:color w:val="auto"/>
        </w:rPr>
      </w:pPr>
      <w:r>
        <w:rPr>
          <w:rFonts w:ascii="Times New Roman" w:cs="Times New Roman" w:eastAsia="Times New Roman" w:hAnsi="Times New Roman"/>
          <w:sz w:val="13"/>
          <w:szCs w:val="13"/>
          <w:color w:val="auto"/>
        </w:rPr>
        <w:t>As of June 30, 2024 and September 30, 2023, PNNT had a payable to PSLF and PTSF II of less than $0.1 million and $4.1 million, respectively, presented as a due to affiliates on the consolidated statement of assets and liabilities. These amounts are related to cash owed to PSLF and PTSF II from PNNT in connection with trades between the funds.</w:t>
      </w:r>
    </w:p>
    <w:p>
      <w:pPr>
        <w:spacing w:after="0" w:line="112" w:lineRule="exact"/>
        <w:rPr>
          <w:sz w:val="20"/>
          <w:szCs w:val="20"/>
          <w:color w:val="auto"/>
        </w:rPr>
      </w:pPr>
    </w:p>
    <w:p>
      <w:pPr>
        <w:ind w:right="540" w:firstLine="420"/>
        <w:spacing w:after="0" w:line="286" w:lineRule="auto"/>
        <w:rPr>
          <w:sz w:val="20"/>
          <w:szCs w:val="20"/>
          <w:color w:val="auto"/>
        </w:rPr>
      </w:pPr>
      <w:r>
        <w:rPr>
          <w:rFonts w:ascii="Times New Roman" w:cs="Times New Roman" w:eastAsia="Times New Roman" w:hAnsi="Times New Roman"/>
          <w:sz w:val="13"/>
          <w:szCs w:val="13"/>
          <w:color w:val="auto"/>
        </w:rPr>
        <w:t>As of June 30, 2024 and September 30, 2023, PNNT had a receivable from Administrator of $0.1 million and zero, respectively, presented as a due from affiliates on the consolidated statement of assets and liabilities. These amounts are related to agency fees collected on behalf of the Company.</w:t>
      </w: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28" w:name="page29"/>
    <w:bookmarkEnd w:id="28"/>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 INVESTMENTS</w:t>
      </w:r>
    </w:p>
    <w:p>
      <w:pPr>
        <w:spacing w:after="0" w:line="165" w:lineRule="exact"/>
        <w:rPr>
          <w:sz w:val="20"/>
          <w:szCs w:val="20"/>
          <w:color w:val="auto"/>
        </w:rPr>
      </w:pPr>
    </w:p>
    <w:p>
      <w:pPr>
        <w:ind w:right="200" w:firstLine="420"/>
        <w:spacing w:after="0" w:line="262" w:lineRule="auto"/>
        <w:rPr>
          <w:sz w:val="20"/>
          <w:szCs w:val="20"/>
          <w:color w:val="auto"/>
        </w:rPr>
      </w:pPr>
      <w:r>
        <w:rPr>
          <w:rFonts w:ascii="Times New Roman" w:cs="Times New Roman" w:eastAsia="Times New Roman" w:hAnsi="Times New Roman"/>
          <w:sz w:val="13"/>
          <w:szCs w:val="13"/>
          <w:color w:val="auto"/>
        </w:rPr>
        <w:t>Purchases of investments, including PIK interest, for the three and nine months ended June 30, 2024 totaled $225.8 million and $757.0 million, respectively. For the three and nine months ended June 30, 2023, purchases of investments, including PIK interest, totaled $70.5 million and $216.8 million. Sales and repayments of investments for the three and nine months ended June 30, 2024 totaled $192.6 million and $589.4 million, respectively. For the three and nine months ended June 30, 2023, sales and repayments of investments totaled $135.7 million and $280.5 million, respectively.</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Investments and cash and cash equivalents consisted of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gridSpan w:val="5"/>
          </w:tcPr>
          <w:p>
            <w:pPr>
              <w:ind w:left="62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84"/>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Investment Classification </w:t>
            </w:r>
            <w:r>
              <w:rPr>
                <w:rFonts w:ascii="Times New Roman" w:cs="Times New Roman" w:eastAsia="Times New Roman" w:hAnsi="Times New Roman"/>
                <w:sz w:val="13"/>
                <w:szCs w:val="13"/>
                <w:color w:val="auto"/>
              </w:rPr>
              <w:t>($ in thousands)</w:t>
            </w:r>
          </w:p>
        </w:tc>
        <w:tc>
          <w:tcPr>
            <w:tcW w:w="340" w:type="dxa"/>
            <w:vAlign w:val="bottom"/>
          </w:tcPr>
          <w:p>
            <w:pPr>
              <w:spacing w:after="0"/>
              <w:rPr>
                <w:sz w:val="16"/>
                <w:szCs w:val="16"/>
                <w:color w:val="auto"/>
              </w:rPr>
            </w:pPr>
          </w:p>
        </w:tc>
        <w:tc>
          <w:tcPr>
            <w:tcW w:w="108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84"/>
        </w:trPr>
        <w:tc>
          <w:tcPr>
            <w:tcW w:w="4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704,300</w:t>
            </w:r>
          </w:p>
        </w:tc>
        <w:tc>
          <w:tcPr>
            <w:tcW w:w="5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675,906</w:t>
            </w:r>
          </w:p>
        </w:tc>
        <w:tc>
          <w:tcPr>
            <w:tcW w:w="5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538,737</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527,657</w:t>
            </w:r>
          </w:p>
        </w:tc>
        <w:tc>
          <w:tcPr>
            <w:tcW w:w="80" w:type="dxa"/>
            <w:vAlign w:val="bottom"/>
            <w:shd w:val="clear" w:color="auto" w:fill="CCECFF"/>
          </w:tcPr>
          <w:p>
            <w:pPr>
              <w:spacing w:after="0"/>
              <w:rPr>
                <w:sz w:val="16"/>
                <w:szCs w:val="16"/>
                <w:color w:val="auto"/>
              </w:rPr>
            </w:pPr>
          </w:p>
        </w:tc>
      </w:tr>
      <w:tr>
        <w:trPr>
          <w:trHeight w:val="176"/>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Government Securities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59,820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59,808</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99,768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80" w:type="dxa"/>
            <w:vAlign w:val="bottom"/>
          </w:tcPr>
          <w:p>
            <w:pPr>
              <w:spacing w:after="0"/>
              <w:rPr>
                <w:sz w:val="15"/>
                <w:szCs w:val="15"/>
                <w:color w:val="auto"/>
              </w:rPr>
            </w:pPr>
          </w:p>
        </w:tc>
      </w:tr>
      <w:tr>
        <w:trPr>
          <w:trHeight w:val="184"/>
        </w:trPr>
        <w:tc>
          <w:tcPr>
            <w:tcW w:w="4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34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67,165</w:t>
            </w:r>
          </w:p>
        </w:tc>
        <w:tc>
          <w:tcPr>
            <w:tcW w:w="2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65,575</w:t>
            </w:r>
          </w:p>
        </w:tc>
        <w:tc>
          <w:tcPr>
            <w:tcW w:w="2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96,759</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80,396</w:t>
            </w:r>
          </w:p>
        </w:tc>
        <w:tc>
          <w:tcPr>
            <w:tcW w:w="80" w:type="dxa"/>
            <w:vAlign w:val="bottom"/>
            <w:shd w:val="clear" w:color="auto" w:fill="CCECFF"/>
          </w:tcPr>
          <w:p>
            <w:pPr>
              <w:spacing w:after="0"/>
              <w:rPr>
                <w:sz w:val="16"/>
                <w:szCs w:val="16"/>
                <w:color w:val="auto"/>
              </w:rPr>
            </w:pPr>
          </w:p>
        </w:tc>
      </w:tr>
      <w:tr>
        <w:trPr>
          <w:trHeight w:val="176"/>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Subordinated debt / corporate notes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47,090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47,790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54,897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53,897</w:t>
            </w:r>
          </w:p>
        </w:tc>
        <w:tc>
          <w:tcPr>
            <w:tcW w:w="80" w:type="dxa"/>
            <w:vAlign w:val="bottom"/>
          </w:tcPr>
          <w:p>
            <w:pPr>
              <w:spacing w:after="0"/>
              <w:rPr>
                <w:sz w:val="15"/>
                <w:szCs w:val="15"/>
                <w:color w:val="auto"/>
              </w:rPr>
            </w:pPr>
          </w:p>
        </w:tc>
      </w:tr>
      <w:tr>
        <w:trPr>
          <w:trHeight w:val="184"/>
        </w:trPr>
        <w:tc>
          <w:tcPr>
            <w:tcW w:w="4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Subordinated notes in PSLF</w:t>
            </w:r>
          </w:p>
        </w:tc>
        <w:tc>
          <w:tcPr>
            <w:tcW w:w="34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115,885</w:t>
            </w:r>
          </w:p>
        </w:tc>
        <w:tc>
          <w:tcPr>
            <w:tcW w:w="2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115,885</w:t>
            </w:r>
          </w:p>
        </w:tc>
        <w:tc>
          <w:tcPr>
            <w:tcW w:w="2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102,325</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102,325</w:t>
            </w:r>
          </w:p>
        </w:tc>
        <w:tc>
          <w:tcPr>
            <w:tcW w:w="80" w:type="dxa"/>
            <w:vAlign w:val="bottom"/>
            <w:shd w:val="clear" w:color="auto" w:fill="CCECFF"/>
          </w:tcPr>
          <w:p>
            <w:pPr>
              <w:spacing w:after="0"/>
              <w:rPr>
                <w:sz w:val="16"/>
                <w:szCs w:val="16"/>
                <w:color w:val="auto"/>
              </w:rPr>
            </w:pPr>
          </w:p>
        </w:tc>
      </w:tr>
      <w:tr>
        <w:trPr>
          <w:trHeight w:val="176"/>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191,290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225,193</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166,798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175,538</w:t>
            </w:r>
          </w:p>
        </w:tc>
        <w:tc>
          <w:tcPr>
            <w:tcW w:w="80" w:type="dxa"/>
            <w:vAlign w:val="bottom"/>
          </w:tcPr>
          <w:p>
            <w:pPr>
              <w:spacing w:after="0"/>
              <w:rPr>
                <w:sz w:val="15"/>
                <w:szCs w:val="15"/>
                <w:color w:val="auto"/>
              </w:rPr>
            </w:pPr>
          </w:p>
        </w:tc>
      </w:tr>
      <w:tr>
        <w:trPr>
          <w:trHeight w:val="184"/>
        </w:trPr>
        <w:tc>
          <w:tcPr>
            <w:tcW w:w="4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 in PSLF</w:t>
            </w:r>
          </w:p>
        </w:tc>
        <w:tc>
          <w:tcPr>
            <w:tcW w:w="34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67,436</w:t>
            </w:r>
          </w:p>
        </w:tc>
        <w:tc>
          <w:tcPr>
            <w:tcW w:w="2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69,718</w:t>
            </w:r>
          </w:p>
        </w:tc>
        <w:tc>
          <w:tcPr>
            <w:tcW w:w="2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58,643</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62,083</w:t>
            </w:r>
          </w:p>
        </w:tc>
        <w:tc>
          <w:tcPr>
            <w:tcW w:w="80" w:type="dxa"/>
            <w:vAlign w:val="bottom"/>
            <w:shd w:val="clear" w:color="auto" w:fill="CCECFF"/>
          </w:tcPr>
          <w:p>
            <w:pPr>
              <w:spacing w:after="0"/>
              <w:rPr>
                <w:sz w:val="16"/>
                <w:szCs w:val="16"/>
                <w:color w:val="auto"/>
              </w:rPr>
            </w:pPr>
          </w:p>
        </w:tc>
      </w:tr>
      <w:tr>
        <w:trPr>
          <w:trHeight w:val="176"/>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1,252,986</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1,259,875</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1,117,927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1,101,647</w:t>
            </w:r>
          </w:p>
        </w:tc>
        <w:tc>
          <w:tcPr>
            <w:tcW w:w="80" w:type="dxa"/>
            <w:vAlign w:val="bottom"/>
          </w:tcPr>
          <w:p>
            <w:pPr>
              <w:spacing w:after="0"/>
              <w:rPr>
                <w:sz w:val="15"/>
                <w:szCs w:val="15"/>
                <w:color w:val="auto"/>
              </w:rPr>
            </w:pPr>
          </w:p>
        </w:tc>
      </w:tr>
      <w:tr>
        <w:trPr>
          <w:trHeight w:val="184"/>
        </w:trPr>
        <w:tc>
          <w:tcPr>
            <w:tcW w:w="4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4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59,151</w:t>
            </w:r>
          </w:p>
        </w:tc>
        <w:tc>
          <w:tcPr>
            <w:tcW w:w="2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59,152</w:t>
            </w:r>
          </w:p>
        </w:tc>
        <w:tc>
          <w:tcPr>
            <w:tcW w:w="2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38,784</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80" w:type="dxa"/>
            <w:vAlign w:val="bottom"/>
            <w:shd w:val="clear" w:color="auto" w:fill="CCECFF"/>
          </w:tcPr>
          <w:p>
            <w:pPr>
              <w:spacing w:after="0"/>
              <w:rPr>
                <w:sz w:val="16"/>
                <w:szCs w:val="16"/>
                <w:color w:val="auto"/>
              </w:rPr>
            </w:pPr>
          </w:p>
        </w:tc>
      </w:tr>
      <w:tr>
        <w:trPr>
          <w:trHeight w:val="176"/>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1,312,137</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1,319,027</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1,156,711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1,140,422</w:t>
            </w:r>
          </w:p>
        </w:tc>
        <w:tc>
          <w:tcPr>
            <w:tcW w:w="80" w:type="dxa"/>
            <w:vAlign w:val="bottom"/>
          </w:tcPr>
          <w:p>
            <w:pPr>
              <w:spacing w:after="0"/>
              <w:rPr>
                <w:sz w:val="15"/>
                <w:szCs w:val="15"/>
                <w:color w:val="auto"/>
              </w:rPr>
            </w:pPr>
          </w:p>
        </w:tc>
      </w:tr>
      <w:tr>
        <w:trPr>
          <w:trHeight w:val="20"/>
        </w:trPr>
        <w:tc>
          <w:tcPr>
            <w:tcW w:w="4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40" w:firstLine="420"/>
        <w:spacing w:after="0" w:line="286" w:lineRule="auto"/>
        <w:rPr>
          <w:sz w:val="20"/>
          <w:szCs w:val="20"/>
          <w:color w:val="auto"/>
        </w:rPr>
      </w:pPr>
      <w:r>
        <w:rPr>
          <w:rFonts w:ascii="Times New Roman" w:cs="Times New Roman" w:eastAsia="Times New Roman" w:hAnsi="Times New Roman"/>
          <w:sz w:val="13"/>
          <w:szCs w:val="13"/>
          <w:color w:val="auto"/>
        </w:rPr>
        <w:t>The table below describes investments by industry classification and enumerates the percentage, by fair value, of the total portfolio assets (excluding cash and cash equivalents) in such industries as of:</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Industry Classification</w:t>
            </w:r>
          </w:p>
        </w:tc>
        <w:tc>
          <w:tcPr>
            <w:tcW w:w="228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 xml:space="preserve">June 30, 2024 </w:t>
            </w:r>
            <w:r>
              <w:rPr>
                <w:rFonts w:ascii="Times New Roman" w:cs="Times New Roman" w:eastAsia="Times New Roman" w:hAnsi="Times New Roman"/>
                <w:sz w:val="16"/>
                <w:szCs w:val="16"/>
                <w:b w:val="1"/>
                <w:bCs w:val="1"/>
                <w:color w:val="auto"/>
                <w:vertAlign w:val="superscript"/>
              </w:rPr>
              <w:t>(1)</w:t>
            </w:r>
          </w:p>
        </w:tc>
        <w:tc>
          <w:tcPr>
            <w:tcW w:w="460" w:type="dxa"/>
            <w:vAlign w:val="bottom"/>
          </w:tcPr>
          <w:p>
            <w:pPr>
              <w:spacing w:after="0"/>
              <w:rPr>
                <w:sz w:val="16"/>
                <w:szCs w:val="16"/>
                <w:color w:val="auto"/>
              </w:rPr>
            </w:pPr>
          </w:p>
        </w:tc>
        <w:tc>
          <w:tcPr>
            <w:tcW w:w="224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 xml:space="preserve">September 30, 2023 </w:t>
            </w:r>
            <w:r>
              <w:rPr>
                <w:rFonts w:ascii="Times New Roman" w:cs="Times New Roman" w:eastAsia="Times New Roman" w:hAnsi="Times New Roman"/>
                <w:sz w:val="16"/>
                <w:szCs w:val="16"/>
                <w:b w:val="1"/>
                <w:bCs w:val="1"/>
                <w:color w:val="auto"/>
                <w:vertAlign w:val="superscript"/>
              </w:rPr>
              <w:t>(1)</w:t>
            </w:r>
          </w:p>
        </w:tc>
        <w:tc>
          <w:tcPr>
            <w:tcW w:w="300" w:type="dxa"/>
            <w:vAlign w:val="bottom"/>
          </w:tcPr>
          <w:p>
            <w:pPr>
              <w:spacing w:after="0"/>
              <w:rPr>
                <w:sz w:val="16"/>
                <w:szCs w:val="16"/>
                <w:color w:val="auto"/>
              </w:rPr>
            </w:pPr>
          </w:p>
        </w:tc>
      </w:tr>
      <w:tr>
        <w:trPr>
          <w:trHeight w:val="180"/>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Distribution</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46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0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Business Services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Healthcare, Education and Childcare</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 Products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Financial Services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Short-Term U.S. Government Securities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Aerospace and Defense</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 Sector</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Media</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Telecommunications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Environmental Services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Chemicals, Plastics and Rubber</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Electronics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Building Materials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Personal, Food and Miscellaneous Services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Education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Buildings and Real Estate</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Diversified Conglomerate Service</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Insurance</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Transportation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5"/>
                <w:szCs w:val="15"/>
                <w:color w:val="auto"/>
              </w:rPr>
            </w:pPr>
          </w:p>
        </w:tc>
      </w:tr>
      <w:tr>
        <w:trPr>
          <w:trHeight w:val="184"/>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Personal and Non-Durable Consumer Products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shd w:val="clear" w:color="auto" w:fill="CCECFF"/>
          </w:tcPr>
          <w:p>
            <w:pPr>
              <w:spacing w:after="0"/>
              <w:rPr>
                <w:sz w:val="16"/>
                <w:szCs w:val="16"/>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shd w:val="clear" w:color="auto" w:fill="CCEC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00" w:type="dxa"/>
            <w:vAlign w:val="bottom"/>
          </w:tcPr>
          <w:p>
            <w:pPr>
              <w:spacing w:after="0"/>
              <w:rPr>
                <w:sz w:val="15"/>
                <w:szCs w:val="15"/>
                <w:color w:val="auto"/>
              </w:rPr>
            </w:pPr>
          </w:p>
        </w:tc>
      </w:tr>
      <w:tr>
        <w:trPr>
          <w:trHeight w:val="224"/>
        </w:trPr>
        <w:tc>
          <w:tcPr>
            <w:tcW w:w="5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460" w:type="dxa"/>
            <w:vAlign w:val="bottom"/>
            <w:tcBorders>
              <w:bottom w:val="single" w:sz="8" w:color="CCECFF"/>
            </w:tcBorders>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300" w:type="dxa"/>
            <w:vAlign w:val="bottom"/>
            <w:tcBorders>
              <w:bottom w:val="single" w:sz="8" w:color="CCECFF"/>
            </w:tcBorders>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Excludes investments in PSLF.</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9" w:name="page30"/>
    <w:bookmarkEnd w:id="29"/>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165" w:lineRule="exact"/>
        <w:rPr>
          <w:sz w:val="20"/>
          <w:szCs w:val="20"/>
          <w:color w:val="auto"/>
        </w:rPr>
      </w:pPr>
    </w:p>
    <w:p>
      <w:pPr>
        <w:ind w:right="180" w:firstLine="420"/>
        <w:spacing w:after="0" w:line="258" w:lineRule="auto"/>
        <w:rPr>
          <w:sz w:val="20"/>
          <w:szCs w:val="20"/>
          <w:color w:val="auto"/>
        </w:rPr>
      </w:pPr>
      <w:r>
        <w:rPr>
          <w:rFonts w:ascii="Times New Roman" w:cs="Times New Roman" w:eastAsia="Times New Roman" w:hAnsi="Times New Roman"/>
          <w:sz w:val="13"/>
          <w:szCs w:val="13"/>
          <w:color w:val="auto"/>
        </w:rPr>
        <w:t>In July 2020, we and Pantheon formed PSLF, an unconsolidated joint venture. PSLF invests primarily in middle-market and other corporate debt securities consistent with its strategy. PSLF was formed as a Delaware limited liability company. As of June 30, 2024 and September 30, 2023, PSLF had total assets of $977.0 million and $872.8 million, respectively and its investment portfolio consisted of debt investments in 101 and 90 portfolio companies, respectively. As of the same dates, we and Pantheon had remaining commitments to fund subordinated debt of zero and</w:t>
      </w:r>
    </w:p>
    <w:p>
      <w:pPr>
        <w:ind w:right="160"/>
        <w:spacing w:after="0" w:line="257" w:lineRule="auto"/>
        <w:rPr>
          <w:sz w:val="20"/>
          <w:szCs w:val="20"/>
          <w:color w:val="auto"/>
        </w:rPr>
      </w:pPr>
      <w:r>
        <w:rPr>
          <w:rFonts w:ascii="Times New Roman" w:cs="Times New Roman" w:eastAsia="Times New Roman" w:hAnsi="Times New Roman"/>
          <w:sz w:val="13"/>
          <w:szCs w:val="13"/>
          <w:color w:val="auto"/>
        </w:rPr>
        <w:t>$22.4 million, respectively, and equity interest of zero and $14.5 million, respectively, in PSLF. As of June 30, 2024, at fair value, the largest investment in a single portfolio company in PSLF was $21.5 million and the five largest investments totaled $100.1 million. As of September 30, 2023, at fair value, the largest investment in a single portfolio company in PSLF was $19.7 million and the five largest investments totaled $97.5 million. PSLF invests in portfolio companies in the same industries in which we may directly invest.</w:t>
      </w:r>
    </w:p>
    <w:p>
      <w:pPr>
        <w:spacing w:after="0" w:line="130" w:lineRule="exact"/>
        <w:rPr>
          <w:sz w:val="20"/>
          <w:szCs w:val="20"/>
          <w:color w:val="auto"/>
        </w:rPr>
      </w:pPr>
    </w:p>
    <w:p>
      <w:pPr>
        <w:jc w:val="both"/>
        <w:ind w:right="180" w:firstLine="420"/>
        <w:spacing w:after="0" w:line="268" w:lineRule="auto"/>
        <w:rPr>
          <w:sz w:val="20"/>
          <w:szCs w:val="20"/>
          <w:color w:val="auto"/>
        </w:rPr>
      </w:pPr>
      <w:r>
        <w:rPr>
          <w:rFonts w:ascii="Times New Roman" w:cs="Times New Roman" w:eastAsia="Times New Roman" w:hAnsi="Times New Roman"/>
          <w:sz w:val="13"/>
          <w:szCs w:val="13"/>
          <w:color w:val="auto"/>
        </w:rPr>
        <w:t>We provide capital to PSLF in the form of subordinated notes and equity interests. As of June 30, 2024 and September 30, 2023, we and Pantheon owned 60.5% and 39.5%, respectively, of each of the outstanding subordinated notes and equity interests of PSLF. As of June 30, 2024 and September 30, 2023, our investment in PSLF consisted of subordinated notes of $115.9 million and $102.3 million, respectively, and equity interests of $67.4 million and $58.6 million, respectively.</w:t>
      </w:r>
    </w:p>
    <w:p>
      <w:pPr>
        <w:spacing w:after="0" w:line="123"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132" w:lineRule="exact"/>
        <w:rPr>
          <w:sz w:val="20"/>
          <w:szCs w:val="20"/>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Additionally, PSLF, through its wholly -owned subsidiary, has entered into a $325.0 million (increased from $225.0 million on September 2, 2022) senior secured revolving credit facility, with BNP Paribas, which bears interest at SOFR (or an alternative risk-free interest rate index) plus 260 basis points during the investment period and is subject to leverage and borrowing base restrictions.</w:t>
      </w:r>
    </w:p>
    <w:p>
      <w:pPr>
        <w:spacing w:after="0" w:line="112" w:lineRule="exact"/>
        <w:rPr>
          <w:sz w:val="20"/>
          <w:szCs w:val="20"/>
          <w:color w:val="auto"/>
        </w:rPr>
      </w:pPr>
    </w:p>
    <w:p>
      <w:pPr>
        <w:ind w:right="80" w:firstLine="420"/>
        <w:spacing w:after="0" w:line="257" w:lineRule="auto"/>
        <w:rPr>
          <w:sz w:val="20"/>
          <w:szCs w:val="20"/>
          <w:color w:val="auto"/>
        </w:rPr>
      </w:pPr>
      <w:r>
        <w:rPr>
          <w:rFonts w:ascii="Times New Roman" w:cs="Times New Roman" w:eastAsia="Times New Roman" w:hAnsi="Times New Roman"/>
          <w:sz w:val="13"/>
          <w:szCs w:val="13"/>
          <w:color w:val="auto"/>
        </w:rPr>
        <w:t>In March 2022, PSLF completed a $304.0 million debt securitization in the form of a collateralized loan obligation, or the “2034 Asset-Backed Debt”. The 2034 Asset-Backed Debt is secured by a diversified portfolio of PennantPark CLO IV, LLC., a wholly- 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 As of June 30, 2024 and September 30, 2023, there was $246.0 million of external 2034 Asset-Back Debt.</w:t>
      </w:r>
    </w:p>
    <w:p>
      <w:pPr>
        <w:spacing w:after="0" w:line="132" w:lineRule="exact"/>
        <w:rPr>
          <w:sz w:val="20"/>
          <w:szCs w:val="20"/>
          <w:color w:val="auto"/>
        </w:rPr>
      </w:pPr>
    </w:p>
    <w:p>
      <w:pPr>
        <w:ind w:right="60" w:firstLine="420"/>
        <w:spacing w:after="0" w:line="255" w:lineRule="auto"/>
        <w:rPr>
          <w:sz w:val="20"/>
          <w:szCs w:val="20"/>
          <w:color w:val="auto"/>
        </w:rPr>
      </w:pPr>
      <w:r>
        <w:rPr>
          <w:rFonts w:ascii="Times New Roman" w:cs="Times New Roman" w:eastAsia="Times New Roman" w:hAnsi="Times New Roman"/>
          <w:sz w:val="13"/>
          <w:szCs w:val="13"/>
          <w:color w:val="auto"/>
        </w:rPr>
        <w:t>On July 26, 2023, CLO VII , LLC ("CLO VII") completed a $300 million debt securitization in the form of a collateralized loan obligation (the "2035 Debt Securitization" or "2035 Asset-Backed Debt"). The 2035 Asset-Backed Debt is secured by a diversified portfolio consisting primarily of middle market loans. The 2035 Debt Securitization was executed through a private placement of: (i) $ 151.0 million Class A-1a Notes maturing 2035, which bear interest at the three-month SOFR plus 2.7%, (ii) $20.0 million Class A-1b Loans 2035, which bear interest at 6.5%, (iii) $12.0 million Class A-2 Senior Secured Floating Rate Notes due 2035, which bear interest at the three-month SOFR plus 3.2%, (iv) $ 21.0 million Class B Senior Secured Floating Rate Notes due 2035, which bear interest at the three-month SOFR plus 4.1%, (v) $24.0 million Class C Secured Deferrable Floating Rate Notes due 2035, which bear interest at the three-month SOFR plus 4.7%, (vi)</w:t>
      </w:r>
    </w:p>
    <w:p>
      <w:pPr>
        <w:ind w:right="380"/>
        <w:spacing w:after="0" w:line="263" w:lineRule="auto"/>
        <w:rPr>
          <w:sz w:val="20"/>
          <w:szCs w:val="20"/>
          <w:color w:val="auto"/>
        </w:rPr>
      </w:pPr>
      <w:r>
        <w:rPr>
          <w:rFonts w:ascii="Times New Roman" w:cs="Times New Roman" w:eastAsia="Times New Roman" w:hAnsi="Times New Roman"/>
          <w:sz w:val="13"/>
          <w:szCs w:val="13"/>
          <w:color w:val="auto"/>
        </w:rPr>
        <w:t>$18.0 million Class D Secured Deferrable Floating Rate Notes due 2035, which bear interest at the three-month SOFR plus 7.0%. As of June 30, 2024 and September 30, 2023, there was $246.0 million of external 2035 Asset-Backed Debt.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4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is a summary of PSLF’s portfolio at fair value:</w:t>
            </w:r>
          </w:p>
        </w:tc>
        <w:tc>
          <w:tcPr>
            <w:tcW w:w="2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4"/>
        </w:trPr>
        <w:tc>
          <w:tcPr>
            <w:tcW w:w="53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6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thousands)</w:t>
            </w:r>
          </w:p>
        </w:tc>
        <w:tc>
          <w:tcPr>
            <w:tcW w:w="2140" w:type="dxa"/>
            <w:vAlign w:val="bottom"/>
          </w:tcPr>
          <w:p>
            <w:pPr>
              <w:spacing w:after="0"/>
              <w:rPr>
                <w:sz w:val="15"/>
                <w:szCs w:val="15"/>
                <w:color w:val="auto"/>
              </w:rPr>
            </w:pPr>
          </w:p>
        </w:tc>
        <w:tc>
          <w:tcPr>
            <w:tcW w:w="146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20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84"/>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1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926,103</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804,187</w:t>
            </w:r>
          </w:p>
        </w:tc>
        <w:tc>
          <w:tcPr>
            <w:tcW w:w="40" w:type="dxa"/>
            <w:vAlign w:val="bottom"/>
          </w:tcPr>
          <w:p>
            <w:pPr>
              <w:spacing w:after="0"/>
              <w:rPr>
                <w:sz w:val="16"/>
                <w:szCs w:val="16"/>
                <w:color w:val="auto"/>
              </w:rPr>
            </w:pPr>
          </w:p>
        </w:tc>
      </w:tr>
      <w:tr>
        <w:trPr>
          <w:trHeight w:val="176"/>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2140" w:type="dxa"/>
            <w:vAlign w:val="bottom"/>
          </w:tcPr>
          <w:p>
            <w:pPr>
              <w:spacing w:after="0"/>
              <w:rPr>
                <w:sz w:val="15"/>
                <w:szCs w:val="15"/>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11.8 %</w:t>
            </w:r>
          </w:p>
        </w:tc>
        <w:tc>
          <w:tcPr>
            <w:tcW w:w="20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12.1 %</w:t>
            </w:r>
          </w:p>
        </w:tc>
      </w:tr>
      <w:tr>
        <w:trPr>
          <w:trHeight w:val="184"/>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Number of portfolio companies in PSLF</w:t>
            </w:r>
          </w:p>
        </w:tc>
        <w:tc>
          <w:tcPr>
            <w:tcW w:w="2140" w:type="dxa"/>
            <w:vAlign w:val="bottom"/>
            <w:shd w:val="clear" w:color="auto" w:fill="CCECFF"/>
          </w:tcPr>
          <w:p>
            <w:pPr>
              <w:spacing w:after="0"/>
              <w:rPr>
                <w:sz w:val="16"/>
                <w:szCs w:val="16"/>
                <w:color w:val="auto"/>
              </w:rPr>
            </w:pPr>
          </w:p>
        </w:tc>
        <w:tc>
          <w:tcPr>
            <w:tcW w:w="146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101</w:t>
            </w:r>
          </w:p>
        </w:tc>
        <w:tc>
          <w:tcPr>
            <w:tcW w:w="200" w:type="dxa"/>
            <w:vAlign w:val="bottom"/>
            <w:shd w:val="clear" w:color="auto" w:fill="CCECFF"/>
          </w:tcPr>
          <w:p>
            <w:pPr>
              <w:spacing w:after="0"/>
              <w:rPr>
                <w:sz w:val="16"/>
                <w:szCs w:val="16"/>
                <w:color w:val="auto"/>
              </w:rPr>
            </w:pP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90</w:t>
            </w:r>
          </w:p>
        </w:tc>
        <w:tc>
          <w:tcPr>
            <w:tcW w:w="40" w:type="dxa"/>
            <w:vAlign w:val="bottom"/>
          </w:tcPr>
          <w:p>
            <w:pPr>
              <w:spacing w:after="0"/>
              <w:rPr>
                <w:sz w:val="16"/>
                <w:szCs w:val="16"/>
                <w:color w:val="auto"/>
              </w:rPr>
            </w:pPr>
          </w:p>
        </w:tc>
      </w:tr>
      <w:tr>
        <w:trPr>
          <w:trHeight w:val="176"/>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Largest portfolio company investment at fair value</w:t>
            </w:r>
          </w:p>
        </w:tc>
        <w:tc>
          <w:tcPr>
            <w:tcW w:w="21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21,520</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19,737</w:t>
            </w:r>
          </w:p>
        </w:tc>
        <w:tc>
          <w:tcPr>
            <w:tcW w:w="40" w:type="dxa"/>
            <w:vAlign w:val="bottom"/>
          </w:tcPr>
          <w:p>
            <w:pPr>
              <w:spacing w:after="0"/>
              <w:rPr>
                <w:sz w:val="15"/>
                <w:szCs w:val="15"/>
                <w:color w:val="auto"/>
              </w:rPr>
            </w:pPr>
          </w:p>
        </w:tc>
      </w:tr>
      <w:tr>
        <w:trPr>
          <w:trHeight w:val="184"/>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of five largest portfolio company investments at fair value</w:t>
            </w:r>
          </w:p>
        </w:tc>
        <w:tc>
          <w:tcPr>
            <w:tcW w:w="21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100,056</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97,526</w:t>
            </w:r>
          </w:p>
        </w:tc>
        <w:tc>
          <w:tcPr>
            <w:tcW w:w="40" w:type="dxa"/>
            <w:vAlign w:val="bottom"/>
          </w:tcPr>
          <w:p>
            <w:pPr>
              <w:spacing w:after="0"/>
              <w:rPr>
                <w:sz w:val="16"/>
                <w:szCs w:val="16"/>
                <w:color w:val="auto"/>
              </w:rPr>
            </w:pPr>
          </w:p>
        </w:tc>
      </w:tr>
    </w:tbl>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2" w:right="640" w:bottom="1440" w:gutter="0" w:footer="0" w:header="0"/>
        </w:sectPr>
      </w:pPr>
    </w:p>
    <w:bookmarkStart w:id="30" w:name="page31"/>
    <w:bookmarkEnd w:id="30"/>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300" w:type="dxa"/>
            <w:vAlign w:val="bottom"/>
          </w:tcPr>
          <w:p>
            <w:pPr>
              <w:ind w:left="98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622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June 30, 2024 ($ in thousands)</w:t>
            </w: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80" w:type="dxa"/>
            <w:vAlign w:val="bottom"/>
          </w:tcPr>
          <w:p>
            <w:pPr>
              <w:jc w:val="right"/>
              <w:ind w:right="232"/>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80" w:type="dxa"/>
            <w:vAlign w:val="bottom"/>
          </w:tcPr>
          <w:p>
            <w:pPr>
              <w:jc w:val="right"/>
              <w:ind w:right="151"/>
              <w:spacing w:after="0" w:line="145" w:lineRule="exact"/>
              <w:rPr>
                <w:sz w:val="20"/>
                <w:szCs w:val="20"/>
                <w:color w:val="auto"/>
              </w:rPr>
            </w:pPr>
            <w:r>
              <w:rPr>
                <w:rFonts w:ascii="Times New Roman" w:cs="Times New Roman" w:eastAsia="Times New Roman" w:hAnsi="Times New Roman"/>
                <w:sz w:val="13"/>
                <w:szCs w:val="13"/>
                <w:b w:val="1"/>
                <w:bCs w:val="1"/>
                <w:color w:val="auto"/>
              </w:rPr>
              <w:t>Spread Above</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230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8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 xml:space="preserve">Index </w:t>
            </w:r>
            <w:r>
              <w:rPr>
                <w:rFonts w:ascii="Times New Roman" w:cs="Times New Roman" w:eastAsia="Times New Roman" w:hAnsi="Times New Roman"/>
                <w:sz w:val="16"/>
                <w:szCs w:val="16"/>
                <w:b w:val="1"/>
                <w:bCs w:val="1"/>
                <w:color w:val="auto"/>
                <w:vertAlign w:val="superscript"/>
              </w:rPr>
              <w:t>1</w:t>
            </w:r>
          </w:p>
        </w:tc>
        <w:tc>
          <w:tcPr>
            <w:tcW w:w="740" w:type="dxa"/>
            <w:vAlign w:val="bottom"/>
          </w:tcPr>
          <w:p>
            <w:pPr>
              <w:jc w:val="right"/>
              <w:ind w:right="312"/>
              <w:spacing w:after="0"/>
              <w:rPr>
                <w:sz w:val="20"/>
                <w:szCs w:val="20"/>
                <w:color w:val="auto"/>
              </w:rPr>
            </w:pPr>
            <w:r>
              <w:rPr>
                <w:rFonts w:ascii="Times New Roman" w:cs="Times New Roman" w:eastAsia="Times New Roman" w:hAnsi="Times New Roman"/>
                <w:sz w:val="13"/>
                <w:szCs w:val="13"/>
                <w:b w:val="1"/>
                <w:bCs w:val="1"/>
                <w:color w:val="auto"/>
              </w:rPr>
              <w:t>Par</w:t>
            </w: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7"/>
                <w:szCs w:val="17"/>
                <w:color w:val="auto"/>
              </w:rPr>
            </w:pP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w w:val="96"/>
              </w:rPr>
              <w:t xml:space="preserve">Fair Value </w:t>
            </w:r>
            <w:r>
              <w:rPr>
                <w:rFonts w:ascii="Times New Roman" w:cs="Times New Roman" w:eastAsia="Times New Roman" w:hAnsi="Times New Roman"/>
                <w:sz w:val="16"/>
                <w:szCs w:val="16"/>
                <w:b w:val="1"/>
                <w:bCs w:val="1"/>
                <w:color w:val="auto"/>
                <w:w w:val="96"/>
                <w:vertAlign w:val="superscript"/>
              </w:rPr>
              <w:t>2</w:t>
            </w:r>
          </w:p>
        </w:tc>
        <w:tc>
          <w:tcPr>
            <w:tcW w:w="0" w:type="dxa"/>
            <w:vAlign w:val="bottom"/>
          </w:tcPr>
          <w:p>
            <w:pPr>
              <w:spacing w:after="0"/>
              <w:rPr>
                <w:sz w:val="1"/>
                <w:szCs w:val="1"/>
                <w:color w:val="auto"/>
              </w:rPr>
            </w:pPr>
          </w:p>
        </w:tc>
      </w:tr>
      <w:tr>
        <w:trPr>
          <w:trHeight w:val="13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- 803.6%</w:t>
            </w:r>
          </w:p>
        </w:tc>
        <w:tc>
          <w:tcPr>
            <w:tcW w:w="10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12/22/28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10.83 %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14,775</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  14,533</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14,775</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10/02/29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10.55 %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SOFR+ 525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6,468</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6,359</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6,273</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08/01/29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10.80 %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15,389</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15,096</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15,512</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AFC - Dell Holding Corp.</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04/09/27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11.75 %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SOFR+ 640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2,282</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2,256</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2,260</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05/07/26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11.60 %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SOFR+ 600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4,850</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4,850</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4,850</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Aeronix, Inc. - Term Loan</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12/18/28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10.83 %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14,925</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14,728</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14,925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11/30/26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Containers, Packaging and Glass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11.43 %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SOFR+ 610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14,725</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14,475</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14,136</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06/10/25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11.73 %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SOFR+ 640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13,849</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13,793</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13,642</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Holdings Inc (fka MeritDirect)</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06/30/26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11.23 %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13,744</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13,673</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13,744</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12/29/26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11.25 %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SOFR+ 590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13,750</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13,623</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13,544</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08/03/29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11.58 %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SOFR+ 625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21,628</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21,323</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21,520</w:t>
            </w:r>
          </w:p>
        </w:tc>
        <w:tc>
          <w:tcPr>
            <w:tcW w:w="0" w:type="dxa"/>
            <w:vAlign w:val="bottom"/>
          </w:tcPr>
          <w:p>
            <w:pPr>
              <w:spacing w:after="0"/>
              <w:rPr>
                <w:sz w:val="1"/>
                <w:szCs w:val="1"/>
                <w:color w:val="auto"/>
              </w:rPr>
            </w:pPr>
          </w:p>
        </w:tc>
      </w:tr>
      <w:tr>
        <w:trPr>
          <w:trHeight w:val="152"/>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07/01/29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11.08 %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14,775</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14,554</w:t>
            </w:r>
          </w:p>
        </w:tc>
        <w:tc>
          <w:tcPr>
            <w:tcW w:w="180" w:type="dxa"/>
            <w:vAlign w:val="bottom"/>
          </w:tcPr>
          <w:p>
            <w:pPr>
              <w:spacing w:after="0"/>
              <w:rPr>
                <w:sz w:val="13"/>
                <w:szCs w:val="13"/>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14,480</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02/28/30</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11.58 %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SOFR+ 625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6,983</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6,867</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6,930</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01/31/28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11.83 %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SOFR+ 650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8,910</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8,815</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8,799</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09/17/26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11.66 %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SOFR+ 640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19,645</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19,388</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19,517</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BlueHalo Global Holdings,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10/31/25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10.09 %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SOFR+ 475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12,228</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12,158</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12,045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12/04/25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11.60 %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SOFR+ 626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9,438</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9,438</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9,438</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09/26/29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10.69 %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SOFR+ 535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887</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834</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857</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Carisk Buyer, Inc.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11/30/29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11.08 %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5,486</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5,412</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5,459</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02/07/30</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10.84 %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9,975</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9,835</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9,825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06/14/28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11.08 %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17,150</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16,910</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17,150</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08/20/26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11.54 %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SOFR+ 619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2,899</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2,883</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2,855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07/13/27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11.11 %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SOFR+ 576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8,739</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8,726</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8,564</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08/16/27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SOFR+ 501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2,555</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2,535</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2,549</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08/31/27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11.18 %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10,615</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10,578</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10,615</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12/21/28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10.69 %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SOFR+ 535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5,845</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5,420</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5,604</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11/03/25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11.73 %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SOFR+ 640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14,049</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14,025</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13,993</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01/10/29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11.08 %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6,172</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6,110</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6,079</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05/29/29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11.85 %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SOFR+ 650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12,280</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12,074</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12,402</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03/15/27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11.69 %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SOFR+ 625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9,676</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9,574</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9,603</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06/17/28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SOFR+ 475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3,491</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3,413</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3,494</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02/23/28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12.47 %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SOFR+ 700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4,274</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4,204</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4,242</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03/16/26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11.48 %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SOFR+ 610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6,971</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6,958</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6,622</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08/10/27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10.93 %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SOFR+ 560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3,126</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3,087</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3,095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12/31/26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10.93 %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6,146</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5,777</w:t>
            </w:r>
          </w:p>
        </w:tc>
        <w:tc>
          <w:tcPr>
            <w:tcW w:w="0" w:type="dxa"/>
            <w:vAlign w:val="bottom"/>
          </w:tcPr>
          <w:p>
            <w:pPr>
              <w:spacing w:after="0"/>
              <w:rPr>
                <w:sz w:val="1"/>
                <w:szCs w:val="1"/>
                <w:color w:val="auto"/>
              </w:rPr>
            </w:pPr>
          </w:p>
        </w:tc>
      </w:tr>
      <w:tr>
        <w:trPr>
          <w:trHeight w:val="136"/>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1000" w:type="dxa"/>
            <w:vAlign w:val="bottom"/>
            <w:vMerge w:val="restart"/>
          </w:tcPr>
          <w:p>
            <w:pPr>
              <w:jc w:val="center"/>
              <w:ind w:left="172"/>
              <w:spacing w:after="0"/>
              <w:rPr>
                <w:sz w:val="20"/>
                <w:szCs w:val="20"/>
                <w:color w:val="auto"/>
              </w:rPr>
            </w:pPr>
            <w:r>
              <w:rPr>
                <w:rFonts w:ascii="Times New Roman" w:cs="Times New Roman" w:eastAsia="Times New Roman" w:hAnsi="Times New Roman"/>
                <w:sz w:val="10"/>
                <w:szCs w:val="10"/>
                <w:color w:val="auto"/>
                <w:w w:val="95"/>
              </w:rPr>
              <w:t>11/08/29</w:t>
            </w: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8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11.33 %</w:t>
            </w:r>
          </w:p>
        </w:tc>
        <w:tc>
          <w:tcPr>
            <w:tcW w:w="1080" w:type="dxa"/>
            <w:vAlign w:val="bottom"/>
            <w:vMerge w:val="restart"/>
          </w:tcPr>
          <w:p>
            <w:pPr>
              <w:jc w:val="right"/>
              <w:ind w:right="151"/>
              <w:spacing w:after="0"/>
              <w:rPr>
                <w:sz w:val="20"/>
                <w:szCs w:val="20"/>
                <w:color w:val="auto"/>
              </w:rPr>
            </w:pPr>
            <w:r>
              <w:rPr>
                <w:rFonts w:ascii="Times New Roman" w:cs="Times New Roman" w:eastAsia="Times New Roman" w:hAnsi="Times New Roman"/>
                <w:sz w:val="10"/>
                <w:szCs w:val="10"/>
                <w:color w:val="auto"/>
              </w:rPr>
              <w:t>SOFR+ 600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14,328</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14,139</w:t>
            </w:r>
          </w:p>
        </w:tc>
        <w:tc>
          <w:tcPr>
            <w:tcW w:w="180" w:type="dxa"/>
            <w:vAlign w:val="bottom"/>
          </w:tcPr>
          <w:p>
            <w:pPr>
              <w:spacing w:after="0"/>
              <w:rPr>
                <w:sz w:val="11"/>
                <w:szCs w:val="11"/>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14,185</w:t>
            </w:r>
          </w:p>
        </w:tc>
        <w:tc>
          <w:tcPr>
            <w:tcW w:w="0" w:type="dxa"/>
            <w:vAlign w:val="bottom"/>
          </w:tcPr>
          <w:p>
            <w:pPr>
              <w:spacing w:after="0"/>
              <w:rPr>
                <w:sz w:val="1"/>
                <w:szCs w:val="1"/>
                <w:color w:val="auto"/>
              </w:rPr>
            </w:pPr>
          </w:p>
        </w:tc>
      </w:tr>
      <w:tr>
        <w:trPr>
          <w:trHeight w:val="40"/>
        </w:trPr>
        <w:tc>
          <w:tcPr>
            <w:tcW w:w="292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230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12/17/26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11.73 %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SOFR+ 615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14,987</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14,851</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14,313</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05/10/26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11.70 %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SOFR+ 640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18,451</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18,380</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18,451</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09/22/28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11.43 %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SOFR+ 600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4,394</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4,330</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4,317</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11/15/27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10.43 %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SOFR+ 510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5,523</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5,451</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5,495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12/28/28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12.18 %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SOFR+ 685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10,969</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10,807</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10,969</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11/01/26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10.83 %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10,902</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10,838</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10,793</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08/27/26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11.50 %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SOFR+ 605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19,571</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19,527</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19,473</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06/30/25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12.96 %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SOFR+ 761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13,117</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12,961</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12,855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11/10/27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11.48 %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SOFR+ 615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13,701</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13,510</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13,701</w:t>
            </w:r>
          </w:p>
        </w:tc>
        <w:tc>
          <w:tcPr>
            <w:tcW w:w="0" w:type="dxa"/>
            <w:vAlign w:val="bottom"/>
          </w:tcPr>
          <w:p>
            <w:pPr>
              <w:spacing w:after="0"/>
              <w:rPr>
                <w:sz w:val="1"/>
                <w:szCs w:val="1"/>
                <w:color w:val="auto"/>
              </w:rPr>
            </w:pPr>
          </w:p>
        </w:tc>
      </w:tr>
      <w:tr>
        <w:trPr>
          <w:trHeight w:val="136"/>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10/31/25</w:t>
            </w: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 Entertainment</w:t>
            </w:r>
          </w:p>
        </w:tc>
        <w:tc>
          <w:tcPr>
            <w:tcW w:w="88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11.72 %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SOFR+ 640</w:t>
            </w:r>
          </w:p>
        </w:tc>
        <w:tc>
          <w:tcPr>
            <w:tcW w:w="74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4,625</w:t>
            </w: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4,615</w:t>
            </w:r>
          </w:p>
        </w:tc>
        <w:tc>
          <w:tcPr>
            <w:tcW w:w="180" w:type="dxa"/>
            <w:vAlign w:val="bottom"/>
          </w:tcPr>
          <w:p>
            <w:pPr>
              <w:spacing w:after="0"/>
              <w:rPr>
                <w:sz w:val="11"/>
                <w:szCs w:val="11"/>
                <w:color w:val="auto"/>
              </w:rPr>
            </w:pPr>
          </w:p>
        </w:tc>
        <w:tc>
          <w:tcPr>
            <w:tcW w:w="8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4,569</w:t>
            </w:r>
          </w:p>
        </w:tc>
        <w:tc>
          <w:tcPr>
            <w:tcW w:w="0" w:type="dxa"/>
            <w:vAlign w:val="bottom"/>
          </w:tcPr>
          <w:p>
            <w:pPr>
              <w:spacing w:after="0"/>
              <w:rPr>
                <w:sz w:val="1"/>
                <w:szCs w:val="1"/>
                <w:color w:val="auto"/>
              </w:rPr>
            </w:pPr>
          </w:p>
        </w:tc>
      </w:tr>
      <w:tr>
        <w:trPr>
          <w:trHeight w:val="112"/>
        </w:trPr>
        <w:tc>
          <w:tcPr>
            <w:tcW w:w="29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23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02/18/27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8.06 %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SOFR+ 275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20,184</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20,069</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19,982</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02/03/26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10.69 %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SOFR+ 535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12,123</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12,011</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12,123</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01/31/30</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11.74 %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SOFR+ 625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6,271</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6,165</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6,271</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04/01/27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10.93 %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7,539</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7,173</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7,275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07/31/28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10.59 %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SOFR+ 526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3,756</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3,552</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2,072</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05/14/26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10.98 %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SOFR+ 565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10,802</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10,746</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10,802</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04/16/27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11.27 %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SOFR+ 585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8,352</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8,274</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8,360</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12/10/27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11.23 %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2,930</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2,889</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2,857</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10/20/28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11.58 %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SOFR+ 625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9,950</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9,796</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9,950</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03/01/30</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10.58 %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SOFR+ 525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8,000</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7,887</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8,000</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MOREgroup Holdings,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01/16/30</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11.08 %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7,481</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7,379</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7,406</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10/01/27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10.49 %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SOFR+ 515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5,928</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5,833</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5,928</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08/19/26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11.18 %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7,372</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7,327</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7,004</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08/31/29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11.68 %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SOFR+ 635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14,888</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14,625</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14,888</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12/29/29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10.83 %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3,491</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3,443</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3,439</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05/07/27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11.71 %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SOFR+ 636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8,403</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8,271</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8,403</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02/04/28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10.69 %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SOFR+ 535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3,893</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3,807</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05/18/26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11.85 %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SOFR+ 651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4,340</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4,304</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4,340</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03/01/30</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11.10 %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5,826</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5,745</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5,768</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11/09/27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12.44 %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SOFR+ 710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8,143</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8,047</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6,514</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10/02/28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11.26 %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SOFR+ 600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12,935</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12,705</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13,013</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05/08/26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10.96 %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SOFR+ 565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2,529</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2,477</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2,491</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11/19/26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11.68 %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SOFR+ 635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3,288</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3,251</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3,255</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03/31/25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11.38 %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12,599</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12,567</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12,347</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12/18/25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10.92 %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5,560</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5,560</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5,560</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04/28/28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11.48 %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SOFR+ 615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4,962</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4,910</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3,970</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01/29/26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12.49 %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SOFR+ 715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9,675</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9,609</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9,530</w:t>
            </w:r>
          </w:p>
        </w:tc>
        <w:tc>
          <w:tcPr>
            <w:tcW w:w="0" w:type="dxa"/>
            <w:vAlign w:val="bottom"/>
          </w:tcPr>
          <w:p>
            <w:pPr>
              <w:spacing w:after="0"/>
              <w:rPr>
                <w:sz w:val="1"/>
                <w:szCs w:val="1"/>
                <w:color w:val="auto"/>
              </w:rPr>
            </w:pPr>
          </w:p>
        </w:tc>
      </w:tr>
      <w:tr>
        <w:trPr>
          <w:trHeight w:val="136"/>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 xml:space="preserve">Research Now Group, LLC and Dynata, LLC </w:t>
            </w:r>
            <w:r>
              <w:rPr>
                <w:rFonts w:ascii="Times New Roman" w:cs="Times New Roman" w:eastAsia="Times New Roman" w:hAnsi="Times New Roman"/>
                <w:sz w:val="12"/>
                <w:szCs w:val="12"/>
                <w:color w:val="auto"/>
                <w:vertAlign w:val="superscript"/>
              </w:rPr>
              <w:t>3</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12/20/24</w:t>
            </w: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0.00 %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SOFR+ 576</w:t>
            </w:r>
          </w:p>
        </w:tc>
        <w:tc>
          <w:tcPr>
            <w:tcW w:w="74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14,351</w:t>
            </w: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14,318</w:t>
            </w:r>
          </w:p>
        </w:tc>
        <w:tc>
          <w:tcPr>
            <w:tcW w:w="180" w:type="dxa"/>
            <w:vAlign w:val="bottom"/>
          </w:tcPr>
          <w:p>
            <w:pPr>
              <w:spacing w:after="0"/>
              <w:rPr>
                <w:sz w:val="11"/>
                <w:szCs w:val="11"/>
                <w:color w:val="auto"/>
              </w:rPr>
            </w:pPr>
          </w:p>
        </w:tc>
        <w:tc>
          <w:tcPr>
            <w:tcW w:w="8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12,198</w:t>
            </w:r>
          </w:p>
        </w:tc>
        <w:tc>
          <w:tcPr>
            <w:tcW w:w="0" w:type="dxa"/>
            <w:vAlign w:val="bottom"/>
          </w:tcPr>
          <w:p>
            <w:pPr>
              <w:spacing w:after="0"/>
              <w:rPr>
                <w:sz w:val="1"/>
                <w:szCs w:val="1"/>
                <w:color w:val="auto"/>
              </w:rPr>
            </w:pPr>
          </w:p>
        </w:tc>
      </w:tr>
      <w:tr>
        <w:trPr>
          <w:trHeight w:val="80"/>
        </w:trPr>
        <w:tc>
          <w:tcPr>
            <w:tcW w:w="29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23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LLC-DIP</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08/06/24</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14.21 %</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SOFR+ 886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617</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570</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617</w:t>
            </w:r>
          </w:p>
        </w:tc>
        <w:tc>
          <w:tcPr>
            <w:tcW w:w="0" w:type="dxa"/>
            <w:vAlign w:val="bottom"/>
          </w:tcPr>
          <w:p>
            <w:pPr>
              <w:spacing w:after="0"/>
              <w:rPr>
                <w:sz w:val="1"/>
                <w:szCs w:val="1"/>
                <w:color w:val="auto"/>
              </w:rPr>
            </w:pPr>
          </w:p>
        </w:tc>
      </w:tr>
      <w:tr>
        <w:trPr>
          <w:trHeight w:val="136"/>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06/21/25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10.78 %</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3,942</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3,925</w:t>
            </w:r>
          </w:p>
        </w:tc>
        <w:tc>
          <w:tcPr>
            <w:tcW w:w="180" w:type="dxa"/>
            <w:vAlign w:val="bottom"/>
          </w:tcPr>
          <w:p>
            <w:pPr>
              <w:spacing w:after="0"/>
              <w:rPr>
                <w:sz w:val="11"/>
                <w:szCs w:val="11"/>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3,946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1">
            <w:col w:w="10560"/>
          </w:cols>
          <w:pgMar w:left="660" w:top="1132" w:right="68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type w:val="continuous"/>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00" w:type="dxa"/>
            <w:vAlign w:val="bottom"/>
          </w:tcPr>
          <w:p>
            <w:pPr>
              <w:ind w:left="88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2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80" w:type="dxa"/>
            <w:vAlign w:val="bottom"/>
          </w:tcPr>
          <w:p>
            <w:pPr>
              <w:jc w:val="right"/>
              <w:ind w:right="23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80" w:type="dxa"/>
            <w:vAlign w:val="bottom"/>
          </w:tcPr>
          <w:p>
            <w:pPr>
              <w:jc w:val="right"/>
              <w:ind w:right="150"/>
              <w:spacing w:after="0" w:line="145" w:lineRule="exact"/>
              <w:rPr>
                <w:sz w:val="20"/>
                <w:szCs w:val="20"/>
                <w:color w:val="auto"/>
              </w:rPr>
            </w:pPr>
            <w:r>
              <w:rPr>
                <w:rFonts w:ascii="Times New Roman" w:cs="Times New Roman" w:eastAsia="Times New Roman" w:hAnsi="Times New Roman"/>
                <w:sz w:val="13"/>
                <w:szCs w:val="13"/>
                <w:b w:val="1"/>
                <w:bCs w:val="1"/>
                <w:color w:val="auto"/>
              </w:rPr>
              <w:t>Spread Above</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2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 xml:space="preserve">Index </w:t>
            </w:r>
            <w:r>
              <w:rPr>
                <w:rFonts w:ascii="Times New Roman" w:cs="Times New Roman" w:eastAsia="Times New Roman" w:hAnsi="Times New Roman"/>
                <w:sz w:val="16"/>
                <w:szCs w:val="16"/>
                <w:b w:val="1"/>
                <w:bCs w:val="1"/>
                <w:color w:val="auto"/>
                <w:vertAlign w:val="superscript"/>
              </w:rPr>
              <w:t>1</w:t>
            </w:r>
          </w:p>
        </w:tc>
        <w:tc>
          <w:tcPr>
            <w:tcW w:w="840" w:type="dxa"/>
            <w:vAlign w:val="bottom"/>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Par</w:t>
            </w:r>
          </w:p>
        </w:tc>
        <w:tc>
          <w:tcPr>
            <w:tcW w:w="60" w:type="dxa"/>
            <w:vAlign w:val="bottom"/>
          </w:tcPr>
          <w:p>
            <w:pPr>
              <w:spacing w:after="0"/>
              <w:rPr>
                <w:sz w:val="16"/>
                <w:szCs w:val="16"/>
                <w:color w:val="auto"/>
              </w:rPr>
            </w:pP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6"/>
              </w:rPr>
              <w:t xml:space="preserve">Fair Value </w:t>
            </w:r>
            <w:r>
              <w:rPr>
                <w:rFonts w:ascii="Times New Roman" w:cs="Times New Roman" w:eastAsia="Times New Roman" w:hAnsi="Times New Roman"/>
                <w:sz w:val="16"/>
                <w:szCs w:val="16"/>
                <w:b w:val="1"/>
                <w:bCs w:val="1"/>
                <w:color w:val="auto"/>
                <w:w w:val="96"/>
                <w:vertAlign w:val="superscript"/>
              </w:rPr>
              <w:t>2</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06/16/29</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11.02 %</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0"/>
                <w:szCs w:val="10"/>
                <w:color w:val="auto"/>
              </w:rPr>
              <w:t>SOFR+ 575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4,347</w:t>
            </w:r>
          </w:p>
        </w:tc>
        <w:tc>
          <w:tcPr>
            <w:tcW w:w="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4,276</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4,303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S101 Holdings Inc.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12/29/26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11.45 %</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SOFR+ 615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4,218</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4,156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01/03/25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shd w:val="clear" w:color="auto" w:fill="CCECFF"/>
          </w:tcPr>
          <w:p>
            <w:pPr>
              <w:jc w:val="right"/>
              <w:ind w:right="31"/>
              <w:spacing w:after="0" w:line="173" w:lineRule="exact"/>
              <w:rPr>
                <w:sz w:val="20"/>
                <w:szCs w:val="20"/>
                <w:color w:val="auto"/>
              </w:rPr>
            </w:pPr>
            <w:r>
              <w:rPr>
                <w:rFonts w:ascii="Times New Roman" w:cs="Times New Roman" w:eastAsia="Times New Roman" w:hAnsi="Times New Roman"/>
                <w:sz w:val="10"/>
                <w:szCs w:val="10"/>
                <w:color w:val="auto"/>
              </w:rPr>
              <w:t xml:space="preserve">11.53 </w:t>
            </w:r>
            <w:r>
              <w:rPr>
                <w:rFonts w:ascii="Times New Roman" w:cs="Times New Roman" w:eastAsia="Times New Roman" w:hAnsi="Times New Roman"/>
                <w:sz w:val="19"/>
                <w:szCs w:val="19"/>
                <w:color w:val="auto"/>
                <w:vertAlign w:val="superscript"/>
              </w:rPr>
              <w:t>%</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0"/>
                <w:szCs w:val="10"/>
                <w:color w:val="auto"/>
              </w:rPr>
              <w:t>SOFR+ 620</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6,676</w:t>
            </w:r>
          </w:p>
        </w:tc>
        <w:tc>
          <w:tcPr>
            <w:tcW w:w="60" w:type="dxa"/>
            <w:vAlign w:val="bottom"/>
            <w:shd w:val="clear" w:color="auto" w:fill="CCECFF"/>
          </w:tcPr>
          <w:p>
            <w:pPr>
              <w:spacing w:after="0"/>
              <w:rPr>
                <w:sz w:val="14"/>
                <w:szCs w:val="14"/>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6,660</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6,676</w:t>
            </w:r>
          </w:p>
        </w:tc>
        <w:tc>
          <w:tcPr>
            <w:tcW w:w="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12/20/24</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11.92 %</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SOFR+ 650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4,675</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4,675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06/13/29</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11.48 %</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0"/>
                <w:szCs w:val="10"/>
                <w:color w:val="auto"/>
              </w:rPr>
              <w:t>SOFR+ 615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14,738</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14,540</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14,259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12/18/27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12.49 %</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SOFR+ 715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14,687</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14,518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12/02/26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11.71 %</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0"/>
                <w:szCs w:val="10"/>
                <w:color w:val="auto"/>
              </w:rPr>
              <w:t>SOFR+ 640</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11,387</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11,220</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11,274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05/17/28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9.96 %</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SOFR+ 450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1,294</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11/23/28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11.33 %</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0"/>
                <w:szCs w:val="10"/>
                <w:color w:val="auto"/>
              </w:rPr>
              <w:t>SOFR+ 600</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19,564</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19,274</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19,564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07/17/25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12.48 %</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SOFR+ 700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9,239</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03/01/28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10.98 %</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0"/>
                <w:szCs w:val="10"/>
                <w:color w:val="auto"/>
              </w:rPr>
              <w:t>SOFR+ 565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9,534</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9,314</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9,534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11/24/28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9.60 %</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SOFR+ 425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3,554</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1040" w:type="dxa"/>
            <w:vAlign w:val="bottom"/>
            <w:shd w:val="clear" w:color="auto" w:fill="CCECFF"/>
          </w:tcPr>
          <w:p>
            <w:pPr>
              <w:spacing w:after="0"/>
              <w:rPr>
                <w:sz w:val="11"/>
                <w:szCs w:val="11"/>
                <w:color w:val="auto"/>
              </w:rPr>
            </w:pPr>
          </w:p>
        </w:tc>
        <w:tc>
          <w:tcPr>
            <w:tcW w:w="210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10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08/16/27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11.16 %</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0"/>
                <w:szCs w:val="10"/>
                <w:color w:val="auto"/>
              </w:rPr>
              <w:t>SOFR+ 575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15,844</w:t>
            </w:r>
          </w:p>
        </w:tc>
        <w:tc>
          <w:tcPr>
            <w:tcW w:w="60" w:type="dxa"/>
            <w:vAlign w:val="bottom"/>
            <w:shd w:val="clear" w:color="auto" w:fill="CCECFF"/>
          </w:tcPr>
          <w:p>
            <w:pPr>
              <w:spacing w:after="0"/>
              <w:rPr>
                <w:sz w:val="11"/>
                <w:szCs w:val="11"/>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15,624</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15,844</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01/23/29</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11.84 %</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SOFR+ 650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9,975</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9,819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11/24/28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10.50 %</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0"/>
                <w:szCs w:val="10"/>
                <w:color w:val="auto"/>
              </w:rPr>
              <w:t>SOFR+ 515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2,668</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2,581</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2,659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03/13/31</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10.09 %</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SOFR+ 475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2,993</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2,963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07/27/26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11.98 %</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0"/>
                <w:szCs w:val="10"/>
                <w:color w:val="auto"/>
              </w:rPr>
              <w:t>SOFR+ 665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11,933</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11,889</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11,933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08/31/27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11.48 %</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SOFR+ 610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7,631</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7,552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US Parent, LLC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11/24/25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10.95 %</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0"/>
                <w:szCs w:val="10"/>
                <w:color w:val="auto"/>
              </w:rPr>
              <w:t>SOFR+ 550</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5,437</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5,369</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5,437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12/29/28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11.34 %</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SOFR+ 600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14,952</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14,742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06/06/25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11.74 %</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0"/>
                <w:szCs w:val="10"/>
                <w:color w:val="auto"/>
              </w:rPr>
              <w:t>SOFR+ 625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3,628</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3,624</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3,628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04/03/28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10.95 %</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SOFR+ 550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11,393</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11,305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06/15/26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11.76 %</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0"/>
                <w:szCs w:val="10"/>
                <w:color w:val="auto"/>
              </w:rPr>
              <w:t>SOFR+ 625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3,831</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3,780</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3,804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12/01/29</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11.33 %</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SOFR+ 600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8,978</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8,843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02/27/27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11.08 %</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0"/>
                <w:szCs w:val="10"/>
                <w:color w:val="auto"/>
              </w:rPr>
              <w:t>SOFR+ 575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19,305</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19,162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19,305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12/31/24</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12.69 %</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SOFR+ 725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19,736</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19,645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9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210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108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78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930,70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926,103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- 803.6%</w:t>
            </w:r>
          </w:p>
        </w:tc>
        <w:tc>
          <w:tcPr>
            <w:tcW w:w="1040" w:type="dxa"/>
            <w:vAlign w:val="bottom"/>
            <w:shd w:val="clear" w:color="auto" w:fill="CCECFF"/>
          </w:tcPr>
          <w:p>
            <w:pPr>
              <w:spacing w:after="0"/>
              <w:rPr>
                <w:sz w:val="16"/>
                <w:szCs w:val="16"/>
                <w:color w:val="auto"/>
              </w:rPr>
            </w:pPr>
          </w:p>
        </w:tc>
        <w:tc>
          <w:tcPr>
            <w:tcW w:w="210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108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78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- 38.8%</w:t>
            </w:r>
          </w:p>
        </w:tc>
        <w:tc>
          <w:tcPr>
            <w:tcW w:w="10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1040" w:type="dxa"/>
            <w:vAlign w:val="bottom"/>
            <w:shd w:val="clear" w:color="auto" w:fill="CCECFF"/>
          </w:tcPr>
          <w:p>
            <w:pPr>
              <w:spacing w:after="0"/>
              <w:rPr>
                <w:sz w:val="16"/>
                <w:szCs w:val="16"/>
                <w:color w:val="auto"/>
              </w:rPr>
            </w:pPr>
          </w:p>
        </w:tc>
        <w:tc>
          <w:tcPr>
            <w:tcW w:w="210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108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44,765</w:t>
            </w:r>
          </w:p>
        </w:tc>
        <w:tc>
          <w:tcPr>
            <w:tcW w:w="2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44,765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0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44,765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44,765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980" w:type="dxa"/>
            <w:vAlign w:val="bottom"/>
            <w:shd w:val="clear" w:color="auto" w:fill="CCECFF"/>
          </w:tcPr>
          <w:p>
            <w:pPr>
              <w:spacing w:after="0"/>
              <w:rPr>
                <w:sz w:val="11"/>
                <w:szCs w:val="11"/>
                <w:color w:val="auto"/>
              </w:rPr>
            </w:pPr>
          </w:p>
        </w:tc>
        <w:tc>
          <w:tcPr>
            <w:tcW w:w="1040" w:type="dxa"/>
            <w:vAlign w:val="bottom"/>
            <w:shd w:val="clear" w:color="auto" w:fill="CCECFF"/>
          </w:tcPr>
          <w:p>
            <w:pPr>
              <w:spacing w:after="0"/>
              <w:rPr>
                <w:sz w:val="11"/>
                <w:szCs w:val="11"/>
                <w:color w:val="auto"/>
              </w:rPr>
            </w:pPr>
          </w:p>
        </w:tc>
        <w:tc>
          <w:tcPr>
            <w:tcW w:w="210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10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975,46</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98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- 842.5)%</w:t>
            </w:r>
          </w:p>
        </w:tc>
        <w:tc>
          <w:tcPr>
            <w:tcW w:w="1040" w:type="dxa"/>
            <w:vAlign w:val="bottom"/>
            <w:tcBorders>
              <w:bottom w:val="single" w:sz="8" w:color="CCECFF"/>
            </w:tcBorders>
            <w:shd w:val="clear" w:color="auto" w:fill="CCECFF"/>
          </w:tcPr>
          <w:p>
            <w:pPr>
              <w:spacing w:after="0"/>
              <w:rPr>
                <w:sz w:val="14"/>
                <w:szCs w:val="14"/>
                <w:color w:val="auto"/>
              </w:rPr>
            </w:pPr>
          </w:p>
        </w:tc>
        <w:tc>
          <w:tcPr>
            <w:tcW w:w="2100" w:type="dxa"/>
            <w:vAlign w:val="bottom"/>
            <w:tcBorders>
              <w:bottom w:val="single" w:sz="8" w:color="CCECFF"/>
            </w:tcBorders>
            <w:shd w:val="clear" w:color="auto" w:fill="CCECFF"/>
          </w:tcPr>
          <w:p>
            <w:pPr>
              <w:spacing w:after="0"/>
              <w:rPr>
                <w:sz w:val="14"/>
                <w:szCs w:val="14"/>
                <w:color w:val="auto"/>
              </w:rPr>
            </w:pPr>
          </w:p>
        </w:tc>
        <w:tc>
          <w:tcPr>
            <w:tcW w:w="980" w:type="dxa"/>
            <w:vAlign w:val="bottom"/>
            <w:tcBorders>
              <w:bottom w:val="single" w:sz="8" w:color="CCECFF"/>
            </w:tcBorders>
            <w:shd w:val="clear" w:color="auto" w:fill="CCECFF"/>
          </w:tcPr>
          <w:p>
            <w:pPr>
              <w:spacing w:after="0"/>
              <w:rPr>
                <w:sz w:val="14"/>
                <w:szCs w:val="14"/>
                <w:color w:val="auto"/>
              </w:rPr>
            </w:pPr>
          </w:p>
        </w:tc>
        <w:tc>
          <w:tcPr>
            <w:tcW w:w="1080" w:type="dxa"/>
            <w:vAlign w:val="bottom"/>
            <w:tcBorders>
              <w:bottom w:val="single" w:sz="8" w:color="CCECFF"/>
            </w:tcBorders>
            <w:shd w:val="clear" w:color="auto" w:fill="CCECFF"/>
          </w:tcPr>
          <w:p>
            <w:pPr>
              <w:spacing w:after="0"/>
              <w:rPr>
                <w:sz w:val="14"/>
                <w:szCs w:val="14"/>
                <w:color w:val="auto"/>
              </w:rPr>
            </w:pPr>
          </w:p>
        </w:tc>
        <w:tc>
          <w:tcPr>
            <w:tcW w:w="840" w:type="dxa"/>
            <w:vAlign w:val="bottom"/>
            <w:tcBorders>
              <w:bottom w:val="single" w:sz="8" w:color="CCECFF"/>
            </w:tcBorders>
            <w:shd w:val="clear" w:color="auto" w:fill="CCECFF"/>
          </w:tcPr>
          <w:p>
            <w:pPr>
              <w:spacing w:after="0"/>
              <w:rPr>
                <w:sz w:val="14"/>
                <w:szCs w:val="14"/>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200" w:type="dxa"/>
            <w:vAlign w:val="bottom"/>
            <w:tcBorders>
              <w:bottom w:val="single" w:sz="8" w:color="CCECFF"/>
            </w:tcBorders>
            <w:shd w:val="clear" w:color="auto" w:fill="CCECFF"/>
          </w:tcPr>
          <w:p>
            <w:pPr>
              <w:spacing w:after="0"/>
              <w:rPr>
                <w:sz w:val="14"/>
                <w:szCs w:val="14"/>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970,868</w:t>
            </w:r>
          </w:p>
        </w:tc>
        <w:tc>
          <w:tcPr>
            <w:tcW w:w="8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(716.9)%</w:t>
            </w:r>
          </w:p>
        </w:tc>
        <w:tc>
          <w:tcPr>
            <w:tcW w:w="10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(855,630 )</w:t>
            </w:r>
          </w:p>
        </w:tc>
        <w:tc>
          <w:tcPr>
            <w:tcW w:w="0" w:type="dxa"/>
            <w:vAlign w:val="bottom"/>
          </w:tcPr>
          <w:p>
            <w:pPr>
              <w:spacing w:after="0"/>
              <w:rPr>
                <w:sz w:val="1"/>
                <w:szCs w:val="1"/>
                <w:color w:val="auto"/>
              </w:rPr>
            </w:pPr>
          </w:p>
        </w:tc>
      </w:tr>
      <w:tr>
        <w:trPr>
          <w:trHeight w:val="188"/>
        </w:trPr>
        <w:tc>
          <w:tcPr>
            <w:tcW w:w="2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1040" w:type="dxa"/>
            <w:vAlign w:val="bottom"/>
            <w:tcBorders>
              <w:bottom w:val="single" w:sz="8" w:color="CCECFF"/>
            </w:tcBorders>
            <w:shd w:val="clear" w:color="auto" w:fill="CCECFF"/>
          </w:tcPr>
          <w:p>
            <w:pPr>
              <w:spacing w:after="0"/>
              <w:rPr>
                <w:sz w:val="16"/>
                <w:szCs w:val="16"/>
                <w:color w:val="auto"/>
              </w:rPr>
            </w:pPr>
          </w:p>
        </w:tc>
        <w:tc>
          <w:tcPr>
            <w:tcW w:w="2100" w:type="dxa"/>
            <w:vAlign w:val="bottom"/>
            <w:tcBorders>
              <w:bottom w:val="single" w:sz="8" w:color="CCECFF"/>
            </w:tcBorders>
            <w:shd w:val="clear" w:color="auto" w:fill="CCECFF"/>
          </w:tcPr>
          <w:p>
            <w:pPr>
              <w:spacing w:after="0"/>
              <w:rPr>
                <w:sz w:val="16"/>
                <w:szCs w:val="16"/>
                <w:color w:val="auto"/>
              </w:rPr>
            </w:pPr>
          </w:p>
        </w:tc>
        <w:tc>
          <w:tcPr>
            <w:tcW w:w="980" w:type="dxa"/>
            <w:vAlign w:val="bottom"/>
            <w:tcBorders>
              <w:bottom w:val="single" w:sz="8" w:color="CCECFF"/>
            </w:tcBorders>
            <w:shd w:val="clear" w:color="auto" w:fill="CCECFF"/>
          </w:tcPr>
          <w:p>
            <w:pPr>
              <w:spacing w:after="0"/>
              <w:rPr>
                <w:sz w:val="16"/>
                <w:szCs w:val="16"/>
                <w:color w:val="auto"/>
              </w:rPr>
            </w:pPr>
          </w:p>
        </w:tc>
        <w:tc>
          <w:tcPr>
            <w:tcW w:w="1080" w:type="dxa"/>
            <w:vAlign w:val="bottom"/>
            <w:tcBorders>
              <w:bottom w:val="single" w:sz="8" w:color="CCECFF"/>
            </w:tcBorders>
            <w:shd w:val="clear" w:color="auto" w:fill="CCECFF"/>
          </w:tcPr>
          <w:p>
            <w:pPr>
              <w:spacing w:after="0"/>
              <w:rPr>
                <w:sz w:val="16"/>
                <w:szCs w:val="16"/>
                <w:color w:val="auto"/>
              </w:rPr>
            </w:pPr>
          </w:p>
        </w:tc>
        <w:tc>
          <w:tcPr>
            <w:tcW w:w="840" w:type="dxa"/>
            <w:vAlign w:val="bottom"/>
            <w:tcBorders>
              <w:bottom w:val="single" w:sz="8" w:color="CCECFF"/>
            </w:tcBorders>
            <w:shd w:val="clear" w:color="auto" w:fill="CCECFF"/>
          </w:tcPr>
          <w:p>
            <w:pPr>
              <w:spacing w:after="0"/>
              <w:rPr>
                <w:sz w:val="16"/>
                <w:szCs w:val="16"/>
                <w:color w:val="auto"/>
              </w:rPr>
            </w:pPr>
          </w:p>
        </w:tc>
        <w:tc>
          <w:tcPr>
            <w:tcW w:w="60" w:type="dxa"/>
            <w:vAlign w:val="bottom"/>
            <w:tcBorders>
              <w:bottom w:val="single" w:sz="8" w:color="CCECFF"/>
            </w:tcBorders>
            <w:shd w:val="clear" w:color="auto" w:fill="CCECFF"/>
          </w:tcPr>
          <w:p>
            <w:pPr>
              <w:spacing w:after="0"/>
              <w:rPr>
                <w:sz w:val="16"/>
                <w:szCs w:val="16"/>
                <w:color w:val="auto"/>
              </w:rPr>
            </w:pPr>
          </w:p>
        </w:tc>
        <w:tc>
          <w:tcPr>
            <w:tcW w:w="340" w:type="dxa"/>
            <w:vAlign w:val="bottom"/>
            <w:tcBorders>
              <w:bottom w:val="single" w:sz="8" w:color="CCECFF"/>
            </w:tcBorders>
            <w:shd w:val="clear" w:color="auto" w:fill="CCECFF"/>
          </w:tcPr>
          <w:p>
            <w:pPr>
              <w:spacing w:after="0"/>
              <w:rPr>
                <w:sz w:val="16"/>
                <w:szCs w:val="16"/>
                <w:color w:val="auto"/>
              </w:rPr>
            </w:pPr>
          </w:p>
        </w:tc>
        <w:tc>
          <w:tcPr>
            <w:tcW w:w="20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115,238</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(“SOFR”) or Prime rate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PSLF’s accounting policy.</w:t>
      </w:r>
    </w:p>
    <w:p>
      <w:pPr>
        <w:spacing w:after="0"/>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Non-income producing security.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2" w:name="page33"/>
    <w:bookmarkEnd w:id="32"/>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20" w:type="dxa"/>
            <w:vAlign w:val="bottom"/>
          </w:tcPr>
          <w:p>
            <w:pPr>
              <w:ind w:left="126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576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September 30, 2023 ($ in thousands):</w:t>
            </w: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jc w:val="center"/>
              <w:ind w:right="17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00" w:type="dxa"/>
            <w:vAlign w:val="bottom"/>
          </w:tcPr>
          <w:p>
            <w:pPr>
              <w:jc w:val="right"/>
              <w:ind w:right="27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20" w:type="dxa"/>
            <w:vAlign w:val="bottom"/>
          </w:tcPr>
          <w:p>
            <w:pPr>
              <w:jc w:val="center"/>
              <w:ind w:right="151"/>
              <w:spacing w:after="0" w:line="145" w:lineRule="exact"/>
              <w:rPr>
                <w:sz w:val="20"/>
                <w:szCs w:val="20"/>
                <w:color w:val="auto"/>
              </w:rPr>
            </w:pPr>
            <w:r>
              <w:rPr>
                <w:rFonts w:ascii="Times New Roman" w:cs="Times New Roman" w:eastAsia="Times New Roman" w:hAnsi="Times New Roman"/>
                <w:sz w:val="13"/>
                <w:szCs w:val="13"/>
                <w:b w:val="1"/>
                <w:bCs w:val="1"/>
                <w:color w:val="auto"/>
                <w:w w:val="95"/>
              </w:rPr>
              <w:t>Above</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86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12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90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20" w:type="dxa"/>
            <w:vAlign w:val="bottom"/>
          </w:tcPr>
          <w:p>
            <w:pPr>
              <w:jc w:val="center"/>
              <w:ind w:right="171"/>
              <w:spacing w:after="0"/>
              <w:rPr>
                <w:sz w:val="20"/>
                <w:szCs w:val="20"/>
                <w:color w:val="auto"/>
              </w:rPr>
            </w:pPr>
            <w:r>
              <w:rPr>
                <w:rFonts w:ascii="Times New Roman" w:cs="Times New Roman" w:eastAsia="Times New Roman" w:hAnsi="Times New Roman"/>
                <w:sz w:val="13"/>
                <w:szCs w:val="13"/>
                <w:b w:val="1"/>
                <w:bCs w:val="1"/>
                <w:color w:val="auto"/>
                <w:w w:val="98"/>
              </w:rPr>
              <w:t xml:space="preserve">Index </w:t>
            </w:r>
            <w:r>
              <w:rPr>
                <w:rFonts w:ascii="Times New Roman" w:cs="Times New Roman" w:eastAsia="Times New Roman" w:hAnsi="Times New Roman"/>
                <w:sz w:val="16"/>
                <w:szCs w:val="16"/>
                <w:b w:val="1"/>
                <w:bCs w:val="1"/>
                <w:color w:val="auto"/>
                <w:w w:val="98"/>
                <w:vertAlign w:val="superscript"/>
              </w:rPr>
              <w:t>1</w:t>
            </w:r>
          </w:p>
        </w:tc>
        <w:tc>
          <w:tcPr>
            <w:tcW w:w="980" w:type="dxa"/>
            <w:vAlign w:val="bottom"/>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Par</w:t>
            </w:r>
          </w:p>
        </w:tc>
        <w:tc>
          <w:tcPr>
            <w:tcW w:w="240" w:type="dxa"/>
            <w:vAlign w:val="bottom"/>
          </w:tcPr>
          <w:p>
            <w:pPr>
              <w:spacing w:after="0"/>
              <w:rPr>
                <w:sz w:val="16"/>
                <w:szCs w:val="16"/>
                <w:color w:val="auto"/>
              </w:rPr>
            </w:pP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6"/>
                <w:szCs w:val="16"/>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w w:val="96"/>
              </w:rPr>
              <w:t xml:space="preserve">Fair Value </w:t>
            </w:r>
            <w:r>
              <w:rPr>
                <w:rFonts w:ascii="Times New Roman" w:cs="Times New Roman" w:eastAsia="Times New Roman" w:hAnsi="Times New Roman"/>
                <w:sz w:val="16"/>
                <w:szCs w:val="16"/>
                <w:b w:val="1"/>
                <w:bCs w:val="1"/>
                <w:color w:val="auto"/>
                <w:w w:val="96"/>
                <w:vertAlign w:val="superscript"/>
              </w:rPr>
              <w:t>2</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- 783.7%</w:t>
            </w:r>
          </w:p>
        </w:tc>
        <w:tc>
          <w:tcPr>
            <w:tcW w:w="860" w:type="dxa"/>
            <w:vAlign w:val="bottom"/>
            <w:shd w:val="clear" w:color="auto" w:fill="CCECFF"/>
          </w:tcPr>
          <w:p>
            <w:pPr>
              <w:spacing w:after="0"/>
              <w:rPr>
                <w:sz w:val="12"/>
                <w:szCs w:val="12"/>
                <w:color w:val="auto"/>
              </w:rPr>
            </w:pPr>
          </w:p>
        </w:tc>
        <w:tc>
          <w:tcPr>
            <w:tcW w:w="21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12/22/28</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11.84 %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14,925</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14,668</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05/07/26</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11.65 %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4,888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4,888</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11/30/26</w:t>
            </w:r>
          </w:p>
        </w:tc>
        <w:tc>
          <w:tcPr>
            <w:tcW w:w="21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11.26 %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14,837</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14,528</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14,244</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06/10/25</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11.79 %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SOFR+675</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13,958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13,869</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13,749</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05/23/24</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12.04 %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14,354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14,319</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14,103</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07/21/27</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11.22 %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10,882</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10,847</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10,665</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07/31/25</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10.52 %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6,424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6,380</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6,408</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07/31/25</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11.11 %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3,316</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3,299</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3,308</w:t>
            </w:r>
          </w:p>
        </w:tc>
        <w:tc>
          <w:tcPr>
            <w:tcW w:w="0" w:type="dxa"/>
            <w:vAlign w:val="bottom"/>
          </w:tcPr>
          <w:p>
            <w:pPr>
              <w:spacing w:after="0"/>
              <w:rPr>
                <w:sz w:val="1"/>
                <w:szCs w:val="1"/>
                <w:color w:val="auto"/>
              </w:rPr>
            </w:pPr>
          </w:p>
        </w:tc>
      </w:tr>
      <w:tr>
        <w:trPr>
          <w:trHeight w:val="152"/>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 Term Loan 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07/31/25</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10.76 %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7,531</w:t>
            </w:r>
          </w:p>
        </w:tc>
        <w:tc>
          <w:tcPr>
            <w:tcW w:w="240" w:type="dxa"/>
            <w:vAlign w:val="bottom"/>
          </w:tcPr>
          <w:p>
            <w:pPr>
              <w:spacing w:after="0"/>
              <w:rPr>
                <w:sz w:val="13"/>
                <w:szCs w:val="13"/>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7,531</w:t>
            </w:r>
          </w:p>
        </w:tc>
        <w:tc>
          <w:tcPr>
            <w:tcW w:w="180" w:type="dxa"/>
            <w:vAlign w:val="bottom"/>
          </w:tcPr>
          <w:p>
            <w:pPr>
              <w:spacing w:after="0"/>
              <w:rPr>
                <w:sz w:val="13"/>
                <w:szCs w:val="13"/>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7,512</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12/29/26</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11.51 %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11,394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11,271</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11,166</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Applied Technical Services, LLC - Unfunded Term Loan </w:t>
            </w:r>
            <w:r>
              <w:rPr>
                <w:rFonts w:ascii="Times New Roman" w:cs="Times New Roman" w:eastAsia="Times New Roman" w:hAnsi="Times New Roman"/>
                <w:sz w:val="12"/>
                <w:szCs w:val="12"/>
                <w:color w:val="auto"/>
                <w:vertAlign w:val="superscript"/>
              </w:rPr>
              <w:t>3</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12/29/26</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08/03/29</w:t>
            </w:r>
          </w:p>
        </w:tc>
        <w:tc>
          <w:tcPr>
            <w:tcW w:w="21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11.62 %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11,820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11,642</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11,702</w:t>
            </w:r>
          </w:p>
        </w:tc>
        <w:tc>
          <w:tcPr>
            <w:tcW w:w="0" w:type="dxa"/>
            <w:vAlign w:val="bottom"/>
          </w:tcPr>
          <w:p>
            <w:pPr>
              <w:spacing w:after="0"/>
              <w:rPr>
                <w:sz w:val="1"/>
                <w:szCs w:val="1"/>
                <w:color w:val="auto"/>
              </w:rPr>
            </w:pPr>
          </w:p>
        </w:tc>
      </w:tr>
      <w:tr>
        <w:trPr>
          <w:trHeight w:val="192"/>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07/01/29</w:t>
            </w:r>
          </w:p>
        </w:tc>
        <w:tc>
          <w:tcPr>
            <w:tcW w:w="21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51"/>
              <w:spacing w:after="0" w:line="192" w:lineRule="exact"/>
              <w:rPr>
                <w:sz w:val="20"/>
                <w:szCs w:val="20"/>
                <w:color w:val="auto"/>
              </w:rPr>
            </w:pPr>
            <w:r>
              <w:rPr>
                <w:rFonts w:ascii="Times New Roman" w:cs="Times New Roman" w:eastAsia="Times New Roman" w:hAnsi="Times New Roman"/>
                <w:sz w:val="10"/>
                <w:szCs w:val="10"/>
                <w:color w:val="auto"/>
              </w:rPr>
              <w:t xml:space="preserve">11.14 </w:t>
            </w:r>
            <w:r>
              <w:rPr>
                <w:rFonts w:ascii="Times New Roman" w:cs="Times New Roman" w:eastAsia="Times New Roman" w:hAnsi="Times New Roman"/>
                <w:sz w:val="19"/>
                <w:szCs w:val="19"/>
                <w:color w:val="auto"/>
                <w:vertAlign w:val="superscript"/>
              </w:rPr>
              <w:t>%</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c>
          <w:tcPr>
            <w:tcW w:w="240" w:type="dxa"/>
            <w:vAlign w:val="bottom"/>
          </w:tcPr>
          <w:p>
            <w:pPr>
              <w:spacing w:after="0"/>
              <w:rPr>
                <w:sz w:val="16"/>
                <w:szCs w:val="16"/>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14,604</w:t>
            </w:r>
          </w:p>
        </w:tc>
        <w:tc>
          <w:tcPr>
            <w:tcW w:w="180" w:type="dxa"/>
            <w:vAlign w:val="bottom"/>
          </w:tcPr>
          <w:p>
            <w:pPr>
              <w:spacing w:after="0"/>
              <w:rPr>
                <w:sz w:val="16"/>
                <w:szCs w:val="16"/>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13,811</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01/31/28</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11.83 %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8,978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8,874</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8,933</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09/17/24</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11.79 %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17,823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17,588</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17,556</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12/04/25</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11.50 %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09/26/29</w:t>
            </w:r>
          </w:p>
        </w:tc>
        <w:tc>
          <w:tcPr>
            <w:tcW w:w="21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Auto Sector</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10.67 %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836</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841</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06/14/28</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11.39 %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17,281</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17,013</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17,281</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08/20/26</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11.60 %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2,921</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2,901</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2,862</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07/13/27</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11.16 %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8,808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8,792</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8,500</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08/16/27</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10.90 %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2,575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2,550</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2,562</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08/31/27</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11.24 %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10,882</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10,834</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10,882</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12/21/28</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10.67 %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4,382</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3,959</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3,993</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11/03/25</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11.77 %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SOFR+640</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14,395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14,345</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14,222</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06/30/24</w:t>
            </w:r>
          </w:p>
        </w:tc>
        <w:tc>
          <w:tcPr>
            <w:tcW w:w="21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11.93 %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8,635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8,561</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8,505</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01/10/29</w:t>
            </w:r>
          </w:p>
        </w:tc>
        <w:tc>
          <w:tcPr>
            <w:tcW w:w="21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11.64 %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6,219</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6,148</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6,125</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Electro Rent Corporation</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01/17/24</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Electronics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10.93 %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3,712</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3,665</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3,632</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05/29/29</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11.89 %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12,404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12,171</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12,193</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03/15/27</w:t>
            </w:r>
          </w:p>
        </w:tc>
        <w:tc>
          <w:tcPr>
            <w:tcW w:w="21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11.17 %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9,750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9,637</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9,555</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06/17/28</w:t>
            </w:r>
          </w:p>
        </w:tc>
        <w:tc>
          <w:tcPr>
            <w:tcW w:w="21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10.40 %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SOFR+475</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1,470</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1,506</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02/23/28</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12.43 %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SOFR+700</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4,373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4,291</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4,307</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03/16/26</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11.96 %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7,027</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7,008</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6,676</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08/10/27</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10.99 %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1,925</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1,935</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12/31/26</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2"/>
              </w:rPr>
              <w:t>Insurance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10.93 %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6,423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6,423</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6,262</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11/23/28</w:t>
            </w:r>
          </w:p>
        </w:tc>
        <w:tc>
          <w:tcPr>
            <w:tcW w:w="21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11.32 %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19,717</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19,388</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19,717</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12/17/26</w:t>
            </w:r>
          </w:p>
        </w:tc>
        <w:tc>
          <w:tcPr>
            <w:tcW w:w="21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11.79 %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15,140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14,974</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15,110</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12/10/24</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11.70 %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14,250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14,171</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14,036</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09/22/28</w:t>
            </w:r>
          </w:p>
        </w:tc>
        <w:tc>
          <w:tcPr>
            <w:tcW w:w="21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11.45 %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4,428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4,355</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4,362</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11/15/27</w:t>
            </w:r>
          </w:p>
        </w:tc>
        <w:tc>
          <w:tcPr>
            <w:tcW w:w="21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10.72 %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5,565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5,481</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5,482</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12/31/24</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12.50 %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SOFR+715</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19,737</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19,410</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19,737</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12/28/28</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12.24 %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SOFR+685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11,053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10,867</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11,053</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11/01/26</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11.17 %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6,364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6,364</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6,364</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08/27/26</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2"/>
              </w:rPr>
              <w:t>Insurance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11.57 %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19,701</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19,639</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19,504</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12/20/23</w:t>
            </w:r>
          </w:p>
        </w:tc>
        <w:tc>
          <w:tcPr>
            <w:tcW w:w="21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13.42 %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SOFR+800</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12,061</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12,040</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12,061</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11/10/27</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11.54 %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SOFR+615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16,920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16,641</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16,666</w:t>
            </w:r>
          </w:p>
        </w:tc>
        <w:tc>
          <w:tcPr>
            <w:tcW w:w="0" w:type="dxa"/>
            <w:vAlign w:val="bottom"/>
          </w:tcPr>
          <w:p>
            <w:pPr>
              <w:spacing w:after="0"/>
              <w:rPr>
                <w:sz w:val="1"/>
                <w:szCs w:val="1"/>
                <w:color w:val="auto"/>
              </w:rPr>
            </w:pPr>
          </w:p>
        </w:tc>
      </w:tr>
      <w:tr>
        <w:trPr>
          <w:trHeight w:val="137"/>
        </w:trPr>
        <w:tc>
          <w:tcPr>
            <w:tcW w:w="27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90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10/31/24</w:t>
            </w:r>
          </w:p>
        </w:tc>
        <w:tc>
          <w:tcPr>
            <w:tcW w:w="21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Entertainment</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11.46 %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SOFR+565</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4,658</w:t>
            </w:r>
          </w:p>
        </w:tc>
        <w:tc>
          <w:tcPr>
            <w:tcW w:w="24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4,631</w:t>
            </w:r>
          </w:p>
        </w:tc>
        <w:tc>
          <w:tcPr>
            <w:tcW w:w="1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4,603</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02/18/27</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12.13 %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SOFR+700</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19,723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19,565</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19,526</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02/03/26</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10.67 %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12,218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12,056</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12,096</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01/31/30</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11.77 %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SOFR+665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6,318</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6,206</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6,192</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04/01/27</w:t>
            </w:r>
          </w:p>
        </w:tc>
        <w:tc>
          <w:tcPr>
            <w:tcW w:w="21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10.99 %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7,601</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7,153</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7,202</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07/31/28</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9"/>
              </w:rPr>
              <w:t>Software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10.63 %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SOFR+500</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3,785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3,550</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2,805</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05/14/26</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11.04 %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10,885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10,811</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10,776</w:t>
            </w:r>
          </w:p>
        </w:tc>
        <w:tc>
          <w:tcPr>
            <w:tcW w:w="0" w:type="dxa"/>
            <w:vAlign w:val="bottom"/>
          </w:tcPr>
          <w:p>
            <w:pPr>
              <w:spacing w:after="0"/>
              <w:rPr>
                <w:sz w:val="1"/>
                <w:szCs w:val="1"/>
                <w:color w:val="auto"/>
              </w:rPr>
            </w:pPr>
          </w:p>
        </w:tc>
      </w:tr>
      <w:tr>
        <w:trPr>
          <w:trHeight w:val="108"/>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860" w:type="dxa"/>
            <w:vAlign w:val="bottom"/>
            <w:vMerge w:val="restart"/>
          </w:tcPr>
          <w:p>
            <w:pPr>
              <w:jc w:val="center"/>
              <w:ind w:left="72"/>
              <w:spacing w:after="0"/>
              <w:rPr>
                <w:sz w:val="20"/>
                <w:szCs w:val="20"/>
                <w:color w:val="auto"/>
              </w:rPr>
            </w:pPr>
            <w:r>
              <w:rPr>
                <w:rFonts w:ascii="Times New Roman" w:cs="Times New Roman" w:eastAsia="Times New Roman" w:hAnsi="Times New Roman"/>
                <w:sz w:val="10"/>
                <w:szCs w:val="10"/>
                <w:color w:val="auto"/>
                <w:w w:val="95"/>
              </w:rPr>
              <w:t>04/16/27</w:t>
            </w:r>
          </w:p>
        </w:tc>
        <w:tc>
          <w:tcPr>
            <w:tcW w:w="212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00" w:type="dxa"/>
            <w:vAlign w:val="bottom"/>
          </w:tcPr>
          <w:p>
            <w:pPr>
              <w:jc w:val="right"/>
              <w:ind w:right="151"/>
              <w:spacing w:after="0" w:line="109" w:lineRule="exact"/>
              <w:rPr>
                <w:sz w:val="20"/>
                <w:szCs w:val="20"/>
                <w:color w:val="auto"/>
              </w:rPr>
            </w:pPr>
            <w:r>
              <w:rPr>
                <w:rFonts w:ascii="Times New Roman" w:cs="Times New Roman" w:eastAsia="Times New Roman" w:hAnsi="Times New Roman"/>
                <w:sz w:val="10"/>
                <w:szCs w:val="10"/>
                <w:color w:val="auto"/>
              </w:rPr>
              <w:t>11.22</w:t>
            </w:r>
          </w:p>
        </w:tc>
        <w:tc>
          <w:tcPr>
            <w:tcW w:w="102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tcPr>
          <w:p>
            <w:pPr>
              <w:jc w:val="right"/>
              <w:ind w:right="52"/>
              <w:spacing w:after="0" w:line="109" w:lineRule="exact"/>
              <w:rPr>
                <w:sz w:val="20"/>
                <w:szCs w:val="20"/>
                <w:color w:val="auto"/>
              </w:rPr>
            </w:pPr>
            <w:r>
              <w:rPr>
                <w:rFonts w:ascii="Times New Roman" w:cs="Times New Roman" w:eastAsia="Times New Roman" w:hAnsi="Times New Roman"/>
                <w:sz w:val="10"/>
                <w:szCs w:val="10"/>
                <w:color w:val="auto"/>
              </w:rPr>
              <w:t>7,859</w:t>
            </w:r>
          </w:p>
        </w:tc>
        <w:tc>
          <w:tcPr>
            <w:tcW w:w="240" w:type="dxa"/>
            <w:vAlign w:val="bottom"/>
          </w:tcPr>
          <w:p>
            <w:pPr>
              <w:spacing w:after="0"/>
              <w:rPr>
                <w:sz w:val="9"/>
                <w:szCs w:val="9"/>
                <w:color w:val="auto"/>
              </w:rPr>
            </w:pPr>
          </w:p>
        </w:tc>
        <w:tc>
          <w:tcPr>
            <w:tcW w:w="640" w:type="dxa"/>
            <w:vAlign w:val="bottom"/>
          </w:tcPr>
          <w:p>
            <w:pPr>
              <w:jc w:val="right"/>
              <w:ind w:right="52"/>
              <w:spacing w:after="0" w:line="109" w:lineRule="exact"/>
              <w:rPr>
                <w:sz w:val="20"/>
                <w:szCs w:val="20"/>
                <w:color w:val="auto"/>
              </w:rPr>
            </w:pPr>
            <w:r>
              <w:rPr>
                <w:rFonts w:ascii="Times New Roman" w:cs="Times New Roman" w:eastAsia="Times New Roman" w:hAnsi="Times New Roman"/>
                <w:sz w:val="10"/>
                <w:szCs w:val="10"/>
                <w:color w:val="auto"/>
              </w:rPr>
              <w:t>7,780</w:t>
            </w:r>
          </w:p>
        </w:tc>
        <w:tc>
          <w:tcPr>
            <w:tcW w:w="180" w:type="dxa"/>
            <w:vAlign w:val="bottom"/>
          </w:tcPr>
          <w:p>
            <w:pPr>
              <w:spacing w:after="0"/>
              <w:rPr>
                <w:sz w:val="9"/>
                <w:szCs w:val="9"/>
                <w:color w:val="auto"/>
              </w:rPr>
            </w:pPr>
          </w:p>
        </w:tc>
        <w:tc>
          <w:tcPr>
            <w:tcW w:w="840" w:type="dxa"/>
            <w:vAlign w:val="bottom"/>
          </w:tcPr>
          <w:p>
            <w:pPr>
              <w:jc w:val="right"/>
              <w:ind w:right="52"/>
              <w:spacing w:after="0" w:line="109" w:lineRule="exact"/>
              <w:rPr>
                <w:sz w:val="20"/>
                <w:szCs w:val="20"/>
                <w:color w:val="auto"/>
              </w:rPr>
            </w:pPr>
            <w:r>
              <w:rPr>
                <w:rFonts w:ascii="Times New Roman" w:cs="Times New Roman" w:eastAsia="Times New Roman" w:hAnsi="Times New Roman"/>
                <w:sz w:val="10"/>
                <w:szCs w:val="10"/>
                <w:color w:val="auto"/>
              </w:rPr>
              <w:t>7,749</w:t>
            </w:r>
          </w:p>
        </w:tc>
        <w:tc>
          <w:tcPr>
            <w:tcW w:w="0" w:type="dxa"/>
            <w:vAlign w:val="bottom"/>
          </w:tcPr>
          <w:p>
            <w:pPr>
              <w:spacing w:after="0"/>
              <w:rPr>
                <w:sz w:val="1"/>
                <w:szCs w:val="1"/>
                <w:color w:val="auto"/>
              </w:rPr>
            </w:pPr>
          </w:p>
        </w:tc>
      </w:tr>
      <w:tr>
        <w:trPr>
          <w:trHeight w:val="128"/>
        </w:trPr>
        <w:tc>
          <w:tcPr>
            <w:tcW w:w="27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120" w:type="dxa"/>
            <w:vAlign w:val="bottom"/>
            <w:vMerge w:val="continue"/>
          </w:tcPr>
          <w:p>
            <w:pPr>
              <w:spacing w:after="0"/>
              <w:rPr>
                <w:sz w:val="11"/>
                <w:szCs w:val="11"/>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12/10/27</w:t>
            </w:r>
          </w:p>
        </w:tc>
        <w:tc>
          <w:tcPr>
            <w:tcW w:w="21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10.58 %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2,958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2,911</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2,884</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10/01/27</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11.04 %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5,975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5,860</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5,843</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08/19/26</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10.93 %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7,429</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7,369</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7,280</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05/09/29</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11.97 %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SOFR+660</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8,020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7,910</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8,020</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05/07/27</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Transportation</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11.68 %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8,470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8,311</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8,470</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02/04/28</w:t>
            </w:r>
          </w:p>
        </w:tc>
        <w:tc>
          <w:tcPr>
            <w:tcW w:w="21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Education</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10.80 %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3,893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3,794</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05/18/26</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12.90 %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SOFR+725</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4,378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4,343</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4,301</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Pequod Merger Sub,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12/02/26</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11.79 %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SOFR+640</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11,474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11,267</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11,244</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11/09/27</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rPr>
              <w:t>Retail</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12.42 %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SOFR+700</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7,930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7,818</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7,137</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05/08/26</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10.92 %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SOFR+565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2,551</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2,481</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2,436</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11/19/26</w:t>
            </w:r>
          </w:p>
        </w:tc>
        <w:tc>
          <w:tcPr>
            <w:tcW w:w="21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11.74 %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3,314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3,267</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3,264</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03/31/25</w:t>
            </w:r>
          </w:p>
        </w:tc>
        <w:tc>
          <w:tcPr>
            <w:tcW w:w="21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11.29 %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12,703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12,641</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12,576</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12/18/25</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11.22 %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5,603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5,603</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5,603</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8"/>
              </w:rPr>
              <w:t>4/28/2028</w:t>
            </w:r>
          </w:p>
        </w:tc>
        <w:tc>
          <w:tcPr>
            <w:tcW w:w="21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Transportation</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11.54 %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5,000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4,937</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4,800</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8"/>
              </w:rPr>
              <w:t>1/29/2026</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12.54 %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SOFR+700</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9,750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9,655</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9,458</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12/20/2024</w:t>
            </w:r>
          </w:p>
        </w:tc>
        <w:tc>
          <w:tcPr>
            <w:tcW w:w="21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11.13 %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14,389</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14,332</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12,591</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8"/>
              </w:rPr>
              <w:t>6/20/2025</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10.54 %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3,176</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3,162</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3,131</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8"/>
              </w:rPr>
              <w:t>3/10/2025</w:t>
            </w:r>
          </w:p>
        </w:tc>
        <w:tc>
          <w:tcPr>
            <w:tcW w:w="21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Education</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11.29 %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10,895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10,834</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10,786</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8"/>
              </w:rPr>
              <w:t>6/16/2029</w:t>
            </w:r>
          </w:p>
        </w:tc>
        <w:tc>
          <w:tcPr>
            <w:tcW w:w="21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11.52 %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3,749</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3,678</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3,692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1">
            <w:col w:w="10560"/>
          </w:cols>
          <w:pgMar w:left="660" w:top="1132" w:right="680"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type w:val="continuous"/>
        </w:sectPr>
      </w:pPr>
    </w:p>
    <w:bookmarkStart w:id="33" w:name="page34"/>
    <w:bookmarkEnd w:id="33"/>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20" w:type="dxa"/>
            <w:vAlign w:val="bottom"/>
          </w:tcPr>
          <w:p>
            <w:pPr>
              <w:ind w:left="116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615"/>
        </w:trPr>
        <w:tc>
          <w:tcPr>
            <w:tcW w:w="2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2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5"/>
        </w:trPr>
        <w:tc>
          <w:tcPr>
            <w:tcW w:w="2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tcPr>
          <w:p>
            <w:pPr>
              <w:jc w:val="right"/>
              <w:ind w:right="270"/>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20" w:type="dxa"/>
            <w:vAlign w:val="bottom"/>
          </w:tcPr>
          <w:p>
            <w:pPr>
              <w:jc w:val="center"/>
              <w:ind w:right="149"/>
              <w:spacing w:after="0" w:line="145" w:lineRule="exact"/>
              <w:rPr>
                <w:sz w:val="20"/>
                <w:szCs w:val="20"/>
                <w:color w:val="auto"/>
              </w:rPr>
            </w:pPr>
            <w:r>
              <w:rPr>
                <w:rFonts w:ascii="Times New Roman" w:cs="Times New Roman" w:eastAsia="Times New Roman" w:hAnsi="Times New Roman"/>
                <w:sz w:val="13"/>
                <w:szCs w:val="13"/>
                <w:b w:val="1"/>
                <w:bCs w:val="1"/>
                <w:color w:val="auto"/>
                <w:w w:val="95"/>
              </w:rPr>
              <w:t>Above</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9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020" w:type="dxa"/>
            <w:vAlign w:val="bottom"/>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2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8"/>
              </w:rPr>
              <w:t xml:space="preserve">Index </w:t>
            </w:r>
            <w:r>
              <w:rPr>
                <w:rFonts w:ascii="Times New Roman" w:cs="Times New Roman" w:eastAsia="Times New Roman" w:hAnsi="Times New Roman"/>
                <w:sz w:val="16"/>
                <w:szCs w:val="16"/>
                <w:b w:val="1"/>
                <w:bCs w:val="1"/>
                <w:color w:val="auto"/>
                <w:w w:val="98"/>
                <w:vertAlign w:val="superscript"/>
              </w:rPr>
              <w:t>1</w:t>
            </w:r>
          </w:p>
        </w:tc>
        <w:tc>
          <w:tcPr>
            <w:tcW w:w="1080" w:type="dxa"/>
            <w:vAlign w:val="bottom"/>
          </w:tcPr>
          <w:p>
            <w:pPr>
              <w:jc w:val="right"/>
              <w:ind w:right="551"/>
              <w:spacing w:after="0"/>
              <w:rPr>
                <w:sz w:val="20"/>
                <w:szCs w:val="20"/>
                <w:color w:val="auto"/>
              </w:rPr>
            </w:pPr>
            <w:r>
              <w:rPr>
                <w:rFonts w:ascii="Times New Roman" w:cs="Times New Roman" w:eastAsia="Times New Roman" w:hAnsi="Times New Roman"/>
                <w:sz w:val="13"/>
                <w:szCs w:val="13"/>
                <w:b w:val="1"/>
                <w:bCs w:val="1"/>
                <w:color w:val="auto"/>
              </w:rPr>
              <w:t>Par</w:t>
            </w:r>
          </w:p>
        </w:tc>
        <w:tc>
          <w:tcPr>
            <w:tcW w:w="140" w:type="dxa"/>
            <w:vAlign w:val="bottom"/>
          </w:tcPr>
          <w:p>
            <w:pPr>
              <w:spacing w:after="0"/>
              <w:rPr>
                <w:sz w:val="16"/>
                <w:szCs w:val="16"/>
                <w:color w:val="auto"/>
              </w:rPr>
            </w:pPr>
          </w:p>
        </w:tc>
        <w:tc>
          <w:tcPr>
            <w:tcW w:w="560" w:type="dxa"/>
            <w:vAlign w:val="bottom"/>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6"/>
              </w:rPr>
              <w:t xml:space="preserve">Fair Value </w:t>
            </w:r>
            <w:r>
              <w:rPr>
                <w:rFonts w:ascii="Times New Roman" w:cs="Times New Roman" w:eastAsia="Times New Roman" w:hAnsi="Times New Roman"/>
                <w:sz w:val="16"/>
                <w:szCs w:val="16"/>
                <w:b w:val="1"/>
                <w:bCs w:val="1"/>
                <w:color w:val="auto"/>
                <w:w w:val="96"/>
                <w:vertAlign w:val="superscript"/>
              </w:rPr>
              <w:t>2</w:t>
            </w:r>
          </w:p>
        </w:tc>
      </w:tr>
      <w:tr>
        <w:trPr>
          <w:trHeight w:val="144"/>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1/3/2025</w:t>
            </w:r>
          </w:p>
        </w:tc>
        <w:tc>
          <w:tcPr>
            <w:tcW w:w="20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11.59 %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6,859</w:t>
            </w:r>
          </w:p>
        </w:tc>
        <w:tc>
          <w:tcPr>
            <w:tcW w:w="1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6,815</w:t>
            </w:r>
          </w:p>
        </w:tc>
        <w:tc>
          <w:tcPr>
            <w:tcW w:w="2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6,825</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6"/>
              </w:rPr>
              <w:t>12/20/2024</w:t>
            </w:r>
          </w:p>
        </w:tc>
        <w:tc>
          <w:tcPr>
            <w:tcW w:w="2020" w:type="dxa"/>
            <w:vAlign w:val="bottom"/>
          </w:tcPr>
          <w:p>
            <w:pPr>
              <w:jc w:val="center"/>
              <w:ind w:right="130"/>
              <w:spacing w:after="0"/>
              <w:rPr>
                <w:sz w:val="20"/>
                <w:szCs w:val="20"/>
                <w:color w:val="auto"/>
              </w:rPr>
            </w:pPr>
            <w:r>
              <w:rPr>
                <w:rFonts w:ascii="Times New Roman" w:cs="Times New Roman" w:eastAsia="Times New Roman" w:hAnsi="Times New Roman"/>
                <w:sz w:val="10"/>
                <w:szCs w:val="10"/>
                <w:color w:val="auto"/>
                <w:w w:val="97"/>
              </w:rPr>
              <w:t>Electronics</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12.92 %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SOFR+750</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4,872</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4,872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4,823</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90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8"/>
              </w:rPr>
              <w:t>6/13/2029</w:t>
            </w:r>
          </w:p>
        </w:tc>
        <w:tc>
          <w:tcPr>
            <w:tcW w:w="20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0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11.54 %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SOFR+605</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14,850</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14,633</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14,405</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5/3/2024</w:t>
            </w:r>
          </w:p>
        </w:tc>
        <w:tc>
          <w:tcPr>
            <w:tcW w:w="20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12.04 %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11,201</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11,173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11,201</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90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8"/>
              </w:rPr>
              <w:t>5/17/2028</w:t>
            </w:r>
          </w:p>
        </w:tc>
        <w:tc>
          <w:tcPr>
            <w:tcW w:w="20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9.93 %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SOFR+450</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1,300</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1,274</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1,272</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8"/>
              </w:rPr>
              <w:t>7/17/2025</w:t>
            </w:r>
          </w:p>
        </w:tc>
        <w:tc>
          <w:tcPr>
            <w:tcW w:w="2020" w:type="dxa"/>
            <w:vAlign w:val="bottom"/>
          </w:tcPr>
          <w:p>
            <w:pPr>
              <w:jc w:val="center"/>
              <w:ind w:right="130"/>
              <w:spacing w:after="0"/>
              <w:rPr>
                <w:sz w:val="20"/>
                <w:szCs w:val="20"/>
                <w:color w:val="auto"/>
              </w:rPr>
            </w:pPr>
            <w:r>
              <w:rPr>
                <w:rFonts w:ascii="Times New Roman" w:cs="Times New Roman" w:eastAsia="Times New Roman" w:hAnsi="Times New Roman"/>
                <w:sz w:val="10"/>
                <w:szCs w:val="10"/>
                <w:color w:val="auto"/>
                <w:w w:val="93"/>
              </w:rPr>
              <w:t>Communications</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12.37 %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SOFR+700</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9,239</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9,202</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20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11.04 %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9,607</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9,352</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9,396</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6"/>
              </w:rPr>
              <w:t>12/11/2026</w:t>
            </w:r>
          </w:p>
        </w:tc>
        <w:tc>
          <w:tcPr>
            <w:tcW w:w="2020" w:type="dxa"/>
            <w:vAlign w:val="bottom"/>
          </w:tcPr>
          <w:p>
            <w:pPr>
              <w:jc w:val="center"/>
              <w:ind w:right="130"/>
              <w:spacing w:after="0"/>
              <w:rPr>
                <w:sz w:val="20"/>
                <w:szCs w:val="20"/>
                <w:color w:val="auto"/>
              </w:rPr>
            </w:pPr>
            <w:r>
              <w:rPr>
                <w:rFonts w:ascii="Times New Roman" w:cs="Times New Roman" w:eastAsia="Times New Roman" w:hAnsi="Times New Roman"/>
                <w:sz w:val="10"/>
                <w:szCs w:val="10"/>
                <w:color w:val="auto"/>
                <w:w w:val="95"/>
              </w:rPr>
              <w:t>Transportation</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10.67 %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12,099</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12,045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11,857</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90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6"/>
              </w:rPr>
              <w:t>11/24/2028</w:t>
            </w:r>
          </w:p>
        </w:tc>
        <w:tc>
          <w:tcPr>
            <w:tcW w:w="2020" w:type="dxa"/>
            <w:vAlign w:val="bottom"/>
            <w:shd w:val="clear" w:color="auto" w:fill="CCECFF"/>
          </w:tcPr>
          <w:p>
            <w:pPr>
              <w:jc w:val="center"/>
              <w:ind w:right="130"/>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10.43 %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SOFR+475</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3,572</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3,389</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3,559</w:t>
            </w:r>
          </w:p>
        </w:tc>
        <w:tc>
          <w:tcPr>
            <w:tcW w:w="80" w:type="dxa"/>
            <w:vAlign w:val="bottom"/>
            <w:shd w:val="clear" w:color="auto" w:fill="CCECFF"/>
          </w:tcPr>
          <w:p>
            <w:pPr>
              <w:spacing w:after="0"/>
              <w:rPr>
                <w:sz w:val="12"/>
                <w:szCs w:val="12"/>
                <w:color w:val="auto"/>
              </w:rPr>
            </w:pPr>
          </w:p>
        </w:tc>
      </w:tr>
      <w:tr>
        <w:trPr>
          <w:trHeight w:val="133"/>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9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8"/>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8"/>
              </w:rPr>
              <w:t>8/16/2027</w:t>
            </w:r>
          </w:p>
        </w:tc>
        <w:tc>
          <w:tcPr>
            <w:tcW w:w="20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11.49 %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15,966</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15,695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15,790</w:t>
            </w:r>
          </w:p>
        </w:tc>
        <w:tc>
          <w:tcPr>
            <w:tcW w:w="80" w:type="dxa"/>
            <w:vAlign w:val="bottom"/>
          </w:tcPr>
          <w:p>
            <w:pPr>
              <w:spacing w:after="0"/>
              <w:rPr>
                <w:sz w:val="11"/>
                <w:szCs w:val="1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90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6"/>
              </w:rPr>
              <w:t>11/24/2028</w:t>
            </w:r>
          </w:p>
        </w:tc>
        <w:tc>
          <w:tcPr>
            <w:tcW w:w="2020" w:type="dxa"/>
            <w:vAlign w:val="bottom"/>
            <w:shd w:val="clear" w:color="auto" w:fill="CCECFF"/>
          </w:tcPr>
          <w:p>
            <w:pPr>
              <w:jc w:val="center"/>
              <w:ind w:right="130"/>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10.75 %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SOFR+515</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2,688</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2,584</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2,627</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8"/>
              </w:rPr>
              <w:t>7/18/2025</w:t>
            </w:r>
          </w:p>
        </w:tc>
        <w:tc>
          <w:tcPr>
            <w:tcW w:w="2020" w:type="dxa"/>
            <w:vAlign w:val="bottom"/>
          </w:tcPr>
          <w:p>
            <w:pPr>
              <w:jc w:val="center"/>
              <w:ind w:right="130"/>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10.67 %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2,936</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2,927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2,931</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90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6"/>
              </w:rPr>
              <w:t>10/31/2025</w:t>
            </w:r>
          </w:p>
        </w:tc>
        <w:tc>
          <w:tcPr>
            <w:tcW w:w="20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12.04 %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11,095</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11,008</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10,929</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8"/>
              </w:rPr>
              <w:t>7/27/2026</w:t>
            </w:r>
          </w:p>
        </w:tc>
        <w:tc>
          <w:tcPr>
            <w:tcW w:w="20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12.79 %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SOFR+725</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7,855</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7,872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7,823</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0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8"/>
              </w:rPr>
              <w:t>8/31/2027</w:t>
            </w:r>
          </w:p>
        </w:tc>
        <w:tc>
          <w:tcPr>
            <w:tcW w:w="20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11.70 %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SOFR+635</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7,690</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7,596</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7,628</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6"/>
              </w:rPr>
              <w:t>11/24/2025</w:t>
            </w:r>
          </w:p>
        </w:tc>
        <w:tc>
          <w:tcPr>
            <w:tcW w:w="2020" w:type="dxa"/>
            <w:vAlign w:val="bottom"/>
          </w:tcPr>
          <w:p>
            <w:pPr>
              <w:jc w:val="center"/>
              <w:ind w:right="130"/>
              <w:spacing w:after="0"/>
              <w:rPr>
                <w:sz w:val="20"/>
                <w:szCs w:val="20"/>
                <w:color w:val="auto"/>
              </w:rPr>
            </w:pPr>
            <w:r>
              <w:rPr>
                <w:rFonts w:ascii="Times New Roman" w:cs="Times New Roman" w:eastAsia="Times New Roman" w:hAnsi="Times New Roman"/>
                <w:sz w:val="10"/>
                <w:szCs w:val="10"/>
                <w:color w:val="auto"/>
                <w:w w:val="97"/>
              </w:rPr>
              <w:t>Food</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10.68 %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5,479</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5,479</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6/6/2025</w:t>
            </w:r>
          </w:p>
        </w:tc>
        <w:tc>
          <w:tcPr>
            <w:tcW w:w="20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w w:val="93"/>
              </w:rPr>
              <w:t>Education</w:t>
            </w:r>
          </w:p>
        </w:tc>
        <w:tc>
          <w:tcPr>
            <w:tcW w:w="90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11.80 %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7,177</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7,161</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7,177</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4/3/2028</w:t>
            </w:r>
          </w:p>
        </w:tc>
        <w:tc>
          <w:tcPr>
            <w:tcW w:w="20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10.90 %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11,393</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11,285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10,391</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90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8"/>
              </w:rPr>
              <w:t>6/15/2026</w:t>
            </w:r>
          </w:p>
        </w:tc>
        <w:tc>
          <w:tcPr>
            <w:tcW w:w="2020" w:type="dxa"/>
            <w:vAlign w:val="bottom"/>
            <w:shd w:val="clear" w:color="auto" w:fill="CCECFF"/>
          </w:tcPr>
          <w:p>
            <w:pPr>
              <w:jc w:val="center"/>
              <w:ind w:right="130"/>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11.79 %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3,860</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3,792</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3,780</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8"/>
              </w:rPr>
              <w:t>2/27/2026</w:t>
            </w:r>
          </w:p>
        </w:tc>
        <w:tc>
          <w:tcPr>
            <w:tcW w:w="2020" w:type="dxa"/>
            <w:vAlign w:val="bottom"/>
          </w:tcPr>
          <w:p>
            <w:pPr>
              <w:jc w:val="center"/>
              <w:ind w:right="130"/>
              <w:spacing w:after="0"/>
              <w:rPr>
                <w:sz w:val="20"/>
                <w:szCs w:val="20"/>
                <w:color w:val="auto"/>
              </w:rPr>
            </w:pPr>
            <w:r>
              <w:rPr>
                <w:rFonts w:ascii="Times New Roman" w:cs="Times New Roman" w:eastAsia="Times New Roman" w:hAnsi="Times New Roman"/>
                <w:sz w:val="10"/>
                <w:szCs w:val="10"/>
                <w:color w:val="auto"/>
                <w:w w:val="97"/>
              </w:rPr>
              <w:t>Electronics</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10.54 %</w:t>
            </w:r>
          </w:p>
        </w:tc>
        <w:tc>
          <w:tcPr>
            <w:tcW w:w="10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SOFR+515</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11,386</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11,323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11,272</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3/1/2024</w:t>
            </w:r>
          </w:p>
        </w:tc>
        <w:tc>
          <w:tcPr>
            <w:tcW w:w="20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12.67 %</w:t>
            </w:r>
          </w:p>
        </w:tc>
        <w:tc>
          <w:tcPr>
            <w:tcW w:w="10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SOFR+725</w:t>
            </w:r>
          </w:p>
        </w:tc>
        <w:tc>
          <w:tcPr>
            <w:tcW w:w="10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19,682</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19,582</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19,042</w:t>
            </w:r>
          </w:p>
        </w:tc>
        <w:tc>
          <w:tcPr>
            <w:tcW w:w="80" w:type="dxa"/>
            <w:vAlign w:val="bottom"/>
            <w:shd w:val="clear" w:color="auto" w:fill="CCECFF"/>
          </w:tcPr>
          <w:p>
            <w:pPr>
              <w:spacing w:after="0"/>
              <w:rPr>
                <w:sz w:val="12"/>
                <w:szCs w:val="12"/>
                <w:color w:val="auto"/>
              </w:rPr>
            </w:pPr>
          </w:p>
        </w:tc>
      </w:tr>
      <w:tr>
        <w:trPr>
          <w:trHeight w:val="144"/>
        </w:trPr>
        <w:tc>
          <w:tcPr>
            <w:tcW w:w="2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8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810,737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804,187</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- 783.7%</w:t>
            </w:r>
          </w:p>
        </w:tc>
        <w:tc>
          <w:tcPr>
            <w:tcW w:w="9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- 57.6%</w:t>
            </w: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9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80" w:type="dxa"/>
            <w:vAlign w:val="bottom"/>
          </w:tcPr>
          <w:p>
            <w:pPr>
              <w:spacing w:after="0"/>
              <w:rPr>
                <w:sz w:val="12"/>
                <w:szCs w:val="12"/>
                <w:color w:val="auto"/>
              </w:rPr>
            </w:pPr>
          </w:p>
        </w:tc>
      </w:tr>
      <w:tr>
        <w:trPr>
          <w:trHeight w:val="188"/>
        </w:trPr>
        <w:tc>
          <w:tcPr>
            <w:tcW w:w="2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- 841.3%</w:t>
            </w:r>
          </w:p>
        </w:tc>
        <w:tc>
          <w:tcPr>
            <w:tcW w:w="900" w:type="dxa"/>
            <w:vAlign w:val="bottom"/>
            <w:tcBorders>
              <w:bottom w:val="single" w:sz="8" w:color="CCECFF"/>
            </w:tcBorders>
            <w:shd w:val="clear" w:color="auto" w:fill="CCECFF"/>
          </w:tcPr>
          <w:p>
            <w:pPr>
              <w:spacing w:after="0"/>
              <w:rPr>
                <w:sz w:val="16"/>
                <w:szCs w:val="16"/>
                <w:color w:val="auto"/>
              </w:rPr>
            </w:pPr>
          </w:p>
        </w:tc>
        <w:tc>
          <w:tcPr>
            <w:tcW w:w="2020" w:type="dxa"/>
            <w:vAlign w:val="bottom"/>
            <w:tcBorders>
              <w:bottom w:val="single" w:sz="8" w:color="CCECFF"/>
            </w:tcBorders>
            <w:shd w:val="clear" w:color="auto" w:fill="CCECFF"/>
          </w:tcPr>
          <w:p>
            <w:pPr>
              <w:spacing w:after="0"/>
              <w:rPr>
                <w:sz w:val="16"/>
                <w:szCs w:val="16"/>
                <w:color w:val="auto"/>
              </w:rPr>
            </w:pPr>
          </w:p>
        </w:tc>
        <w:tc>
          <w:tcPr>
            <w:tcW w:w="900" w:type="dxa"/>
            <w:vAlign w:val="bottom"/>
            <w:tcBorders>
              <w:bottom w:val="single" w:sz="8" w:color="CCECFF"/>
            </w:tcBorders>
            <w:shd w:val="clear" w:color="auto" w:fill="CCECFF"/>
          </w:tcPr>
          <w:p>
            <w:pPr>
              <w:spacing w:after="0"/>
              <w:rPr>
                <w:sz w:val="16"/>
                <w:szCs w:val="16"/>
                <w:color w:val="auto"/>
              </w:rPr>
            </w:pPr>
          </w:p>
        </w:tc>
        <w:tc>
          <w:tcPr>
            <w:tcW w:w="1020" w:type="dxa"/>
            <w:vAlign w:val="bottom"/>
            <w:tcBorders>
              <w:bottom w:val="single" w:sz="8" w:color="CCECFF"/>
            </w:tcBorders>
            <w:shd w:val="clear" w:color="auto" w:fill="CCECFF"/>
          </w:tcPr>
          <w:p>
            <w:pPr>
              <w:spacing w:after="0"/>
              <w:rPr>
                <w:sz w:val="16"/>
                <w:szCs w:val="16"/>
                <w:color w:val="auto"/>
              </w:rPr>
            </w:pPr>
          </w:p>
        </w:tc>
        <w:tc>
          <w:tcPr>
            <w:tcW w:w="108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auto"/>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869,833</w:t>
            </w:r>
          </w:p>
        </w:tc>
        <w:tc>
          <w:tcPr>
            <w:tcW w:w="18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863,283</w:t>
            </w:r>
          </w:p>
        </w:tc>
        <w:tc>
          <w:tcPr>
            <w:tcW w:w="80" w:type="dxa"/>
            <w:vAlign w:val="bottom"/>
            <w:tcBorders>
              <w:bottom w:val="single" w:sz="8" w:color="CCECFF"/>
            </w:tcBorders>
            <w:shd w:val="clear" w:color="auto" w:fill="CCECFF"/>
          </w:tcPr>
          <w:p>
            <w:pPr>
              <w:spacing w:after="0"/>
              <w:rPr>
                <w:sz w:val="16"/>
                <w:szCs w:val="16"/>
                <w:color w:val="auto"/>
              </w:rPr>
            </w:pPr>
          </w:p>
        </w:tc>
      </w:tr>
      <w:tr>
        <w:trPr>
          <w:trHeight w:val="116"/>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(741.3)%</w:t>
            </w:r>
          </w:p>
        </w:tc>
        <w:tc>
          <w:tcPr>
            <w:tcW w:w="9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(760,665 )</w:t>
            </w:r>
          </w:p>
        </w:tc>
      </w:tr>
      <w:tr>
        <w:trPr>
          <w:trHeight w:val="188"/>
        </w:trPr>
        <w:tc>
          <w:tcPr>
            <w:tcW w:w="2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900" w:type="dxa"/>
            <w:vAlign w:val="bottom"/>
            <w:tcBorders>
              <w:bottom w:val="single" w:sz="8" w:color="CCECFF"/>
            </w:tcBorders>
            <w:shd w:val="clear" w:color="auto" w:fill="CCECFF"/>
          </w:tcPr>
          <w:p>
            <w:pPr>
              <w:spacing w:after="0"/>
              <w:rPr>
                <w:sz w:val="16"/>
                <w:szCs w:val="16"/>
                <w:color w:val="auto"/>
              </w:rPr>
            </w:pPr>
          </w:p>
        </w:tc>
        <w:tc>
          <w:tcPr>
            <w:tcW w:w="2020" w:type="dxa"/>
            <w:vAlign w:val="bottom"/>
            <w:tcBorders>
              <w:bottom w:val="single" w:sz="8" w:color="CCECFF"/>
            </w:tcBorders>
            <w:shd w:val="clear" w:color="auto" w:fill="CCECFF"/>
          </w:tcPr>
          <w:p>
            <w:pPr>
              <w:spacing w:after="0"/>
              <w:rPr>
                <w:sz w:val="16"/>
                <w:szCs w:val="16"/>
                <w:color w:val="auto"/>
              </w:rPr>
            </w:pPr>
          </w:p>
        </w:tc>
        <w:tc>
          <w:tcPr>
            <w:tcW w:w="900" w:type="dxa"/>
            <w:vAlign w:val="bottom"/>
            <w:tcBorders>
              <w:bottom w:val="single" w:sz="8" w:color="CCECFF"/>
            </w:tcBorders>
            <w:shd w:val="clear" w:color="auto" w:fill="CCECFF"/>
          </w:tcPr>
          <w:p>
            <w:pPr>
              <w:spacing w:after="0"/>
              <w:rPr>
                <w:sz w:val="16"/>
                <w:szCs w:val="16"/>
                <w:color w:val="auto"/>
              </w:rPr>
            </w:pPr>
          </w:p>
        </w:tc>
        <w:tc>
          <w:tcPr>
            <w:tcW w:w="1020" w:type="dxa"/>
            <w:vAlign w:val="bottom"/>
            <w:tcBorders>
              <w:bottom w:val="single" w:sz="8" w:color="CCECFF"/>
            </w:tcBorders>
            <w:shd w:val="clear" w:color="auto" w:fill="CCECFF"/>
          </w:tcPr>
          <w:p>
            <w:pPr>
              <w:spacing w:after="0"/>
              <w:rPr>
                <w:sz w:val="16"/>
                <w:szCs w:val="16"/>
                <w:color w:val="auto"/>
              </w:rPr>
            </w:pPr>
          </w:p>
        </w:tc>
        <w:tc>
          <w:tcPr>
            <w:tcW w:w="108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CCECFF"/>
            </w:tcBorders>
            <w:shd w:val="clear" w:color="auto" w:fill="CCECFF"/>
          </w:tcPr>
          <w:p>
            <w:pPr>
              <w:spacing w:after="0"/>
              <w:rPr>
                <w:sz w:val="16"/>
                <w:szCs w:val="16"/>
                <w:color w:val="auto"/>
              </w:rPr>
            </w:pPr>
          </w:p>
        </w:tc>
        <w:tc>
          <w:tcPr>
            <w:tcW w:w="560" w:type="dxa"/>
            <w:vAlign w:val="bottom"/>
            <w:tcBorders>
              <w:bottom w:val="single" w:sz="8" w:color="CCECFF"/>
            </w:tcBorders>
            <w:shd w:val="clear" w:color="auto" w:fill="CCECFF"/>
          </w:tcPr>
          <w:p>
            <w:pPr>
              <w:spacing w:after="0"/>
              <w:rPr>
                <w:sz w:val="16"/>
                <w:szCs w:val="16"/>
                <w:color w:val="auto"/>
              </w:rPr>
            </w:pPr>
          </w:p>
        </w:tc>
        <w:tc>
          <w:tcPr>
            <w:tcW w:w="18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102,618</w:t>
            </w:r>
          </w:p>
        </w:tc>
        <w:tc>
          <w:tcPr>
            <w:tcW w:w="80" w:type="dxa"/>
            <w:vAlign w:val="bottom"/>
            <w:tcBorders>
              <w:bottom w:val="single" w:sz="8" w:color="CCECFF"/>
            </w:tcBorders>
            <w:shd w:val="clear" w:color="auto" w:fill="CCECFF"/>
          </w:tcPr>
          <w:p>
            <w:pPr>
              <w:spacing w:after="0"/>
              <w:rPr>
                <w:sz w:val="16"/>
                <w:szCs w:val="16"/>
                <w:color w:val="auto"/>
              </w:rPr>
            </w:pPr>
          </w:p>
        </w:tc>
      </w:tr>
    </w:tbl>
    <w:p>
      <w:pPr>
        <w:spacing w:after="0" w:line="217" w:lineRule="exact"/>
        <w:rPr>
          <w:sz w:val="20"/>
          <w:szCs w:val="20"/>
          <w:color w:val="auto"/>
        </w:rPr>
      </w:pPr>
    </w:p>
    <w:p>
      <w:pPr>
        <w:ind w:right="3080"/>
        <w:spacing w:after="0" w:line="231"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or Prime rate or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PSLF’s accounting policy.</w:t>
      </w:r>
    </w:p>
    <w:p>
      <w:pPr>
        <w:ind w:right="3200"/>
        <w:spacing w:after="0" w:line="211" w:lineRule="auto"/>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assets and liabilities for PSLF ($ in thousands):</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6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June 30, 2024 (Unaudited)</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0" w:type="dxa"/>
            <w:vAlign w:val="bottom"/>
          </w:tcPr>
          <w:p>
            <w:pPr>
              <w:spacing w:after="0"/>
              <w:rPr>
                <w:sz w:val="1"/>
                <w:szCs w:val="1"/>
                <w:color w:val="auto"/>
              </w:rPr>
            </w:pPr>
          </w:p>
        </w:tc>
      </w:tr>
      <w:tr>
        <w:trPr>
          <w:trHeight w:val="184"/>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cost—$930,700 and $810,737, respectively)</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926,103</w:t>
            </w:r>
          </w:p>
        </w:tc>
        <w:tc>
          <w:tcPr>
            <w:tcW w:w="540" w:type="dxa"/>
            <w:vAlign w:val="bottom"/>
            <w:gridSpan w:val="2"/>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(cost—$44,765 and $59,096, respectively)</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44,765</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10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5,648</w:t>
            </w:r>
          </w:p>
        </w:tc>
        <w:tc>
          <w:tcPr>
            <w:tcW w:w="3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5,248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from affiliate</w:t>
            </w:r>
          </w:p>
        </w:tc>
        <w:tc>
          <w:tcPr>
            <w:tcW w:w="10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3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3,296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6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977,010</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872,763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shd w:val="clear" w:color="auto" w:fill="CCECFF"/>
          </w:tcPr>
          <w:p>
            <w:pPr>
              <w:spacing w:after="0"/>
              <w:rPr>
                <w:sz w:val="15"/>
                <w:szCs w:val="15"/>
                <w:color w:val="auto"/>
              </w:rPr>
            </w:pPr>
          </w:p>
        </w:tc>
        <w:tc>
          <w:tcPr>
            <w:tcW w:w="16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2034 Asset-backed debt, net (par—$246,000)</w:t>
            </w:r>
          </w:p>
        </w:tc>
        <w:tc>
          <w:tcPr>
            <w:tcW w:w="10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244,575</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244,284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6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w:t>
            </w:r>
          </w:p>
        </w:tc>
        <w:tc>
          <w:tcPr>
            <w:tcW w:w="10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244,021</w:t>
            </w:r>
          </w:p>
        </w:tc>
        <w:tc>
          <w:tcPr>
            <w:tcW w:w="3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243,727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191,546</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10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152,600</w:t>
            </w:r>
          </w:p>
        </w:tc>
        <w:tc>
          <w:tcPr>
            <w:tcW w:w="3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88,600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11,413</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Distribution payable to members</w:t>
            </w:r>
          </w:p>
        </w:tc>
        <w:tc>
          <w:tcPr>
            <w:tcW w:w="10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12,210</w:t>
            </w:r>
          </w:p>
        </w:tc>
        <w:tc>
          <w:tcPr>
            <w:tcW w:w="3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7,250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4,397</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0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3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to affiliate</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10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6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861,772</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770,145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 xml:space="preserve">Commitments and contingencies </w:t>
            </w:r>
            <w:r>
              <w:rPr>
                <w:rFonts w:ascii="Times New Roman" w:cs="Times New Roman" w:eastAsia="Times New Roman" w:hAnsi="Times New Roman"/>
                <w:sz w:val="16"/>
                <w:szCs w:val="16"/>
                <w:color w:val="auto"/>
                <w:vertAlign w:val="superscript"/>
              </w:rPr>
              <w:t>1</w:t>
            </w:r>
          </w:p>
        </w:tc>
        <w:tc>
          <w:tcPr>
            <w:tcW w:w="100" w:type="dxa"/>
            <w:vAlign w:val="bottom"/>
            <w:shd w:val="clear" w:color="auto" w:fill="CCECFF"/>
          </w:tcPr>
          <w:p>
            <w:pPr>
              <w:spacing w:after="0"/>
              <w:rPr>
                <w:sz w:val="15"/>
                <w:szCs w:val="15"/>
                <w:color w:val="auto"/>
              </w:rPr>
            </w:pPr>
          </w:p>
        </w:tc>
        <w:tc>
          <w:tcPr>
            <w:tcW w:w="16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6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115,238</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66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977,010</w:t>
            </w:r>
          </w:p>
        </w:tc>
        <w:tc>
          <w:tcPr>
            <w:tcW w:w="36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872,763</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As of June 30, 2024 and September 30, 2023, PSLF had zero and $0.5 million, respectively, of unfunded commitments to fund investments</w:t>
      </w:r>
    </w:p>
    <w:p>
      <w:pPr>
        <w:sectPr>
          <w:pgSz w:w="11900" w:h="16840" w:orient="portrait"/>
          <w:cols w:equalWidth="0" w:num="1">
            <w:col w:w="10560"/>
          </w:cols>
          <w:pgMar w:left="660" w:top="1132" w:right="68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type w:val="continuous"/>
        </w:sectPr>
      </w:pPr>
    </w:p>
    <w:bookmarkStart w:id="34" w:name="page35"/>
    <w:bookmarkEnd w:id="34"/>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operations for PSLF ($ in thousands):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8"/>
        </w:trPr>
        <w:tc>
          <w:tcPr>
            <w:tcW w:w="6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40" w:type="dxa"/>
            <w:vAlign w:val="bottom"/>
          </w:tcPr>
          <w:p>
            <w:pPr>
              <w:spacing w:after="0"/>
              <w:rPr>
                <w:sz w:val="24"/>
                <w:szCs w:val="24"/>
                <w:color w:val="auto"/>
              </w:rPr>
            </w:pPr>
          </w:p>
        </w:tc>
        <w:tc>
          <w:tcPr>
            <w:tcW w:w="2040" w:type="dxa"/>
            <w:vAlign w:val="bottom"/>
            <w:gridSpan w:val="5"/>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Nine Months Ended June 30,</w:t>
            </w:r>
          </w:p>
        </w:tc>
        <w:tc>
          <w:tcPr>
            <w:tcW w:w="0" w:type="dxa"/>
            <w:vAlign w:val="bottom"/>
          </w:tcPr>
          <w:p>
            <w:pPr>
              <w:spacing w:after="0"/>
              <w:rPr>
                <w:sz w:val="1"/>
                <w:szCs w:val="1"/>
                <w:color w:val="auto"/>
              </w:rPr>
            </w:pPr>
          </w:p>
        </w:tc>
      </w:tr>
      <w:tr>
        <w:trPr>
          <w:trHeight w:val="180"/>
        </w:trPr>
        <w:tc>
          <w:tcPr>
            <w:tcW w:w="6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28,866</w:t>
            </w: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22,848</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83,812</w:t>
            </w:r>
          </w:p>
        </w:tc>
        <w:tc>
          <w:tcPr>
            <w:tcW w:w="400" w:type="dxa"/>
            <w:vAlign w:val="bottom"/>
            <w:gridSpan w:val="2"/>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62,916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29,088</w:t>
            </w: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23,270</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84,508</w:t>
            </w: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64,186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expense on credit facility and asset-backed debt</w:t>
            </w:r>
          </w:p>
        </w:tc>
        <w:tc>
          <w:tcPr>
            <w:tcW w:w="14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13,635</w:t>
            </w:r>
          </w:p>
        </w:tc>
        <w:tc>
          <w:tcPr>
            <w:tcW w:w="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9,798</w:t>
            </w:r>
          </w:p>
        </w:tc>
        <w:tc>
          <w:tcPr>
            <w:tcW w:w="1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39,613</w:t>
            </w:r>
          </w:p>
        </w:tc>
        <w:tc>
          <w:tcPr>
            <w:tcW w:w="8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26,487</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Administration fees</w:t>
            </w:r>
          </w:p>
        </w:tc>
        <w:tc>
          <w:tcPr>
            <w:tcW w:w="140" w:type="dxa"/>
            <w:vAlign w:val="bottom"/>
            <w:shd w:val="clear" w:color="auto" w:fill="CCECFF"/>
          </w:tcPr>
          <w:p>
            <w:pPr>
              <w:spacing w:after="0"/>
              <w:rPr>
                <w:sz w:val="15"/>
                <w:szCs w:val="15"/>
                <w:color w:val="auto"/>
              </w:rPr>
            </w:pPr>
          </w:p>
        </w:tc>
        <w:tc>
          <w:tcPr>
            <w:tcW w:w="8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1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1,948</w:t>
            </w:r>
          </w:p>
        </w:tc>
        <w:tc>
          <w:tcPr>
            <w:tcW w:w="8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40" w:type="dxa"/>
            <w:vAlign w:val="bottom"/>
            <w:vMerge w:val="continue"/>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20" w:type="dxa"/>
            <w:vAlign w:val="bottom"/>
            <w:vMerge w:val="continue"/>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21,168</w:t>
            </w: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15,902</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60,647</w:t>
            </w: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43,828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23,861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20,358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1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(43 )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(22 )</w:t>
            </w:r>
          </w:p>
        </w:tc>
        <w:tc>
          <w:tcPr>
            <w:tcW w:w="0" w:type="dxa"/>
            <w:vAlign w:val="bottom"/>
          </w:tcPr>
          <w:p>
            <w:pPr>
              <w:spacing w:after="0"/>
              <w:rPr>
                <w:sz w:val="1"/>
                <w:szCs w:val="1"/>
                <w:color w:val="auto"/>
              </w:rPr>
            </w:pPr>
          </w:p>
        </w:tc>
      </w:tr>
      <w:tr>
        <w:trPr>
          <w:trHeight w:val="184"/>
        </w:trPr>
        <w:tc>
          <w:tcPr>
            <w:tcW w:w="6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4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(400 )</w:t>
            </w: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1,683</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1,935</w:t>
            </w: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(3,934 )</w:t>
            </w:r>
          </w:p>
        </w:tc>
        <w:tc>
          <w:tcPr>
            <w:tcW w:w="0" w:type="dxa"/>
            <w:vAlign w:val="bottom"/>
          </w:tcPr>
          <w:p>
            <w:pPr>
              <w:spacing w:after="0"/>
              <w:rPr>
                <w:sz w:val="1"/>
                <w:szCs w:val="1"/>
                <w:color w:val="auto"/>
              </w:rPr>
            </w:pPr>
          </w:p>
        </w:tc>
      </w:tr>
      <w:tr>
        <w:trPr>
          <w:trHeight w:val="177"/>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14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(400 )</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(3,956 )</w:t>
            </w:r>
          </w:p>
        </w:tc>
        <w:tc>
          <w:tcPr>
            <w:tcW w:w="0" w:type="dxa"/>
            <w:vAlign w:val="bottom"/>
          </w:tcPr>
          <w:p>
            <w:pPr>
              <w:spacing w:after="0"/>
              <w:rPr>
                <w:sz w:val="1"/>
                <w:szCs w:val="1"/>
                <w:color w:val="auto"/>
              </w:rPr>
            </w:pPr>
          </w:p>
        </w:tc>
      </w:tr>
      <w:tr>
        <w:trPr>
          <w:trHeight w:val="220"/>
        </w:trPr>
        <w:tc>
          <w:tcPr>
            <w:tcW w:w="61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7,520</w:t>
            </w:r>
          </w:p>
        </w:tc>
        <w:tc>
          <w:tcPr>
            <w:tcW w:w="10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9,008</w:t>
            </w:r>
          </w:p>
        </w:tc>
        <w:tc>
          <w:tcPr>
            <w:tcW w:w="12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25,796</w:t>
            </w:r>
          </w:p>
        </w:tc>
        <w:tc>
          <w:tcPr>
            <w:tcW w:w="8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16,402</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0"/>
          <w:szCs w:val="10"/>
          <w:color w:val="auto"/>
        </w:rPr>
        <w:t>———————————</w:t>
      </w:r>
    </w:p>
    <w:p>
      <w:pPr>
        <w:ind w:left="160" w:hanging="154"/>
        <w:spacing w:after="0" w:line="231" w:lineRule="auto"/>
        <w:tabs>
          <w:tab w:leader="none" w:pos="16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No management or incentive fees are payable by PSLF.</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 FAIR VALUE OF FINANCIAL INSTRUMENTS</w:t>
      </w:r>
    </w:p>
    <w:p>
      <w:pPr>
        <w:spacing w:after="0" w:line="165"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87"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3"/>
          <w:szCs w:val="13"/>
          <w:color w:val="auto"/>
        </w:rPr>
        <w:t>Level 1:</w:t>
      </w:r>
      <w:r>
        <w:rPr>
          <w:sz w:val="20"/>
          <w:szCs w:val="20"/>
          <w:color w:val="auto"/>
        </w:rPr>
        <w:tab/>
      </w:r>
      <w:r>
        <w:rPr>
          <w:rFonts w:ascii="Times New Roman" w:cs="Times New Roman" w:eastAsia="Times New Roman" w:hAnsi="Times New Roman"/>
          <w:sz w:val="13"/>
          <w:szCs w:val="13"/>
          <w:color w:val="auto"/>
        </w:rPr>
        <w:t>Inputs that are quoted prices (unadjusted) in active markets for identical assets or liabilities, accessible by us at the measurement date.</w:t>
      </w:r>
    </w:p>
    <w:p>
      <w:pPr>
        <w:spacing w:after="0" w:line="175" w:lineRule="exact"/>
        <w:rPr>
          <w:sz w:val="20"/>
          <w:szCs w:val="20"/>
          <w:color w:val="auto"/>
        </w:rPr>
      </w:pPr>
    </w:p>
    <w:p>
      <w:pPr>
        <w:ind w:left="1600" w:right="780" w:hanging="1055"/>
        <w:spacing w:after="0" w:line="268" w:lineRule="auto"/>
        <w:tabs>
          <w:tab w:leader="none" w:pos="1580" w:val="left"/>
        </w:tabs>
        <w:rPr>
          <w:sz w:val="20"/>
          <w:szCs w:val="20"/>
          <w:color w:val="auto"/>
        </w:rPr>
      </w:pPr>
      <w:r>
        <w:rPr>
          <w:rFonts w:ascii="Times New Roman" w:cs="Times New Roman" w:eastAsia="Times New Roman" w:hAnsi="Times New Roman"/>
          <w:sz w:val="13"/>
          <w:szCs w:val="13"/>
          <w:color w:val="auto"/>
        </w:rPr>
        <w:t>Level 2:</w:t>
      </w:r>
      <w:r>
        <w:rPr>
          <w:sz w:val="20"/>
          <w:szCs w:val="20"/>
          <w:color w:val="auto"/>
        </w:rPr>
        <w:tab/>
      </w:r>
      <w:r>
        <w:rPr>
          <w:rFonts w:ascii="Times New Roman" w:cs="Times New Roman" w:eastAsia="Times New Roman" w:hAnsi="Times New Roman"/>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35" w:lineRule="exact"/>
        <w:rPr>
          <w:sz w:val="20"/>
          <w:szCs w:val="20"/>
          <w:color w:val="auto"/>
        </w:rPr>
      </w:pPr>
    </w:p>
    <w:p>
      <w:pPr>
        <w:ind w:left="1600" w:right="780" w:hanging="1055"/>
        <w:spacing w:after="0" w:line="286" w:lineRule="auto"/>
        <w:tabs>
          <w:tab w:leader="none" w:pos="1580" w:val="left"/>
        </w:tabs>
        <w:rPr>
          <w:sz w:val="20"/>
          <w:szCs w:val="20"/>
          <w:color w:val="auto"/>
        </w:rPr>
      </w:pPr>
      <w:r>
        <w:rPr>
          <w:rFonts w:ascii="Times New Roman" w:cs="Times New Roman" w:eastAsia="Times New Roman" w:hAnsi="Times New Roman"/>
          <w:sz w:val="13"/>
          <w:szCs w:val="13"/>
          <w:color w:val="auto"/>
        </w:rPr>
        <w:t>Level 3:</w:t>
      </w:r>
      <w:r>
        <w:rPr>
          <w:sz w:val="20"/>
          <w:szCs w:val="20"/>
          <w:color w:val="auto"/>
        </w:rPr>
        <w:tab/>
      </w:r>
      <w:r>
        <w:rPr>
          <w:rFonts w:ascii="Times New Roman" w:cs="Times New Roman" w:eastAsia="Times New Roman" w:hAnsi="Times New Roman"/>
          <w:sz w:val="13"/>
          <w:szCs w:val="13"/>
          <w:color w:val="auto"/>
        </w:rPr>
        <w:t>Inputs that are unobservable for an asset or liability because they are based on our own assumptions about how market participants would price the asset or liability.</w:t>
      </w:r>
    </w:p>
    <w:p>
      <w:pPr>
        <w:spacing w:after="0" w:line="244"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and our Truist Credit Facility are classified as Level 3.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7"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30" w:lineRule="exact"/>
        <w:rPr>
          <w:sz w:val="20"/>
          <w:szCs w:val="20"/>
          <w:color w:val="auto"/>
        </w:rPr>
      </w:pPr>
    </w:p>
    <w:p>
      <w:pPr>
        <w:ind w:right="20" w:firstLine="420"/>
        <w:spacing w:after="0" w:line="260" w:lineRule="auto"/>
        <w:rPr>
          <w:sz w:val="20"/>
          <w:szCs w:val="20"/>
          <w:color w:val="auto"/>
        </w:rPr>
      </w:pPr>
      <w:r>
        <w:rPr>
          <w:rFonts w:ascii="Times New Roman" w:cs="Times New Roman" w:eastAsia="Times New Roman" w:hAnsi="Times New Roman"/>
          <w:sz w:val="13"/>
          <w:szCs w:val="13"/>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288"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A review of fair value hierarchy classifications is conducted on a quarterly basis. Changes in our ability to observe valuation inputs may result in a reclassification for certain financial assets or liabilities.</w:t>
      </w:r>
    </w:p>
    <w:p>
      <w:pPr>
        <w:spacing w:after="0" w:line="76"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2026 Notes, our 2026 Notes -2 and our Truist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ectPr>
          <w:pgSz w:w="11900" w:h="16840" w:orient="portrait"/>
          <w:cols w:equalWidth="0" w:num="1">
            <w:col w:w="10560"/>
          </w:cols>
          <w:pgMar w:left="660" w:top="1132" w:right="680"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type w:val="continuous"/>
        </w:sectPr>
      </w:pPr>
    </w:p>
    <w:bookmarkStart w:id="35" w:name="page36"/>
    <w:bookmarkEnd w:id="35"/>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149"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130" w:lineRule="exact"/>
        <w:rPr>
          <w:sz w:val="20"/>
          <w:szCs w:val="20"/>
          <w:color w:val="auto"/>
        </w:rPr>
      </w:pPr>
    </w:p>
    <w:p>
      <w:pPr>
        <w:ind w:right="80" w:firstLine="420"/>
        <w:spacing w:after="0" w:line="254" w:lineRule="auto"/>
        <w:rPr>
          <w:sz w:val="20"/>
          <w:szCs w:val="20"/>
          <w:color w:val="auto"/>
        </w:rPr>
      </w:pPr>
      <w:r>
        <w:rPr>
          <w:rFonts w:ascii="Times New Roman" w:cs="Times New Roman" w:eastAsia="Times New Roman" w:hAnsi="Times New Roman"/>
          <w:sz w:val="13"/>
          <w:szCs w:val="13"/>
          <w:color w:val="auto"/>
        </w:rPr>
        <w:t>The remainder of our investment portfolio and our long -term Truist Credit Facility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("EBITDA"), multiple will result in an increase in the valuation of an investment, while a decrease in an EBITDA multiple will have the opposite effect.</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Level 3 valuation techniques, unobservable inputs and ranges were categorized as follows for ASC 820 purposes: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of Input</w:t>
            </w:r>
          </w:p>
        </w:tc>
      </w:tr>
      <w:tr>
        <w:trPr>
          <w:trHeight w:val="193"/>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 ($ in thousands)</w:t>
            </w:r>
          </w:p>
        </w:tc>
        <w:tc>
          <w:tcPr>
            <w:tcW w:w="220" w:type="dxa"/>
            <w:vAlign w:val="bottom"/>
          </w:tcPr>
          <w:p>
            <w:pPr>
              <w:spacing w:after="0"/>
              <w:rPr>
                <w:sz w:val="16"/>
                <w:szCs w:val="16"/>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200" w:type="dxa"/>
            <w:vAlign w:val="bottom"/>
          </w:tcPr>
          <w:p>
            <w:pPr>
              <w:jc w:val="center"/>
              <w:ind w:left="17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xml:space="preserve">(Weighted Average) </w:t>
            </w:r>
            <w:r>
              <w:rPr>
                <w:rFonts w:ascii="Times New Roman" w:cs="Times New Roman" w:eastAsia="Times New Roman" w:hAnsi="Times New Roman"/>
                <w:sz w:val="16"/>
                <w:szCs w:val="16"/>
                <w:b w:val="1"/>
                <w:bCs w:val="1"/>
                <w:color w:val="auto"/>
                <w:w w:val="97"/>
                <w:vertAlign w:val="superscript"/>
              </w:rPr>
              <w:t>(1)</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7,717</w:t>
            </w:r>
          </w:p>
        </w:tc>
        <w:tc>
          <w:tcPr>
            <w:tcW w:w="2200" w:type="dxa"/>
            <w:vAlign w:val="bottom"/>
          </w:tcPr>
          <w:p>
            <w:pPr>
              <w:jc w:val="center"/>
              <w:ind w:left="194"/>
              <w:spacing w:after="0"/>
              <w:rPr>
                <w:sz w:val="20"/>
                <w:szCs w:val="20"/>
                <w:color w:val="auto"/>
              </w:rPr>
            </w:pPr>
            <w:r>
              <w:rPr>
                <w:rFonts w:ascii="Times New Roman" w:cs="Times New Roman" w:eastAsia="Times New Roman" w:hAnsi="Times New Roman"/>
                <w:sz w:val="13"/>
                <w:szCs w:val="13"/>
                <w:color w:val="auto"/>
              </w:rPr>
              <w:t>Market Comparable</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r>
      <w:tr>
        <w:trPr>
          <w:trHeight w:val="260"/>
        </w:trPr>
        <w:tc>
          <w:tcPr>
            <w:tcW w:w="2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220" w:type="dxa"/>
            <w:vAlign w:val="bottom"/>
            <w:tcBorders>
              <w:bottom w:val="single" w:sz="8" w:color="CCECFF"/>
            </w:tcBorders>
            <w:shd w:val="clear" w:color="auto" w:fill="CCECFF"/>
          </w:tcPr>
          <w:p>
            <w:pPr>
              <w:spacing w:after="0"/>
              <w:rPr>
                <w:sz w:val="22"/>
                <w:szCs w:val="22"/>
                <w:color w:val="auto"/>
              </w:rPr>
            </w:pPr>
          </w:p>
        </w:tc>
        <w:tc>
          <w:tcPr>
            <w:tcW w:w="13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659,820</w:t>
            </w:r>
          </w:p>
        </w:tc>
        <w:tc>
          <w:tcPr>
            <w:tcW w:w="2200" w:type="dxa"/>
            <w:vAlign w:val="bottom"/>
            <w:tcBorders>
              <w:bottom w:val="single" w:sz="8" w:color="CCECFF"/>
            </w:tcBorders>
            <w:shd w:val="clear" w:color="auto" w:fill="CCECFF"/>
          </w:tcPr>
          <w:p>
            <w:pPr>
              <w:jc w:val="center"/>
              <w:ind w:left="194"/>
              <w:spacing w:after="0"/>
              <w:rPr>
                <w:sz w:val="20"/>
                <w:szCs w:val="20"/>
                <w:color w:val="auto"/>
              </w:rPr>
            </w:pPr>
            <w:r>
              <w:rPr>
                <w:rFonts w:ascii="Times New Roman" w:cs="Times New Roman" w:eastAsia="Times New Roman" w:hAnsi="Times New Roman"/>
                <w:sz w:val="13"/>
                <w:szCs w:val="13"/>
                <w:color w:val="auto"/>
              </w:rPr>
              <w:t>Market Comparable</w:t>
            </w:r>
          </w:p>
        </w:tc>
        <w:tc>
          <w:tcPr>
            <w:tcW w:w="22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Market yield</w:t>
            </w:r>
          </w:p>
        </w:tc>
        <w:tc>
          <w:tcPr>
            <w:tcW w:w="20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6.4% - 20.6% (10.4%)</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8,369</w:t>
            </w:r>
          </w:p>
        </w:tc>
        <w:tc>
          <w:tcPr>
            <w:tcW w:w="2200" w:type="dxa"/>
            <w:vAlign w:val="bottom"/>
          </w:tcPr>
          <w:p>
            <w:pPr>
              <w:jc w:val="center"/>
              <w:ind w:left="174"/>
              <w:spacing w:after="0"/>
              <w:rPr>
                <w:sz w:val="20"/>
                <w:szCs w:val="20"/>
                <w:color w:val="auto"/>
              </w:rPr>
            </w:pPr>
            <w:r>
              <w:rPr>
                <w:rFonts w:ascii="Times New Roman" w:cs="Times New Roman" w:eastAsia="Times New Roman" w:hAnsi="Times New Roman"/>
                <w:sz w:val="13"/>
                <w:szCs w:val="13"/>
                <w:color w:val="auto"/>
              </w:rPr>
              <w:t>Enterprise Market Value</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7.2x</w:t>
            </w:r>
          </w:p>
        </w:tc>
      </w:tr>
      <w:tr>
        <w:trPr>
          <w:trHeight w:val="18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2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65,575</w:t>
            </w:r>
          </w:p>
        </w:tc>
        <w:tc>
          <w:tcPr>
            <w:tcW w:w="2200" w:type="dxa"/>
            <w:vAlign w:val="bottom"/>
            <w:shd w:val="clear" w:color="auto" w:fill="CCECFF"/>
          </w:tcPr>
          <w:p>
            <w:pPr>
              <w:jc w:val="center"/>
              <w:ind w:left="194"/>
              <w:spacing w:after="0"/>
              <w:rPr>
                <w:sz w:val="20"/>
                <w:szCs w:val="20"/>
                <w:color w:val="auto"/>
              </w:rPr>
            </w:pPr>
            <w:r>
              <w:rPr>
                <w:rFonts w:ascii="Times New Roman" w:cs="Times New Roman" w:eastAsia="Times New Roman" w:hAnsi="Times New Roman"/>
                <w:sz w:val="13"/>
                <w:szCs w:val="13"/>
                <w:color w:val="auto"/>
              </w:rPr>
              <w:t>Market Comparable</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Market yield</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14.3% - 18.4% (15.1%)</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Subordinated debt / corporate notes</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163,675</w:t>
            </w:r>
          </w:p>
        </w:tc>
        <w:tc>
          <w:tcPr>
            <w:tcW w:w="2200" w:type="dxa"/>
            <w:vAlign w:val="bottom"/>
          </w:tcPr>
          <w:p>
            <w:pPr>
              <w:jc w:val="center"/>
              <w:ind w:left="194"/>
              <w:spacing w:after="0"/>
              <w:rPr>
                <w:sz w:val="20"/>
                <w:szCs w:val="20"/>
                <w:color w:val="auto"/>
              </w:rPr>
            </w:pPr>
            <w:r>
              <w:rPr>
                <w:rFonts w:ascii="Times New Roman" w:cs="Times New Roman" w:eastAsia="Times New Roman" w:hAnsi="Times New Roman"/>
                <w:sz w:val="13"/>
                <w:szCs w:val="13"/>
                <w:color w:val="auto"/>
              </w:rPr>
              <w:t>Market Comparable</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Market yield</w:t>
            </w: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13.3% - 16.9% (14.1%)</w:t>
            </w:r>
          </w:p>
        </w:tc>
      </w:tr>
      <w:tr>
        <w:trPr>
          <w:trHeight w:val="18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2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216,457</w:t>
            </w:r>
          </w:p>
        </w:tc>
        <w:tc>
          <w:tcPr>
            <w:tcW w:w="2200" w:type="dxa"/>
            <w:vAlign w:val="bottom"/>
            <w:shd w:val="clear" w:color="auto" w:fill="CCECFF"/>
          </w:tcPr>
          <w:p>
            <w:pPr>
              <w:jc w:val="center"/>
              <w:ind w:left="174"/>
              <w:spacing w:after="0"/>
              <w:rPr>
                <w:sz w:val="20"/>
                <w:szCs w:val="20"/>
                <w:color w:val="auto"/>
              </w:rPr>
            </w:pPr>
            <w:r>
              <w:rPr>
                <w:rFonts w:ascii="Times New Roman" w:cs="Times New Roman" w:eastAsia="Times New Roman" w:hAnsi="Times New Roman"/>
                <w:sz w:val="13"/>
                <w:szCs w:val="13"/>
                <w:color w:val="auto"/>
              </w:rPr>
              <w:t>Enterprise Market Value</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0.4x - 21.8x (9.5x)</w:t>
            </w:r>
          </w:p>
        </w:tc>
      </w:tr>
      <w:tr>
        <w:trPr>
          <w:trHeight w:val="176"/>
        </w:trPr>
        <w:tc>
          <w:tcPr>
            <w:tcW w:w="25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1,121,613</w:t>
            </w:r>
          </w:p>
        </w:tc>
        <w:tc>
          <w:tcPr>
            <w:tcW w:w="22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Debt Category </w:t>
            </w:r>
            <w:r>
              <w:rPr>
                <w:rFonts w:ascii="Times New Roman" w:cs="Times New Roman" w:eastAsia="Times New Roman" w:hAnsi="Times New Roman"/>
                <w:sz w:val="13"/>
                <w:szCs w:val="13"/>
                <w:color w:val="auto"/>
              </w:rPr>
              <w:t>($ in thousands)</w:t>
            </w:r>
          </w:p>
        </w:tc>
        <w:tc>
          <w:tcPr>
            <w:tcW w:w="220" w:type="dxa"/>
            <w:vAlign w:val="bottom"/>
            <w:shd w:val="clear" w:color="auto" w:fill="CCECFF"/>
          </w:tcPr>
          <w:p>
            <w:pPr>
              <w:spacing w:after="0"/>
              <w:rPr>
                <w:sz w:val="16"/>
                <w:szCs w:val="16"/>
                <w:color w:val="auto"/>
              </w:rPr>
            </w:pPr>
          </w:p>
        </w:tc>
        <w:tc>
          <w:tcPr>
            <w:tcW w:w="1320" w:type="dxa"/>
            <w:vAlign w:val="bottom"/>
            <w:shd w:val="clear" w:color="auto" w:fill="CCECFF"/>
          </w:tcPr>
          <w:p>
            <w:pPr>
              <w:spacing w:after="0"/>
              <w:rPr>
                <w:sz w:val="16"/>
                <w:szCs w:val="16"/>
                <w:color w:val="auto"/>
              </w:rPr>
            </w:pPr>
          </w:p>
        </w:tc>
        <w:tc>
          <w:tcPr>
            <w:tcW w:w="2200" w:type="dxa"/>
            <w:vAlign w:val="bottom"/>
            <w:shd w:val="clear" w:color="auto" w:fill="CCECFF"/>
          </w:tcPr>
          <w:p>
            <w:pPr>
              <w:spacing w:after="0"/>
              <w:rPr>
                <w:sz w:val="16"/>
                <w:szCs w:val="16"/>
                <w:color w:val="auto"/>
              </w:rPr>
            </w:pPr>
          </w:p>
        </w:tc>
        <w:tc>
          <w:tcPr>
            <w:tcW w:w="2220" w:type="dxa"/>
            <w:vAlign w:val="bottom"/>
            <w:shd w:val="clear" w:color="auto" w:fill="CCECFF"/>
          </w:tcPr>
          <w:p>
            <w:pPr>
              <w:spacing w:after="0"/>
              <w:rPr>
                <w:sz w:val="16"/>
                <w:szCs w:val="16"/>
                <w:color w:val="auto"/>
              </w:rPr>
            </w:pPr>
          </w:p>
        </w:tc>
        <w:tc>
          <w:tcPr>
            <w:tcW w:w="2020" w:type="dxa"/>
            <w:vAlign w:val="bottom"/>
            <w:shd w:val="clear" w:color="auto" w:fill="CCECFF"/>
          </w:tcPr>
          <w:p>
            <w:pPr>
              <w:spacing w:after="0"/>
              <w:rPr>
                <w:sz w:val="16"/>
                <w:szCs w:val="16"/>
                <w:color w:val="auto"/>
              </w:rPr>
            </w:pPr>
          </w:p>
        </w:tc>
      </w:tr>
      <w:tr>
        <w:trPr>
          <w:trHeight w:val="180"/>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Truist Credit Facility</w:t>
            </w: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446,554</w:t>
            </w:r>
          </w:p>
        </w:tc>
        <w:tc>
          <w:tcPr>
            <w:tcW w:w="2200" w:type="dxa"/>
            <w:vAlign w:val="bottom"/>
          </w:tcPr>
          <w:p>
            <w:pPr>
              <w:jc w:val="center"/>
              <w:ind w:left="194"/>
              <w:spacing w:after="0"/>
              <w:rPr>
                <w:sz w:val="20"/>
                <w:szCs w:val="20"/>
                <w:color w:val="auto"/>
              </w:rPr>
            </w:pPr>
            <w:r>
              <w:rPr>
                <w:rFonts w:ascii="Times New Roman" w:cs="Times New Roman" w:eastAsia="Times New Roman" w:hAnsi="Times New Roman"/>
                <w:sz w:val="13"/>
                <w:szCs w:val="13"/>
                <w:color w:val="auto"/>
              </w:rPr>
              <w:t>Market Comparable</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Market yield</w:t>
            </w: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r>
      <w:tr>
        <w:trPr>
          <w:trHeight w:val="20"/>
        </w:trPr>
        <w:tc>
          <w:tcPr>
            <w:tcW w:w="2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0"/>
          <w:szCs w:val="10"/>
          <w:color w:val="auto"/>
        </w:rPr>
        <w:t>(1)The weighted averages disclosed in the table above were weighted by their relative fair value.</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of Input</w:t>
            </w:r>
          </w:p>
        </w:tc>
      </w:tr>
      <w:tr>
        <w:trPr>
          <w:trHeight w:val="193"/>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Asset Category </w:t>
            </w:r>
            <w:r>
              <w:rPr>
                <w:rFonts w:ascii="Times New Roman" w:cs="Times New Roman" w:eastAsia="Times New Roman" w:hAnsi="Times New Roman"/>
                <w:sz w:val="13"/>
                <w:szCs w:val="13"/>
                <w:color w:val="auto"/>
              </w:rPr>
              <w:t>($ in thousands)</w:t>
            </w:r>
          </w:p>
        </w:tc>
        <w:tc>
          <w:tcPr>
            <w:tcW w:w="160" w:type="dxa"/>
            <w:vAlign w:val="bottom"/>
          </w:tcPr>
          <w:p>
            <w:pPr>
              <w:spacing w:after="0"/>
              <w:rPr>
                <w:sz w:val="16"/>
                <w:szCs w:val="16"/>
                <w:color w:val="auto"/>
              </w:rPr>
            </w:pPr>
          </w:p>
        </w:tc>
        <w:tc>
          <w:tcPr>
            <w:tcW w:w="14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xml:space="preserve">(Weighted Average) </w:t>
            </w:r>
            <w:r>
              <w:rPr>
                <w:rFonts w:ascii="Times New Roman" w:cs="Times New Roman" w:eastAsia="Times New Roman" w:hAnsi="Times New Roman"/>
                <w:sz w:val="16"/>
                <w:szCs w:val="16"/>
                <w:b w:val="1"/>
                <w:bCs w:val="1"/>
                <w:color w:val="auto"/>
                <w:w w:val="98"/>
                <w:vertAlign w:val="superscript"/>
              </w:rPr>
              <w:t>(1)</w:t>
            </w:r>
          </w:p>
        </w:tc>
      </w:tr>
      <w:tr>
        <w:trPr>
          <w:trHeight w:val="180"/>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15,090</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188"/>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512,567</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 – 25.0% (11.4%)</w:t>
            </w:r>
          </w:p>
        </w:tc>
      </w:tr>
      <w:tr>
        <w:trPr>
          <w:trHeight w:val="18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60" w:type="dxa"/>
            <w:vAlign w:val="bottom"/>
            <w:shd w:val="clear" w:color="auto" w:fill="CCECFF"/>
          </w:tcPr>
          <w:p>
            <w:pPr>
              <w:spacing w:after="0"/>
              <w:rPr>
                <w:sz w:val="16"/>
                <w:szCs w:val="16"/>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9,512</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70,884</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14.2% - 20.8% (15.9%)</w:t>
            </w:r>
          </w:p>
        </w:tc>
      </w:tr>
      <w:tr>
        <w:trPr>
          <w:trHeight w:val="18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Subordinated debt / corporate notes</w:t>
            </w:r>
          </w:p>
        </w:tc>
        <w:tc>
          <w:tcPr>
            <w:tcW w:w="160" w:type="dxa"/>
            <w:vAlign w:val="bottom"/>
            <w:shd w:val="clear" w:color="auto" w:fill="CCECFF"/>
          </w:tcPr>
          <w:p>
            <w:pPr>
              <w:spacing w:after="0"/>
              <w:rPr>
                <w:sz w:val="16"/>
                <w:szCs w:val="16"/>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156,222</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13.4% - 18.8% (14.3%)</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161,895</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0.5x - 17.7x (10.9x)</w:t>
            </w:r>
          </w:p>
        </w:tc>
      </w:tr>
      <w:tr>
        <w:trPr>
          <w:trHeight w:val="18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60" w:type="dxa"/>
            <w:vAlign w:val="bottom"/>
            <w:shd w:val="clear" w:color="auto" w:fill="CCECFF"/>
          </w:tcPr>
          <w:p>
            <w:pPr>
              <w:spacing w:after="0"/>
              <w:rPr>
                <w:sz w:val="16"/>
                <w:szCs w:val="16"/>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1,158</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4"/>
              </w:rPr>
              <w:t>DLOM</w:t>
            </w:r>
            <w:r>
              <w:rPr>
                <w:rFonts w:ascii="Times New Roman" w:cs="Times New Roman" w:eastAsia="Times New Roman" w:hAnsi="Times New Roman"/>
                <w:sz w:val="16"/>
                <w:szCs w:val="16"/>
                <w:color w:val="auto"/>
                <w:w w:val="94"/>
                <w:vertAlign w:val="superscript"/>
              </w:rPr>
              <w:t>(2)</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27.9%</w:t>
            </w:r>
          </w:p>
        </w:tc>
      </w:tr>
      <w:tr>
        <w:trPr>
          <w:trHeight w:val="180"/>
        </w:trPr>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927,328</w:t>
            </w:r>
          </w:p>
        </w:tc>
        <w:tc>
          <w:tcPr>
            <w:tcW w:w="2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56"/>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Debt Category </w:t>
            </w:r>
            <w:r>
              <w:rPr>
                <w:rFonts w:ascii="Times New Roman" w:cs="Times New Roman" w:eastAsia="Times New Roman" w:hAnsi="Times New Roman"/>
                <w:sz w:val="13"/>
                <w:szCs w:val="13"/>
                <w:color w:val="auto"/>
              </w:rPr>
              <w:t>($ in thousands)</w:t>
            </w:r>
          </w:p>
        </w:tc>
        <w:tc>
          <w:tcPr>
            <w:tcW w:w="16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2200" w:type="dxa"/>
            <w:vAlign w:val="bottom"/>
            <w:shd w:val="clear" w:color="auto" w:fill="CCECFF"/>
          </w:tcPr>
          <w:p>
            <w:pPr>
              <w:spacing w:after="0"/>
              <w:rPr>
                <w:sz w:val="13"/>
                <w:szCs w:val="13"/>
                <w:color w:val="auto"/>
              </w:rPr>
            </w:pPr>
          </w:p>
        </w:tc>
        <w:tc>
          <w:tcPr>
            <w:tcW w:w="2240" w:type="dxa"/>
            <w:vAlign w:val="bottom"/>
            <w:shd w:val="clear" w:color="auto" w:fill="CCECFF"/>
          </w:tcPr>
          <w:p>
            <w:pPr>
              <w:spacing w:after="0"/>
              <w:rPr>
                <w:sz w:val="13"/>
                <w:szCs w:val="13"/>
                <w:color w:val="auto"/>
              </w:rPr>
            </w:pPr>
          </w:p>
        </w:tc>
        <w:tc>
          <w:tcPr>
            <w:tcW w:w="1940" w:type="dxa"/>
            <w:vAlign w:val="bottom"/>
            <w:shd w:val="clear" w:color="auto" w:fill="CCECFF"/>
          </w:tcPr>
          <w:p>
            <w:pPr>
              <w:spacing w:after="0"/>
              <w:rPr>
                <w:sz w:val="13"/>
                <w:szCs w:val="13"/>
                <w:color w:val="auto"/>
              </w:rPr>
            </w:pPr>
          </w:p>
        </w:tc>
      </w:tr>
      <w:tr>
        <w:trPr>
          <w:trHeight w:val="228"/>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Truist Credit Facility</w:t>
            </w: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2.4%</w:t>
            </w: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weighted averages disclosed in the table above were weighted by their relative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2.DLOM is defined as discount for lack of marketability.</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6" w:name="page37"/>
    <w:bookmarkEnd w:id="36"/>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9080" w:type="dxa"/>
            <w:vAlign w:val="bottom"/>
            <w:gridSpan w:val="12"/>
          </w:tcPr>
          <w:p>
            <w:pPr>
              <w:ind w:left="420"/>
              <w:spacing w:after="0"/>
              <w:rPr>
                <w:sz w:val="20"/>
                <w:szCs w:val="20"/>
                <w:color w:val="auto"/>
              </w:rPr>
            </w:pPr>
            <w:r>
              <w:rPr>
                <w:rFonts w:ascii="Times New Roman" w:cs="Times New Roman" w:eastAsia="Times New Roman" w:hAnsi="Times New Roman"/>
                <w:sz w:val="13"/>
                <w:szCs w:val="13"/>
                <w:color w:val="auto"/>
              </w:rPr>
              <w:t>Our investments, cash and cash equivalents, Truist Credit Facility, 2026 Notes and 2026 Notes-2 were categorized as follows in the fair value hierarchy:</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at June 30, 2024</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200" w:type="dxa"/>
            <w:vAlign w:val="bottom"/>
          </w:tcPr>
          <w:p>
            <w:pPr>
              <w:spacing w:after="0"/>
              <w:rPr>
                <w:sz w:val="13"/>
                <w:szCs w:val="13"/>
                <w:color w:val="auto"/>
              </w:rPr>
            </w:pPr>
          </w:p>
        </w:tc>
        <w:tc>
          <w:tcPr>
            <w:tcW w:w="1040" w:type="dxa"/>
            <w:vAlign w:val="bottom"/>
            <w:vMerge w:val="restart"/>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Pr>
          <w:p>
            <w:pPr>
              <w:spacing w:after="0"/>
              <w:rPr>
                <w:sz w:val="13"/>
                <w:szCs w:val="13"/>
                <w:color w:val="auto"/>
              </w:rPr>
            </w:pPr>
          </w:p>
        </w:tc>
        <w:tc>
          <w:tcPr>
            <w:tcW w:w="940" w:type="dxa"/>
            <w:vAlign w:val="bottom"/>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Measured at Net</w:t>
            </w:r>
          </w:p>
        </w:tc>
        <w:tc>
          <w:tcPr>
            <w:tcW w:w="0" w:type="dxa"/>
            <w:vAlign w:val="bottom"/>
          </w:tcPr>
          <w:p>
            <w:pPr>
              <w:spacing w:after="0"/>
              <w:rPr>
                <w:sz w:val="1"/>
                <w:szCs w:val="1"/>
                <w:color w:val="auto"/>
              </w:rPr>
            </w:pPr>
          </w:p>
        </w:tc>
      </w:tr>
      <w:tr>
        <w:trPr>
          <w:trHeight w:val="193"/>
        </w:trPr>
        <w:tc>
          <w:tcPr>
            <w:tcW w:w="3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 xml:space="preserve">Asset Value </w:t>
            </w:r>
            <w:r>
              <w:rPr>
                <w:rFonts w:ascii="Times New Roman" w:cs="Times New Roman" w:eastAsia="Times New Roman" w:hAnsi="Times New Roman"/>
                <w:sz w:val="16"/>
                <w:szCs w:val="16"/>
                <w:b w:val="1"/>
                <w:bCs w:val="1"/>
                <w:color w:val="auto"/>
                <w:w w:val="96"/>
                <w:vertAlign w:val="superscript"/>
              </w:rPr>
              <w:t>(1)</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Debt investments</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905,155</w:t>
            </w:r>
          </w:p>
        </w:tc>
        <w:tc>
          <w:tcPr>
            <w:tcW w:w="1040" w:type="dxa"/>
            <w:vAlign w:val="bottom"/>
            <w:gridSpan w:val="2"/>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905,155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U.S. Government Securities</w:t>
            </w:r>
            <w:r>
              <w:rPr>
                <w:rFonts w:ascii="Times New Roman" w:cs="Times New Roman" w:eastAsia="Times New Roman" w:hAnsi="Times New Roman"/>
                <w:sz w:val="16"/>
                <w:szCs w:val="16"/>
                <w:color w:val="auto"/>
                <w:vertAlign w:val="superscript"/>
              </w:rPr>
              <w:t>(3)</w:t>
            </w:r>
          </w:p>
        </w:tc>
        <w:tc>
          <w:tcPr>
            <w:tcW w:w="200" w:type="dxa"/>
            <w:vAlign w:val="bottom"/>
            <w:shd w:val="clear" w:color="auto" w:fill="CCECFF"/>
          </w:tcPr>
          <w:p>
            <w:pPr>
              <w:spacing w:after="0"/>
              <w:rPr>
                <w:sz w:val="16"/>
                <w:szCs w:val="16"/>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59,808</w:t>
            </w:r>
          </w:p>
        </w:tc>
        <w:tc>
          <w:tcPr>
            <w:tcW w:w="24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59,808</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investments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294,912</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216,458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investments</w:t>
            </w:r>
          </w:p>
        </w:tc>
        <w:tc>
          <w:tcPr>
            <w:tcW w:w="200" w:type="dxa"/>
            <w:vAlign w:val="bottom"/>
            <w:shd w:val="clear" w:color="auto" w:fill="CCECFF"/>
          </w:tcPr>
          <w:p>
            <w:pPr>
              <w:spacing w:after="0"/>
              <w:rPr>
                <w:sz w:val="16"/>
                <w:szCs w:val="16"/>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1,259,875</w:t>
            </w:r>
          </w:p>
        </w:tc>
        <w:tc>
          <w:tcPr>
            <w:tcW w:w="24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59,808</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1,121,613</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78,454</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59,152</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59,152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4"/>
        </w:trPr>
        <w:tc>
          <w:tcPr>
            <w:tcW w:w="354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200" w:type="dxa"/>
            <w:vAlign w:val="bottom"/>
            <w:tcBorders>
              <w:bottom w:val="single" w:sz="8" w:color="auto"/>
            </w:tcBorders>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1,319,027</w:t>
            </w:r>
          </w:p>
        </w:tc>
        <w:tc>
          <w:tcPr>
            <w:tcW w:w="240" w:type="dxa"/>
            <w:vAlign w:val="bottom"/>
            <w:tcBorders>
              <w:bottom w:val="single" w:sz="8" w:color="CCECFF"/>
            </w:tcBorders>
            <w:shd w:val="clear" w:color="auto" w:fill="CCECFF"/>
          </w:tcPr>
          <w:p>
            <w:pPr>
              <w:spacing w:after="0"/>
              <w:rPr>
                <w:sz w:val="19"/>
                <w:szCs w:val="19"/>
                <w:color w:val="auto"/>
              </w:rPr>
            </w:pPr>
          </w:p>
        </w:tc>
        <w:tc>
          <w:tcPr>
            <w:tcW w:w="800" w:type="dxa"/>
            <w:vAlign w:val="bottom"/>
            <w:tcBorders>
              <w:bottom w:val="single" w:sz="8" w:color="auto"/>
            </w:tcBorders>
            <w:shd w:val="clear" w:color="auto" w:fill="CCECFF"/>
          </w:tcPr>
          <w:p>
            <w:pPr>
              <w:jc w:val="right"/>
              <w:ind w:right="65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59,152</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59,808</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1,121,613</w:t>
            </w:r>
          </w:p>
        </w:tc>
        <w:tc>
          <w:tcPr>
            <w:tcW w:w="22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78,454</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Truist Credit Facility</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446,554</w:t>
            </w:r>
          </w:p>
        </w:tc>
        <w:tc>
          <w:tcPr>
            <w:tcW w:w="1040" w:type="dxa"/>
            <w:vAlign w:val="bottom"/>
            <w:gridSpan w:val="2"/>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446,554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3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2026 Notes</w:t>
            </w:r>
            <w:r>
              <w:rPr>
                <w:rFonts w:ascii="Times New Roman" w:cs="Times New Roman" w:eastAsia="Times New Roman" w:hAnsi="Times New Roman"/>
                <w:sz w:val="16"/>
                <w:szCs w:val="16"/>
                <w:color w:val="auto"/>
                <w:vertAlign w:val="superscript"/>
              </w:rPr>
              <w:t>(2)</w:t>
            </w:r>
          </w:p>
        </w:tc>
        <w:tc>
          <w:tcPr>
            <w:tcW w:w="200" w:type="dxa"/>
            <w:vAlign w:val="bottom"/>
            <w:shd w:val="clear" w:color="auto" w:fill="CCECFF"/>
          </w:tcPr>
          <w:p>
            <w:pPr>
              <w:spacing w:after="0"/>
              <w:rPr>
                <w:sz w:val="16"/>
                <w:szCs w:val="16"/>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148,345</w:t>
            </w:r>
          </w:p>
        </w:tc>
        <w:tc>
          <w:tcPr>
            <w:tcW w:w="24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148,345</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2026 Notes-2</w:t>
            </w:r>
            <w:r>
              <w:rPr>
                <w:rFonts w:ascii="Times New Roman" w:cs="Times New Roman" w:eastAsia="Times New Roman" w:hAnsi="Times New Roman"/>
                <w:sz w:val="16"/>
                <w:szCs w:val="16"/>
                <w:color w:val="auto"/>
                <w:vertAlign w:val="superscript"/>
              </w:rPr>
              <w:t>(2)</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162,866</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162,866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0"/>
        </w:trPr>
        <w:tc>
          <w:tcPr>
            <w:tcW w:w="354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debt</w:t>
            </w:r>
          </w:p>
        </w:tc>
        <w:tc>
          <w:tcPr>
            <w:tcW w:w="200" w:type="dxa"/>
            <w:vAlign w:val="bottom"/>
            <w:tcBorders>
              <w:bottom w:val="single" w:sz="8" w:color="auto"/>
            </w:tcBorders>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757,765</w:t>
            </w:r>
          </w:p>
        </w:tc>
        <w:tc>
          <w:tcPr>
            <w:tcW w:w="240" w:type="dxa"/>
            <w:vAlign w:val="bottom"/>
            <w:tcBorders>
              <w:bottom w:val="single" w:sz="8" w:color="CCECFF"/>
            </w:tcBorders>
            <w:shd w:val="clear" w:color="auto" w:fill="CCECFF"/>
          </w:tcPr>
          <w:p>
            <w:pPr>
              <w:spacing w:after="0"/>
              <w:rPr>
                <w:sz w:val="19"/>
                <w:szCs w:val="19"/>
                <w:color w:val="auto"/>
              </w:rPr>
            </w:pPr>
          </w:p>
        </w:tc>
        <w:tc>
          <w:tcPr>
            <w:tcW w:w="800" w:type="dxa"/>
            <w:vAlign w:val="bottom"/>
            <w:tcBorders>
              <w:bottom w:val="single" w:sz="8" w:color="auto"/>
            </w:tcBorders>
            <w:shd w:val="clear" w:color="auto" w:fill="CCECFF"/>
          </w:tcPr>
          <w:p>
            <w:pPr>
              <w:jc w:val="right"/>
              <w:ind w:right="65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311,211</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446,554</w:t>
            </w:r>
          </w:p>
        </w:tc>
        <w:tc>
          <w:tcPr>
            <w:tcW w:w="22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1"/>
          <w:szCs w:val="11"/>
          <w:color w:val="auto"/>
        </w:rPr>
        <w:t>(1)In accordance with ASC Subtopic 820-10, Fair Value Measurements and Disclosures ("ASC 820-10"), our equity investment in PSLF and PTSF II are measured using the net asset value per share (or its equivalent) as a practical expedient for fair value, and thus has not been classified in the fair value hierarchy.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(2)We elected not to apply ASC 825-10 to the 2026 Notes and the 2026 Notes-2, and thus the balance reported in the Consolidated Statement of Assets and Liabilities represents the carrying value.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 Our U.S. Treasury Bills are classified as Level 2, as they were valued by the pricing service who utilize broker-supplied prices.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gridSpan w:val="6"/>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Fair Value at September 30, 2023</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180" w:type="dxa"/>
            <w:vAlign w:val="bottom"/>
          </w:tcPr>
          <w:p>
            <w:pPr>
              <w:spacing w:after="0"/>
              <w:rPr>
                <w:sz w:val="13"/>
                <w:szCs w:val="13"/>
                <w:color w:val="auto"/>
              </w:rPr>
            </w:pPr>
          </w:p>
        </w:tc>
        <w:tc>
          <w:tcPr>
            <w:tcW w:w="1020" w:type="dxa"/>
            <w:vAlign w:val="bottom"/>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Measured at Net</w:t>
            </w:r>
          </w:p>
        </w:tc>
        <w:tc>
          <w:tcPr>
            <w:tcW w:w="0" w:type="dxa"/>
            <w:vAlign w:val="bottom"/>
          </w:tcPr>
          <w:p>
            <w:pPr>
              <w:spacing w:after="0"/>
              <w:rPr>
                <w:sz w:val="1"/>
                <w:szCs w:val="1"/>
                <w:color w:val="auto"/>
              </w:rPr>
            </w:pPr>
          </w:p>
        </w:tc>
      </w:tr>
      <w:tr>
        <w:trPr>
          <w:trHeight w:val="193"/>
        </w:trPr>
        <w:tc>
          <w:tcPr>
            <w:tcW w:w="36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 xml:space="preserve">Asset Value </w:t>
            </w:r>
            <w:r>
              <w:rPr>
                <w:rFonts w:ascii="Times New Roman" w:cs="Times New Roman" w:eastAsia="Times New Roman" w:hAnsi="Times New Roman"/>
                <w:sz w:val="16"/>
                <w:szCs w:val="16"/>
                <w:b w:val="1"/>
                <w:bCs w:val="1"/>
                <w:color w:val="auto"/>
                <w:w w:val="96"/>
                <w:vertAlign w:val="superscript"/>
              </w:rPr>
              <w:t>(1)</w:t>
            </w:r>
          </w:p>
        </w:tc>
        <w:tc>
          <w:tcPr>
            <w:tcW w:w="0" w:type="dxa"/>
            <w:vAlign w:val="bottom"/>
          </w:tcPr>
          <w:p>
            <w:pPr>
              <w:spacing w:after="0"/>
              <w:rPr>
                <w:sz w:val="1"/>
                <w:szCs w:val="1"/>
                <w:color w:val="auto"/>
              </w:rPr>
            </w:pPr>
          </w:p>
        </w:tc>
      </w:tr>
      <w:tr>
        <w:trPr>
          <w:trHeight w:val="180"/>
        </w:trPr>
        <w:tc>
          <w:tcPr>
            <w:tcW w:w="3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Debt investments</w:t>
            </w:r>
          </w:p>
        </w:tc>
        <w:tc>
          <w:tcPr>
            <w:tcW w:w="1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764,275</w:t>
            </w:r>
          </w:p>
        </w:tc>
        <w:tc>
          <w:tcPr>
            <w:tcW w:w="4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764,275</w:t>
            </w:r>
          </w:p>
        </w:tc>
        <w:tc>
          <w:tcPr>
            <w:tcW w:w="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U.S. Government Securities</w:t>
            </w:r>
            <w:r>
              <w:rPr>
                <w:rFonts w:ascii="Times New Roman" w:cs="Times New Roman" w:eastAsia="Times New Roman" w:hAnsi="Times New Roman"/>
                <w:sz w:val="16"/>
                <w:szCs w:val="16"/>
                <w:color w:val="auto"/>
                <w:vertAlign w:val="superscript"/>
              </w:rPr>
              <w:t>(3)</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 investments</w:t>
            </w:r>
          </w:p>
        </w:tc>
        <w:tc>
          <w:tcPr>
            <w:tcW w:w="18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237,621</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163,053</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74,568</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investments</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1,101,647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927,328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1,140,422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927,328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Truist Credit Facility</w:t>
            </w:r>
          </w:p>
        </w:tc>
        <w:tc>
          <w:tcPr>
            <w:tcW w:w="1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4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2026 Notes</w:t>
            </w:r>
            <w:r>
              <w:rPr>
                <w:rFonts w:ascii="Times New Roman" w:cs="Times New Roman" w:eastAsia="Times New Roman" w:hAnsi="Times New Roman"/>
                <w:sz w:val="16"/>
                <w:szCs w:val="16"/>
                <w:color w:val="auto"/>
                <w:vertAlign w:val="superscript"/>
              </w:rPr>
              <w:t>(2)</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147,669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147,669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2026 Notes-2</w:t>
            </w:r>
            <w:r>
              <w:rPr>
                <w:rFonts w:ascii="Times New Roman" w:cs="Times New Roman" w:eastAsia="Times New Roman" w:hAnsi="Times New Roman"/>
                <w:sz w:val="16"/>
                <w:szCs w:val="16"/>
                <w:color w:val="auto"/>
                <w:vertAlign w:val="superscript"/>
              </w:rPr>
              <w:t>(2)</w:t>
            </w:r>
          </w:p>
        </w:tc>
        <w:tc>
          <w:tcPr>
            <w:tcW w:w="18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162,226</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162,226</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debt</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516,835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309,895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112014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20140" cy="7620"/>
                    </a:xfrm>
                    <a:prstGeom prst="rect">
                      <a:avLst/>
                    </a:prstGeom>
                    <a:noFill/>
                  </pic:spPr>
                </pic:pic>
              </a:graphicData>
            </a:graphic>
          </wp:anchor>
        </w:drawing>
      </w:r>
    </w:p>
    <w:p>
      <w:pPr>
        <w:spacing w:after="0" w:line="12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0"/>
          <w:szCs w:val="10"/>
          <w:color w:val="auto"/>
        </w:rPr>
        <w:t>(1)In accordance with ASC Subtopic 820-10, Fair Value Measurements and Disclosures ("ASC 820-10"), our equity investment in PSLF is measured using the net asset value per share (or its equivalent) as a practical expedient for fair value, and thus has not been classified in the fair value hierarchy.</w:t>
      </w:r>
    </w:p>
    <w:p>
      <w:pPr>
        <w:spacing w:after="0"/>
        <w:rPr>
          <w:sz w:val="20"/>
          <w:szCs w:val="20"/>
          <w:color w:val="auto"/>
        </w:rPr>
      </w:pPr>
      <w:r>
        <w:rPr>
          <w:rFonts w:ascii="Times New Roman" w:cs="Times New Roman" w:eastAsia="Times New Roman" w:hAnsi="Times New Roman"/>
          <w:sz w:val="10"/>
          <w:szCs w:val="10"/>
          <w:color w:val="auto"/>
        </w:rPr>
        <w:t>(2)We elected not to apply ASC 825-10 to the SBA debentures and the 2026 Notes and thus the balance reported in the Consolidated Statement of Assets and Liabilities represents the carrying value.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(3)Our U.S. Treasury Bills are classified as Level 2, as they were valued by the pricing service who utilize broker-supplied prices.</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tables below show a reconciliation of the beginning and ending balances for investments measured at fair value using significant unobservable inputs (Level 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gridSpan w:val="6"/>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Nine Months Ended June 30, 2024</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220" w:type="dxa"/>
            <w:vAlign w:val="bottom"/>
          </w:tcPr>
          <w:p>
            <w:pPr>
              <w:spacing w:after="0"/>
              <w:rPr>
                <w:sz w:val="14"/>
                <w:szCs w:val="14"/>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80" w:type="dxa"/>
            <w:vAlign w:val="bottom"/>
          </w:tcPr>
          <w:p>
            <w:pPr>
              <w:spacing w:after="0"/>
              <w:rPr>
                <w:sz w:val="14"/>
                <w:szCs w:val="14"/>
                <w:color w:val="auto"/>
              </w:rPr>
            </w:pPr>
          </w:p>
        </w:tc>
        <w:tc>
          <w:tcPr>
            <w:tcW w:w="11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9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220" w:type="dxa"/>
            <w:vAlign w:val="bottom"/>
          </w:tcPr>
          <w:p>
            <w:pPr>
              <w:spacing w:after="0"/>
              <w:rPr>
                <w:sz w:val="7"/>
                <w:szCs w:val="7"/>
                <w:color w:val="auto"/>
              </w:rPr>
            </w:pPr>
          </w:p>
        </w:tc>
        <w:tc>
          <w:tcPr>
            <w:tcW w:w="13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20" w:type="dxa"/>
            <w:vAlign w:val="bottom"/>
          </w:tcPr>
          <w:p>
            <w:pPr>
              <w:spacing w:after="0"/>
              <w:rPr>
                <w:sz w:val="7"/>
                <w:szCs w:val="7"/>
                <w:color w:val="auto"/>
              </w:rPr>
            </w:pPr>
          </w:p>
        </w:tc>
        <w:tc>
          <w:tcPr>
            <w:tcW w:w="13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5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764,275</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163,053</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927,328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realized gain (loss)</w:t>
            </w:r>
          </w:p>
        </w:tc>
        <w:tc>
          <w:tcPr>
            <w:tcW w:w="22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(23,256 )</w:t>
            </w:r>
          </w:p>
        </w:tc>
        <w:tc>
          <w:tcPr>
            <w:tcW w:w="22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(11,401 )</w:t>
            </w:r>
          </w:p>
        </w:tc>
        <w:tc>
          <w:tcPr>
            <w:tcW w:w="28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(34,657 )</w:t>
            </w:r>
          </w:p>
        </w:tc>
        <w:tc>
          <w:tcPr>
            <w:tcW w:w="0" w:type="dxa"/>
            <w:vAlign w:val="bottom"/>
          </w:tcPr>
          <w:p>
            <w:pPr>
              <w:spacing w:after="0"/>
              <w:rPr>
                <w:sz w:val="1"/>
                <w:szCs w:val="1"/>
                <w:color w:val="auto"/>
              </w:rPr>
            </w:pPr>
          </w:p>
        </w:tc>
      </w:tr>
      <w:tr>
        <w:trPr>
          <w:trHeight w:val="184"/>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22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(842 )</w:t>
            </w:r>
          </w:p>
        </w:tc>
        <w:tc>
          <w:tcPr>
            <w:tcW w:w="22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25,058</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24,216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537,661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43,463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581,124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22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(372,683 )</w:t>
            </w:r>
          </w:p>
        </w:tc>
        <w:tc>
          <w:tcPr>
            <w:tcW w:w="220" w:type="dxa"/>
            <w:vAlign w:val="bottom"/>
            <w:shd w:val="clear" w:color="auto" w:fill="CCECFF"/>
          </w:tcPr>
          <w:p>
            <w:pPr>
              <w:spacing w:after="0"/>
              <w:rPr>
                <w:sz w:val="16"/>
                <w:szCs w:val="16"/>
                <w:color w:val="auto"/>
              </w:rPr>
            </w:pPr>
          </w:p>
        </w:tc>
        <w:tc>
          <w:tcPr>
            <w:tcW w:w="13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(3,715 )</w:t>
            </w:r>
          </w:p>
        </w:tc>
        <w:tc>
          <w:tcPr>
            <w:tcW w:w="280" w:type="dxa"/>
            <w:vAlign w:val="bottom"/>
            <w:shd w:val="clear" w:color="auto" w:fill="CCECFF"/>
          </w:tcPr>
          <w:p>
            <w:pPr>
              <w:spacing w:after="0"/>
              <w:rPr>
                <w:sz w:val="16"/>
                <w:szCs w:val="16"/>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(376,398 )</w:t>
            </w:r>
          </w:p>
        </w:tc>
        <w:tc>
          <w:tcPr>
            <w:tcW w:w="0" w:type="dxa"/>
            <w:vAlign w:val="bottom"/>
          </w:tcPr>
          <w:p>
            <w:pPr>
              <w:spacing w:after="0"/>
              <w:rPr>
                <w:sz w:val="1"/>
                <w:szCs w:val="1"/>
                <w:color w:val="auto"/>
              </w:rPr>
            </w:pPr>
          </w:p>
        </w:tc>
      </w:tr>
      <w:tr>
        <w:trPr>
          <w:trHeight w:val="17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Transfers in/out of Level 3</w:t>
            </w:r>
          </w:p>
        </w:tc>
        <w:tc>
          <w:tcPr>
            <w:tcW w:w="22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0"/>
        </w:trPr>
        <w:tc>
          <w:tcPr>
            <w:tcW w:w="5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905,155</w:t>
            </w:r>
          </w:p>
        </w:tc>
        <w:tc>
          <w:tcPr>
            <w:tcW w:w="2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216,458</w:t>
            </w:r>
          </w:p>
        </w:tc>
        <w:tc>
          <w:tcPr>
            <w:tcW w:w="24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1,121,613</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598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Net change in unrealized appreciation reported within the net change in</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unrealized appreciation on investments in our consolidated statements of operations</w:t>
            </w:r>
          </w:p>
        </w:tc>
        <w:tc>
          <w:tcPr>
            <w:tcW w:w="22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 xml:space="preserve">(16,458 </w:t>
            </w:r>
            <w:r>
              <w:rPr>
                <w:rFonts w:ascii="Times New Roman" w:cs="Times New Roman" w:eastAsia="Times New Roman" w:hAnsi="Times New Roman"/>
                <w:sz w:val="26"/>
                <w:szCs w:val="26"/>
                <w:color w:val="auto"/>
                <w:vertAlign w:val="subscript"/>
              </w:rPr>
              <w:t>)</w:t>
            </w:r>
          </w:p>
        </w:tc>
        <w:tc>
          <w:tcPr>
            <w:tcW w:w="22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14,138</w:t>
            </w:r>
          </w:p>
        </w:tc>
        <w:tc>
          <w:tcPr>
            <w:tcW w:w="240" w:type="dxa"/>
            <w:vAlign w:val="bottom"/>
          </w:tcPr>
          <w:p>
            <w:pPr>
              <w:spacing w:after="0"/>
              <w:rPr>
                <w:sz w:val="13"/>
                <w:szCs w:val="13"/>
                <w:color w:val="auto"/>
              </w:rPr>
            </w:pPr>
          </w:p>
        </w:tc>
        <w:tc>
          <w:tcPr>
            <w:tcW w:w="28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(2,320 </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44"/>
        </w:trPr>
        <w:tc>
          <w:tcPr>
            <w:tcW w:w="598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attributable to our Level 3 assets still held at the reporting date</w:t>
            </w:r>
          </w:p>
        </w:tc>
        <w:tc>
          <w:tcPr>
            <w:tcW w:w="22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gridSpan w:val="6"/>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Nine Months Ended June 30, 2023</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5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220" w:type="dxa"/>
            <w:vAlign w:val="bottom"/>
          </w:tcPr>
          <w:p>
            <w:pPr>
              <w:spacing w:after="0"/>
              <w:rPr>
                <w:sz w:val="14"/>
                <w:szCs w:val="14"/>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80" w:type="dxa"/>
            <w:vAlign w:val="bottom"/>
          </w:tcPr>
          <w:p>
            <w:pPr>
              <w:spacing w:after="0"/>
              <w:rPr>
                <w:sz w:val="14"/>
                <w:szCs w:val="14"/>
                <w:color w:val="auto"/>
              </w:rPr>
            </w:pPr>
          </w:p>
        </w:tc>
        <w:tc>
          <w:tcPr>
            <w:tcW w:w="11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112"/>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220" w:type="dxa"/>
            <w:vAlign w:val="bottom"/>
          </w:tcPr>
          <w:p>
            <w:pPr>
              <w:spacing w:after="0"/>
              <w:rPr>
                <w:sz w:val="9"/>
                <w:szCs w:val="9"/>
                <w:color w:val="auto"/>
              </w:rPr>
            </w:pPr>
          </w:p>
        </w:tc>
        <w:tc>
          <w:tcPr>
            <w:tcW w:w="13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20" w:type="dxa"/>
            <w:vAlign w:val="bottom"/>
          </w:tcPr>
          <w:p>
            <w:pPr>
              <w:spacing w:after="0"/>
              <w:rPr>
                <w:sz w:val="9"/>
                <w:szCs w:val="9"/>
                <w:color w:val="auto"/>
              </w:rPr>
            </w:pPr>
          </w:p>
        </w:tc>
        <w:tc>
          <w:tcPr>
            <w:tcW w:w="13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59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5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902,165</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257,162</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1,159,327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realized gain (loss)</w:t>
            </w:r>
          </w:p>
        </w:tc>
        <w:tc>
          <w:tcPr>
            <w:tcW w:w="22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(17,013 )</w:t>
            </w:r>
          </w:p>
        </w:tc>
        <w:tc>
          <w:tcPr>
            <w:tcW w:w="22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(128,201 )</w:t>
            </w:r>
          </w:p>
        </w:tc>
        <w:tc>
          <w:tcPr>
            <w:tcW w:w="28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(145,214 )</w:t>
            </w:r>
          </w:p>
        </w:tc>
        <w:tc>
          <w:tcPr>
            <w:tcW w:w="0" w:type="dxa"/>
            <w:vAlign w:val="bottom"/>
          </w:tcPr>
          <w:p>
            <w:pPr>
              <w:spacing w:after="0"/>
              <w:rPr>
                <w:sz w:val="1"/>
                <w:szCs w:val="1"/>
                <w:color w:val="auto"/>
              </w:rPr>
            </w:pPr>
          </w:p>
        </w:tc>
      </w:tr>
      <w:tr>
        <w:trPr>
          <w:trHeight w:val="184"/>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22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9,320</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47,121</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56,441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190,764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22,345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213,109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22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(245,179 )</w:t>
            </w:r>
          </w:p>
        </w:tc>
        <w:tc>
          <w:tcPr>
            <w:tcW w:w="220" w:type="dxa"/>
            <w:vAlign w:val="bottom"/>
            <w:shd w:val="clear" w:color="auto" w:fill="CCECFF"/>
          </w:tcPr>
          <w:p>
            <w:pPr>
              <w:spacing w:after="0"/>
              <w:rPr>
                <w:sz w:val="16"/>
                <w:szCs w:val="16"/>
                <w:color w:val="auto"/>
              </w:rPr>
            </w:pPr>
          </w:p>
        </w:tc>
        <w:tc>
          <w:tcPr>
            <w:tcW w:w="13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(33,748 )</w:t>
            </w:r>
          </w:p>
        </w:tc>
        <w:tc>
          <w:tcPr>
            <w:tcW w:w="280" w:type="dxa"/>
            <w:vAlign w:val="bottom"/>
            <w:shd w:val="clear" w:color="auto" w:fill="CCECFF"/>
          </w:tcPr>
          <w:p>
            <w:pPr>
              <w:spacing w:after="0"/>
              <w:rPr>
                <w:sz w:val="16"/>
                <w:szCs w:val="16"/>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(278,927 )</w:t>
            </w:r>
          </w:p>
        </w:tc>
        <w:tc>
          <w:tcPr>
            <w:tcW w:w="0" w:type="dxa"/>
            <w:vAlign w:val="bottom"/>
          </w:tcPr>
          <w:p>
            <w:pPr>
              <w:spacing w:after="0"/>
              <w:rPr>
                <w:sz w:val="1"/>
                <w:szCs w:val="1"/>
                <w:color w:val="auto"/>
              </w:rPr>
            </w:pPr>
          </w:p>
        </w:tc>
      </w:tr>
      <w:tr>
        <w:trPr>
          <w:trHeight w:val="17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Transfers in/out of Level 3</w:t>
            </w:r>
          </w:p>
        </w:tc>
        <w:tc>
          <w:tcPr>
            <w:tcW w:w="22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0"/>
        </w:trPr>
        <w:tc>
          <w:tcPr>
            <w:tcW w:w="5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840,057</w:t>
            </w:r>
          </w:p>
        </w:tc>
        <w:tc>
          <w:tcPr>
            <w:tcW w:w="2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164,679</w:t>
            </w:r>
          </w:p>
        </w:tc>
        <w:tc>
          <w:tcPr>
            <w:tcW w:w="24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1,004,736</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598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Net change in unrealized appreciation reported within the net change in</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unrealized appreciation on investments in our consolidated statements of operations</w:t>
            </w:r>
          </w:p>
        </w:tc>
        <w:tc>
          <w:tcPr>
            <w:tcW w:w="22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1,974</w:t>
            </w:r>
          </w:p>
        </w:tc>
        <w:tc>
          <w:tcPr>
            <w:tcW w:w="260" w:type="dxa"/>
            <w:vAlign w:val="bottom"/>
          </w:tcPr>
          <w:p>
            <w:pPr>
              <w:spacing w:after="0"/>
              <w:rPr>
                <w:sz w:val="13"/>
                <w:szCs w:val="13"/>
                <w:color w:val="auto"/>
              </w:rPr>
            </w:pPr>
          </w:p>
        </w:tc>
        <w:tc>
          <w:tcPr>
            <w:tcW w:w="22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xml:space="preserve">(37,397 </w:t>
            </w:r>
            <w:r>
              <w:rPr>
                <w:rFonts w:ascii="Times New Roman" w:cs="Times New Roman" w:eastAsia="Times New Roman" w:hAnsi="Times New Roman"/>
                <w:sz w:val="26"/>
                <w:szCs w:val="26"/>
                <w:color w:val="auto"/>
                <w:vertAlign w:val="subscript"/>
              </w:rPr>
              <w:t>)</w:t>
            </w:r>
          </w:p>
        </w:tc>
        <w:tc>
          <w:tcPr>
            <w:tcW w:w="28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(35,423 </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44"/>
        </w:trPr>
        <w:tc>
          <w:tcPr>
            <w:tcW w:w="598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attributable to our Level 3 assets still held at the reporting date</w:t>
            </w:r>
          </w:p>
        </w:tc>
        <w:tc>
          <w:tcPr>
            <w:tcW w:w="2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1">
            <w:col w:w="10560"/>
          </w:cols>
          <w:pgMar w:left="660" w:top="1132" w:right="680"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type w:val="continuous"/>
        </w:sectPr>
      </w:pPr>
    </w:p>
    <w:bookmarkStart w:id="37" w:name="page38"/>
    <w:bookmarkEnd w:id="37"/>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60" w:type="dxa"/>
            <w:vAlign w:val="bottom"/>
          </w:tcPr>
          <w:p>
            <w:pPr>
              <w:spacing w:after="0"/>
              <w:rPr>
                <w:sz w:val="15"/>
                <w:szCs w:val="15"/>
                <w:color w:val="auto"/>
              </w:rPr>
            </w:pPr>
          </w:p>
        </w:tc>
        <w:tc>
          <w:tcPr>
            <w:tcW w:w="2820" w:type="dxa"/>
            <w:vAlign w:val="bottom"/>
            <w:gridSpan w:val="2"/>
          </w:tcPr>
          <w:p>
            <w:pPr>
              <w:jc w:val="right"/>
              <w:ind w:right="1665"/>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96"/>
        </w:trPr>
        <w:tc>
          <w:tcPr>
            <w:tcW w:w="9540" w:type="dxa"/>
            <w:vAlign w:val="bottom"/>
            <w:gridSpan w:val="6"/>
          </w:tcPr>
          <w:p>
            <w:pPr>
              <w:ind w:left="420"/>
              <w:spacing w:after="0"/>
              <w:rPr>
                <w:sz w:val="20"/>
                <w:szCs w:val="20"/>
                <w:color w:val="auto"/>
              </w:rPr>
            </w:pPr>
            <w:r>
              <w:rPr>
                <w:rFonts w:ascii="Times New Roman" w:cs="Times New Roman" w:eastAsia="Times New Roman" w:hAnsi="Times New Roman"/>
                <w:sz w:val="13"/>
                <w:szCs w:val="13"/>
                <w:color w:val="auto"/>
              </w:rPr>
              <w:t>The table below shows a reconciliation of the beginning and ending balances for liabilities measured at fair value using significant unobservable inputs (Level 3):</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8"/>
        </w:trPr>
        <w:tc>
          <w:tcPr>
            <w:tcW w:w="45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June 30,</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4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Credit Facility</w:t>
            </w:r>
          </w:p>
        </w:tc>
        <w:tc>
          <w:tcPr>
            <w:tcW w:w="2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Pr>
          <w:p>
            <w:pPr>
              <w:spacing w:after="0"/>
              <w:rPr>
                <w:sz w:val="16"/>
                <w:szCs w:val="16"/>
                <w:color w:val="auto"/>
              </w:rPr>
            </w:pPr>
          </w:p>
        </w:tc>
      </w:tr>
      <w:tr>
        <w:trPr>
          <w:trHeight w:val="184"/>
        </w:trPr>
        <w:tc>
          <w:tcPr>
            <w:tcW w:w="4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 (cost – $212,420 and $385,920, respectively)</w:t>
            </w:r>
          </w:p>
        </w:tc>
        <w:tc>
          <w:tcPr>
            <w:tcW w:w="2820" w:type="dxa"/>
            <w:vAlign w:val="bottom"/>
            <w:gridSpan w:val="2"/>
            <w:shd w:val="clear" w:color="auto" w:fill="CCECFF"/>
          </w:tcPr>
          <w:p>
            <w:pPr>
              <w:jc w:val="right"/>
              <w:ind w:right="265"/>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280" w:type="dxa"/>
            <w:vAlign w:val="bottom"/>
            <w:shd w:val="clear" w:color="auto" w:fill="CCECFF"/>
          </w:tcPr>
          <w:p>
            <w:pPr>
              <w:spacing w:after="0"/>
              <w:rPr>
                <w:sz w:val="16"/>
                <w:szCs w:val="16"/>
                <w:color w:val="auto"/>
              </w:rPr>
            </w:pPr>
          </w:p>
        </w:tc>
        <w:tc>
          <w:tcPr>
            <w:tcW w:w="64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376,687</w:t>
            </w:r>
          </w:p>
        </w:tc>
        <w:tc>
          <w:tcPr>
            <w:tcW w:w="80" w:type="dxa"/>
            <w:vAlign w:val="bottom"/>
            <w:shd w:val="clear" w:color="auto" w:fill="CCECFF"/>
          </w:tcPr>
          <w:p>
            <w:pPr>
              <w:spacing w:after="0"/>
              <w:rPr>
                <w:sz w:val="16"/>
                <w:szCs w:val="16"/>
                <w:color w:val="auto"/>
              </w:rPr>
            </w:pPr>
          </w:p>
        </w:tc>
      </w:tr>
      <w:tr>
        <w:trPr>
          <w:trHeight w:val="176"/>
        </w:trPr>
        <w:tc>
          <w:tcPr>
            <w:tcW w:w="45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 included in earnings</w:t>
            </w:r>
          </w:p>
        </w:tc>
        <w:tc>
          <w:tcPr>
            <w:tcW w:w="2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2,474</w:t>
            </w:r>
          </w:p>
        </w:tc>
        <w:tc>
          <w:tcPr>
            <w:tcW w:w="80" w:type="dxa"/>
            <w:vAlign w:val="bottom"/>
          </w:tcPr>
          <w:p>
            <w:pPr>
              <w:spacing w:after="0"/>
              <w:rPr>
                <w:sz w:val="15"/>
                <w:szCs w:val="15"/>
                <w:color w:val="auto"/>
              </w:rPr>
            </w:pPr>
          </w:p>
        </w:tc>
      </w:tr>
      <w:tr>
        <w:trPr>
          <w:trHeight w:val="184"/>
        </w:trPr>
        <w:tc>
          <w:tcPr>
            <w:tcW w:w="456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 xml:space="preserve">Borrowings </w:t>
            </w:r>
            <w:r>
              <w:rPr>
                <w:rFonts w:ascii="Times New Roman" w:cs="Times New Roman" w:eastAsia="Times New Roman" w:hAnsi="Times New Roman"/>
                <w:sz w:val="16"/>
                <w:szCs w:val="16"/>
                <w:color w:val="auto"/>
                <w:vertAlign w:val="superscript"/>
              </w:rPr>
              <w:t>(1)</w:t>
            </w:r>
          </w:p>
        </w:tc>
        <w:tc>
          <w:tcPr>
            <w:tcW w:w="2440" w:type="dxa"/>
            <w:vAlign w:val="bottom"/>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423,036</w:t>
            </w:r>
          </w:p>
        </w:tc>
        <w:tc>
          <w:tcPr>
            <w:tcW w:w="280" w:type="dxa"/>
            <w:vAlign w:val="bottom"/>
            <w:shd w:val="clear" w:color="auto" w:fill="CCECFF"/>
          </w:tcPr>
          <w:p>
            <w:pPr>
              <w:spacing w:after="0"/>
              <w:rPr>
                <w:sz w:val="16"/>
                <w:szCs w:val="16"/>
                <w:color w:val="auto"/>
              </w:rPr>
            </w:pPr>
          </w:p>
        </w:tc>
        <w:tc>
          <w:tcPr>
            <w:tcW w:w="64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122,500</w:t>
            </w:r>
          </w:p>
        </w:tc>
        <w:tc>
          <w:tcPr>
            <w:tcW w:w="80" w:type="dxa"/>
            <w:vAlign w:val="bottom"/>
            <w:shd w:val="clear" w:color="auto" w:fill="CCECFF"/>
          </w:tcPr>
          <w:p>
            <w:pPr>
              <w:spacing w:after="0"/>
              <w:rPr>
                <w:sz w:val="16"/>
                <w:szCs w:val="16"/>
                <w:color w:val="auto"/>
              </w:rPr>
            </w:pPr>
          </w:p>
        </w:tc>
      </w:tr>
      <w:tr>
        <w:trPr>
          <w:trHeight w:val="180"/>
        </w:trPr>
        <w:tc>
          <w:tcPr>
            <w:tcW w:w="4560" w:type="dxa"/>
            <w:vAlign w:val="bottom"/>
          </w:tcPr>
          <w:p>
            <w:pPr>
              <w:ind w:left="340"/>
              <w:spacing w:after="0" w:line="180" w:lineRule="exact"/>
              <w:rPr>
                <w:sz w:val="20"/>
                <w:szCs w:val="20"/>
                <w:color w:val="auto"/>
              </w:rPr>
            </w:pPr>
            <w:r>
              <w:rPr>
                <w:rFonts w:ascii="Times New Roman" w:cs="Times New Roman" w:eastAsia="Times New Roman" w:hAnsi="Times New Roman"/>
                <w:sz w:val="13"/>
                <w:szCs w:val="13"/>
                <w:color w:val="auto"/>
              </w:rPr>
              <w:t xml:space="preserve">Repayments </w:t>
            </w:r>
            <w:r>
              <w:rPr>
                <w:rFonts w:ascii="Times New Roman" w:cs="Times New Roman" w:eastAsia="Times New Roman" w:hAnsi="Times New Roman"/>
                <w:sz w:val="16"/>
                <w:szCs w:val="16"/>
                <w:color w:val="auto"/>
                <w:vertAlign w:val="superscript"/>
              </w:rPr>
              <w:t>(1)</w:t>
            </w:r>
          </w:p>
        </w:tc>
        <w:tc>
          <w:tcPr>
            <w:tcW w:w="2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(185,000 )</w:t>
            </w:r>
          </w:p>
        </w:tc>
        <w:tc>
          <w:tcPr>
            <w:tcW w:w="64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(194,000 )</w:t>
            </w:r>
          </w:p>
        </w:tc>
      </w:tr>
      <w:tr>
        <w:trPr>
          <w:trHeight w:val="216"/>
        </w:trPr>
        <w:tc>
          <w:tcPr>
            <w:tcW w:w="456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Transfers in and/or out of Level 3</w:t>
            </w:r>
          </w:p>
        </w:tc>
        <w:tc>
          <w:tcPr>
            <w:tcW w:w="244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5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4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 (cost – $450,456 and $314,420, respectively)</w:t>
            </w:r>
          </w:p>
        </w:tc>
        <w:tc>
          <w:tcPr>
            <w:tcW w:w="2440" w:type="dxa"/>
            <w:vAlign w:val="bottom"/>
          </w:tcPr>
          <w:p>
            <w:pPr>
              <w:spacing w:after="0"/>
              <w:rPr>
                <w:sz w:val="15"/>
                <w:szCs w:val="15"/>
                <w:color w:val="auto"/>
              </w:rPr>
            </w:pPr>
          </w:p>
        </w:tc>
        <w:tc>
          <w:tcPr>
            <w:tcW w:w="38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446,554</w:t>
            </w:r>
          </w:p>
        </w:tc>
        <w:tc>
          <w:tcPr>
            <w:tcW w:w="280" w:type="dxa"/>
            <w:vAlign w:val="bottom"/>
          </w:tcPr>
          <w:p>
            <w:pPr>
              <w:spacing w:after="0"/>
              <w:rPr>
                <w:sz w:val="15"/>
                <w:szCs w:val="15"/>
                <w:color w:val="auto"/>
              </w:rPr>
            </w:pPr>
          </w:p>
        </w:tc>
        <w:tc>
          <w:tcPr>
            <w:tcW w:w="6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307,661</w:t>
            </w:r>
          </w:p>
        </w:tc>
        <w:tc>
          <w:tcPr>
            <w:tcW w:w="80" w:type="dxa"/>
            <w:vAlign w:val="bottom"/>
          </w:tcPr>
          <w:p>
            <w:pPr>
              <w:spacing w:after="0"/>
              <w:rPr>
                <w:sz w:val="15"/>
                <w:szCs w:val="15"/>
                <w:color w:val="auto"/>
              </w:rPr>
            </w:pPr>
          </w:p>
        </w:tc>
      </w:tr>
      <w:tr>
        <w:trPr>
          <w:trHeight w:val="20"/>
        </w:trPr>
        <w:tc>
          <w:tcPr>
            <w:tcW w:w="4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456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Temporary draws outstanding, at cost</w:t>
            </w:r>
          </w:p>
        </w:tc>
        <w:tc>
          <w:tcPr>
            <w:tcW w:w="244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5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4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 (cost – $450,456 and $314,420, respectively)</w:t>
            </w:r>
          </w:p>
        </w:tc>
        <w:tc>
          <w:tcPr>
            <w:tcW w:w="2820" w:type="dxa"/>
            <w:vAlign w:val="bottom"/>
            <w:gridSpan w:val="2"/>
          </w:tcPr>
          <w:p>
            <w:pPr>
              <w:jc w:val="right"/>
              <w:ind w:right="265"/>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446,554</w:t>
            </w:r>
          </w:p>
        </w:tc>
        <w:tc>
          <w:tcPr>
            <w:tcW w:w="280" w:type="dxa"/>
            <w:vAlign w:val="bottom"/>
          </w:tcPr>
          <w:p>
            <w:pPr>
              <w:spacing w:after="0"/>
              <w:rPr>
                <w:sz w:val="15"/>
                <w:szCs w:val="15"/>
                <w:color w:val="auto"/>
              </w:rPr>
            </w:pPr>
          </w:p>
        </w:tc>
        <w:tc>
          <w:tcPr>
            <w:tcW w:w="64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307,661</w:t>
            </w:r>
          </w:p>
        </w:tc>
        <w:tc>
          <w:tcPr>
            <w:tcW w:w="80" w:type="dxa"/>
            <w:vAlign w:val="bottom"/>
          </w:tcPr>
          <w:p>
            <w:pPr>
              <w:spacing w:after="0"/>
              <w:rPr>
                <w:sz w:val="15"/>
                <w:szCs w:val="15"/>
                <w:color w:val="auto"/>
              </w:rPr>
            </w:pPr>
          </w:p>
        </w:tc>
      </w:tr>
      <w:tr>
        <w:trPr>
          <w:trHeight w:val="20"/>
        </w:trPr>
        <w:tc>
          <w:tcPr>
            <w:tcW w:w="4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Excludes temporary draws.</w:t>
      </w:r>
    </w:p>
    <w:p>
      <w:pPr>
        <w:spacing w:after="0" w:line="61"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As of June 30, 2024, we had outstanding non-U.S. dollar borrowings on our Credit Facility. Net change in fair value on foreign currency translation on outstanding borrowings is listed below ($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620" w:type="dxa"/>
            <w:vAlign w:val="bottom"/>
          </w:tcPr>
          <w:p>
            <w:pPr>
              <w:spacing w:after="0"/>
              <w:rPr>
                <w:sz w:val="15"/>
                <w:szCs w:val="15"/>
                <w:color w:val="auto"/>
              </w:rPr>
            </w:pPr>
          </w:p>
        </w:tc>
        <w:tc>
          <w:tcPr>
            <w:tcW w:w="14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Amount Borrowed</w:t>
            </w:r>
          </w:p>
        </w:tc>
        <w:tc>
          <w:tcPr>
            <w:tcW w:w="320" w:type="dxa"/>
            <w:vAlign w:val="bottom"/>
          </w:tcPr>
          <w:p>
            <w:pPr>
              <w:spacing w:after="0"/>
              <w:rPr>
                <w:sz w:val="15"/>
                <w:szCs w:val="15"/>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340" w:type="dxa"/>
            <w:vAlign w:val="bottom"/>
          </w:tcPr>
          <w:p>
            <w:pPr>
              <w:spacing w:after="0"/>
              <w:rPr>
                <w:sz w:val="15"/>
                <w:szCs w:val="15"/>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300" w:type="dxa"/>
            <w:vAlign w:val="bottom"/>
          </w:tcPr>
          <w:p>
            <w:pPr>
              <w:spacing w:after="0"/>
              <w:rPr>
                <w:sz w:val="15"/>
                <w:szCs w:val="15"/>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Change in Fair Value</w:t>
            </w:r>
          </w:p>
        </w:tc>
      </w:tr>
      <w:tr>
        <w:trPr>
          <w:trHeight w:val="184"/>
        </w:trPr>
        <w:tc>
          <w:tcPr>
            <w:tcW w:w="1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British Pound</w:t>
            </w:r>
          </w:p>
        </w:tc>
        <w:tc>
          <w:tcPr>
            <w:tcW w:w="62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36,000</w:t>
            </w:r>
          </w:p>
        </w:tc>
        <w:tc>
          <w:tcPr>
            <w:tcW w:w="3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49,420</w:t>
            </w:r>
          </w:p>
        </w:tc>
        <w:tc>
          <w:tcPr>
            <w:tcW w:w="3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45,508</w:t>
            </w: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September 26, 2024</w:t>
            </w: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(3,912 )</w:t>
            </w:r>
          </w:p>
        </w:tc>
      </w:tr>
      <w:tr>
        <w:trPr>
          <w:trHeight w:val="172"/>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Canadian dollar</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2,800</w:t>
            </w: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2,036</w:t>
            </w: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2,046</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July 22, 2024</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w:t>
            </w:r>
          </w:p>
        </w:tc>
      </w:tr>
    </w:tbl>
    <w:p>
      <w:pPr>
        <w:spacing w:after="0" w:line="152"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2023, we had outstanding non-U.S. dollar borrowings on our Truist Credit Facility. Net change in fair value on foreign currency translation on outstanding borrowings is listed below ($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620" w:type="dxa"/>
            <w:vAlign w:val="bottom"/>
          </w:tcPr>
          <w:p>
            <w:pPr>
              <w:spacing w:after="0"/>
              <w:rPr>
                <w:sz w:val="15"/>
                <w:szCs w:val="15"/>
                <w:color w:val="auto"/>
              </w:rPr>
            </w:pPr>
          </w:p>
        </w:tc>
        <w:tc>
          <w:tcPr>
            <w:tcW w:w="14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Amount Borrowed</w:t>
            </w:r>
          </w:p>
        </w:tc>
        <w:tc>
          <w:tcPr>
            <w:tcW w:w="320" w:type="dxa"/>
            <w:vAlign w:val="bottom"/>
          </w:tcPr>
          <w:p>
            <w:pPr>
              <w:spacing w:after="0"/>
              <w:rPr>
                <w:sz w:val="15"/>
                <w:szCs w:val="15"/>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340" w:type="dxa"/>
            <w:vAlign w:val="bottom"/>
          </w:tcPr>
          <w:p>
            <w:pPr>
              <w:spacing w:after="0"/>
              <w:rPr>
                <w:sz w:val="15"/>
                <w:szCs w:val="15"/>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300" w:type="dxa"/>
            <w:vAlign w:val="bottom"/>
          </w:tcPr>
          <w:p>
            <w:pPr>
              <w:spacing w:after="0"/>
              <w:rPr>
                <w:sz w:val="15"/>
                <w:szCs w:val="15"/>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Change in Fair Value</w:t>
            </w:r>
          </w:p>
        </w:tc>
      </w:tr>
      <w:tr>
        <w:trPr>
          <w:trHeight w:val="184"/>
        </w:trPr>
        <w:tc>
          <w:tcPr>
            <w:tcW w:w="1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British Pound</w:t>
            </w:r>
          </w:p>
        </w:tc>
        <w:tc>
          <w:tcPr>
            <w:tcW w:w="62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36,000</w:t>
            </w:r>
          </w:p>
        </w:tc>
        <w:tc>
          <w:tcPr>
            <w:tcW w:w="3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49,420</w:t>
            </w:r>
          </w:p>
        </w:tc>
        <w:tc>
          <w:tcPr>
            <w:tcW w:w="3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43,940</w:t>
            </w: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December 28, 2023</w:t>
            </w: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(5,480 )</w:t>
            </w:r>
          </w:p>
        </w:tc>
      </w:tr>
    </w:tbl>
    <w:p>
      <w:pPr>
        <w:spacing w:after="0" w:line="144" w:lineRule="exact"/>
        <w:rPr>
          <w:sz w:val="20"/>
          <w:szCs w:val="20"/>
          <w:color w:val="auto"/>
        </w:rPr>
      </w:pPr>
    </w:p>
    <w:p>
      <w:pPr>
        <w:ind w:right="120" w:firstLine="420"/>
        <w:spacing w:after="0" w:line="255"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under ASC Subtopic 825-10, Financial Instruments ("ASC 825-10"), which provides companies with an option to report selected financial assets and liabilities at fair value, and made an irrevocable election to apply ASC 825-10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did not incur any expenses relating to amendment costs on the Truist Credit Facility during the three and nine months ended June 30, 2024 and 2023.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825 -10 also requires us to display the fair value of the selected assets and liabilities on the face of the Consolidated Statements of Assets and Liabilities and changes in fair value of the Truist Credit Facility is reported in our Consolidated Statements of Operations. We did not elect to apply ASC 825-10 to any other financial assets or liabilities, including the, 2026 Notes, and 2026 Notes-2.</w:t>
      </w:r>
    </w:p>
    <w:p>
      <w:pPr>
        <w:spacing w:after="0" w:line="134" w:lineRule="exact"/>
        <w:rPr>
          <w:sz w:val="20"/>
          <w:szCs w:val="20"/>
          <w:color w:val="auto"/>
        </w:rPr>
      </w:pPr>
    </w:p>
    <w:p>
      <w:pPr>
        <w:ind w:right="280" w:firstLine="420"/>
        <w:spacing w:after="0" w:line="262" w:lineRule="auto"/>
        <w:rPr>
          <w:sz w:val="20"/>
          <w:szCs w:val="20"/>
          <w:color w:val="auto"/>
        </w:rPr>
      </w:pPr>
      <w:r>
        <w:rPr>
          <w:rFonts w:ascii="Times New Roman" w:cs="Times New Roman" w:eastAsia="Times New Roman" w:hAnsi="Times New Roman"/>
          <w:sz w:val="13"/>
          <w:szCs w:val="13"/>
          <w:color w:val="auto"/>
        </w:rPr>
        <w:t>For the three and nine months ended June 30, 2024, the Truist Credit Facility had a net change in unrealized (appreciation) depreciation of less than $(0.1) million and $(1.6) million, respectively. For the three and nine months ended June 30, 2023, the Truist Credit Facility had a net change in unrealized (appreciation) depreciation of $(8.4) million and $(2.5) million, respectively. As of June 30, 2024 and September 30, 2023, the net unrealized depreciation on the Truist Credit Facility totaled $3.9 million and $5.5 million, respectively. We use an independent valuation service to measure the fair value of our Truist Credit Facility in a manner consistent with the valuation process that our board of directors uses to value our investments.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8" w:name="page39"/>
    <w:bookmarkEnd w:id="38"/>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TRANSACTIONS WITH AFFILIATED COMPANIES</w:t>
      </w:r>
    </w:p>
    <w:p>
      <w:pPr>
        <w:spacing w:after="0" w:line="165" w:lineRule="exact"/>
        <w:rPr>
          <w:sz w:val="20"/>
          <w:szCs w:val="20"/>
          <w:color w:val="auto"/>
        </w:rPr>
      </w:pPr>
    </w:p>
    <w:p>
      <w:pPr>
        <w:jc w:val="both"/>
        <w:ind w:right="180" w:firstLine="420"/>
        <w:spacing w:after="0" w:line="268" w:lineRule="auto"/>
        <w:rPr>
          <w:sz w:val="20"/>
          <w:szCs w:val="20"/>
          <w:color w:val="auto"/>
        </w:rPr>
      </w:pPr>
      <w:r>
        <w:rPr>
          <w:rFonts w:ascii="Times New Roman" w:cs="Times New Roman" w:eastAsia="Times New Roman" w:hAnsi="Times New Roman"/>
          <w:sz w:val="13"/>
          <w:szCs w:val="13"/>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June 30, 2024 were as follows ($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8"/>
              </w:rPr>
              <w:t>Net Change in</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Net Realized</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Fair Value at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Gross</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420"/>
              <w:spacing w:after="0" w:line="122" w:lineRule="exact"/>
              <w:rPr>
                <w:sz w:val="20"/>
                <w:szCs w:val="20"/>
                <w:color w:val="auto"/>
              </w:rPr>
            </w:pPr>
            <w:r>
              <w:rPr>
                <w:rFonts w:ascii="Times New Roman" w:cs="Times New Roman" w:eastAsia="Times New Roman" w:hAnsi="Times New Roman"/>
                <w:sz w:val="11"/>
                <w:szCs w:val="11"/>
                <w:b w:val="1"/>
                <w:bCs w:val="1"/>
                <w:color w:val="auto"/>
              </w:rPr>
              <w:t>Gross</w:t>
            </w:r>
          </w:p>
        </w:tc>
        <w:tc>
          <w:tcPr>
            <w:tcW w:w="100" w:type="dxa"/>
            <w:vAlign w:val="bottom"/>
          </w:tcPr>
          <w:p>
            <w:pPr>
              <w:spacing w:after="0"/>
              <w:rPr>
                <w:sz w:val="10"/>
                <w:szCs w:val="10"/>
                <w:color w:val="auto"/>
              </w:rPr>
            </w:pPr>
          </w:p>
        </w:tc>
        <w:tc>
          <w:tcPr>
            <w:tcW w:w="1040" w:type="dxa"/>
            <w:vAlign w:val="bottom"/>
            <w:gridSpan w:val="2"/>
          </w:tcPr>
          <w:p>
            <w:pPr>
              <w:jc w:val="right"/>
              <w:ind w:right="36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Appreciation /</w:t>
            </w:r>
          </w:p>
        </w:tc>
        <w:tc>
          <w:tcPr>
            <w:tcW w:w="80" w:type="dxa"/>
            <w:vAlign w:val="bottom"/>
          </w:tcPr>
          <w:p>
            <w:pPr>
              <w:spacing w:after="0"/>
              <w:rPr>
                <w:sz w:val="10"/>
                <w:szCs w:val="10"/>
                <w:color w:val="auto"/>
              </w:rPr>
            </w:pPr>
          </w:p>
        </w:tc>
        <w:tc>
          <w:tcPr>
            <w:tcW w:w="7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Fair Value at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86"/>
              <w:spacing w:after="0" w:line="122" w:lineRule="exact"/>
              <w:rPr>
                <w:sz w:val="20"/>
                <w:szCs w:val="20"/>
                <w:color w:val="auto"/>
              </w:rPr>
            </w:pPr>
            <w:r>
              <w:rPr>
                <w:rFonts w:ascii="Times New Roman" w:cs="Times New Roman" w:eastAsia="Times New Roman" w:hAnsi="Times New Roman"/>
                <w:sz w:val="11"/>
                <w:szCs w:val="11"/>
                <w:b w:val="1"/>
                <w:bCs w:val="1"/>
                <w:color w:val="auto"/>
              </w:rPr>
              <w:t>PIK</w:t>
            </w:r>
          </w:p>
        </w:tc>
        <w:tc>
          <w:tcPr>
            <w:tcW w:w="180" w:type="dxa"/>
            <w:vAlign w:val="bottom"/>
          </w:tcPr>
          <w:p>
            <w:pPr>
              <w:spacing w:after="0"/>
              <w:rPr>
                <w:sz w:val="10"/>
                <w:szCs w:val="10"/>
                <w:color w:val="auto"/>
              </w:rPr>
            </w:pPr>
          </w:p>
        </w:tc>
        <w:tc>
          <w:tcPr>
            <w:tcW w:w="54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Dividend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Gains</w:t>
            </w:r>
          </w:p>
        </w:tc>
        <w:tc>
          <w:tcPr>
            <w:tcW w:w="0" w:type="dxa"/>
            <w:vAlign w:val="bottom"/>
          </w:tcPr>
          <w:p>
            <w:pPr>
              <w:spacing w:after="0"/>
              <w:rPr>
                <w:sz w:val="1"/>
                <w:szCs w:val="1"/>
                <w:color w:val="auto"/>
              </w:rPr>
            </w:pPr>
          </w:p>
        </w:tc>
      </w:tr>
      <w:tr>
        <w:trPr>
          <w:trHeight w:val="156"/>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Name of Investment</w:t>
            </w:r>
          </w:p>
        </w:tc>
        <w:tc>
          <w:tcPr>
            <w:tcW w:w="9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c>
          <w:tcPr>
            <w:tcW w:w="220" w:type="dxa"/>
            <w:vAlign w:val="bottom"/>
          </w:tcPr>
          <w:p>
            <w:pPr>
              <w:spacing w:after="0"/>
              <w:rPr>
                <w:sz w:val="13"/>
                <w:szCs w:val="13"/>
                <w:color w:val="auto"/>
              </w:rPr>
            </w:pPr>
          </w:p>
        </w:tc>
        <w:tc>
          <w:tcPr>
            <w:tcW w:w="640" w:type="dxa"/>
            <w:vAlign w:val="bottom"/>
            <w:gridSpan w:val="2"/>
          </w:tcPr>
          <w:p>
            <w:pPr>
              <w:jc w:val="right"/>
              <w:ind w:right="6"/>
              <w:spacing w:after="0" w:line="156" w:lineRule="exact"/>
              <w:rPr>
                <w:sz w:val="20"/>
                <w:szCs w:val="20"/>
                <w:color w:val="auto"/>
              </w:rPr>
            </w:pPr>
            <w:r>
              <w:rPr>
                <w:rFonts w:ascii="Times New Roman" w:cs="Times New Roman" w:eastAsia="Times New Roman" w:hAnsi="Times New Roman"/>
                <w:sz w:val="11"/>
                <w:szCs w:val="11"/>
                <w:b w:val="1"/>
                <w:bCs w:val="1"/>
                <w:color w:val="auto"/>
                <w:w w:val="98"/>
              </w:rPr>
              <w:t>Additions</w:t>
            </w:r>
            <w:r>
              <w:rPr>
                <w:rFonts w:ascii="Times New Roman" w:cs="Times New Roman" w:eastAsia="Times New Roman" w:hAnsi="Times New Roman"/>
                <w:sz w:val="14"/>
                <w:szCs w:val="14"/>
                <w:b w:val="1"/>
                <w:bCs w:val="1"/>
                <w:color w:val="auto"/>
                <w:w w:val="98"/>
                <w:vertAlign w:val="superscript"/>
              </w:rPr>
              <w:t>(1)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5"/>
              </w:rPr>
              <w:t>Reductions</w:t>
            </w:r>
          </w:p>
        </w:tc>
        <w:tc>
          <w:tcPr>
            <w:tcW w:w="10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(Depreciation)</w:t>
            </w:r>
          </w:p>
        </w:tc>
        <w:tc>
          <w:tcPr>
            <w:tcW w:w="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6"/>
              </w:rPr>
              <w:t>June 30, 2024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(Losses)</w:t>
            </w:r>
          </w:p>
        </w:tc>
        <w:tc>
          <w:tcPr>
            <w:tcW w:w="0" w:type="dxa"/>
            <w:vAlign w:val="bottom"/>
          </w:tcPr>
          <w:p>
            <w:pPr>
              <w:spacing w:after="0"/>
              <w:rPr>
                <w:sz w:val="1"/>
                <w:szCs w:val="1"/>
                <w:color w:val="auto"/>
              </w:rPr>
            </w:pPr>
          </w:p>
        </w:tc>
      </w:tr>
      <w:tr>
        <w:trPr>
          <w:trHeight w:val="156"/>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Controlled Affiliates</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AKW Holdings Limited</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51,660</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3,787</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57,344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8"/>
        </w:trPr>
        <w:tc>
          <w:tcPr>
            <w:tcW w:w="2400" w:type="dxa"/>
            <w:vAlign w:val="bottom"/>
            <w:shd w:val="clear" w:color="auto" w:fill="CCECFF"/>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Flock Financial, LLC </w:t>
            </w:r>
            <w:r>
              <w:rPr>
                <w:rFonts w:ascii="Times New Roman" w:cs="Times New Roman" w:eastAsia="Times New Roman" w:hAnsi="Times New Roman"/>
                <w:sz w:val="14"/>
                <w:szCs w:val="14"/>
                <w:color w:val="auto"/>
                <w:vertAlign w:val="superscript"/>
              </w:rPr>
              <w:t>(5)</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32,300</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20,006</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(5,306 )</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1,029</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48,029</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1,358</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587</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(5,305 )</w:t>
            </w:r>
          </w:p>
        </w:tc>
        <w:tc>
          <w:tcPr>
            <w:tcW w:w="0" w:type="dxa"/>
            <w:vAlign w:val="bottom"/>
          </w:tcPr>
          <w:p>
            <w:pPr>
              <w:spacing w:after="0"/>
              <w:rPr>
                <w:sz w:val="1"/>
                <w:szCs w:val="1"/>
                <w:color w:val="auto"/>
              </w:rPr>
            </w:pPr>
          </w:p>
        </w:tc>
      </w:tr>
      <w:tr>
        <w:trPr>
          <w:trHeight w:val="132"/>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JF Intermediate, LLC (MidOcean JF Holdings</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40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Corp.) </w:t>
            </w:r>
            <w:r>
              <w:rPr>
                <w:rFonts w:ascii="Times New Roman" w:cs="Times New Roman" w:eastAsia="Times New Roman" w:hAnsi="Times New Roman"/>
                <w:sz w:val="14"/>
                <w:szCs w:val="14"/>
                <w:color w:val="auto"/>
                <w:vertAlign w:val="superscript"/>
              </w:rPr>
              <w:t>(2)</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8,759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51,846</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(250 )</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21,243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81,598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4,029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Mailsouth Inc.</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(28,899 )</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28,899</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(28,899 )</w:t>
            </w:r>
          </w:p>
        </w:tc>
        <w:tc>
          <w:tcPr>
            <w:tcW w:w="0" w:type="dxa"/>
            <w:vAlign w:val="bottom"/>
          </w:tcPr>
          <w:p>
            <w:pPr>
              <w:spacing w:after="0"/>
              <w:rPr>
                <w:sz w:val="1"/>
                <w:szCs w:val="1"/>
                <w:color w:val="auto"/>
              </w:rPr>
            </w:pPr>
          </w:p>
        </w:tc>
      </w:tr>
      <w:tr>
        <w:trPr>
          <w:trHeight w:val="156"/>
        </w:trPr>
        <w:tc>
          <w:tcPr>
            <w:tcW w:w="240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(3)</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164,408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22,353</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(1,158 )</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185,603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11,109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16,765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240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RAM Energy LLC </w:t>
            </w:r>
            <w:r>
              <w:rPr>
                <w:rFonts w:ascii="Times New Roman" w:cs="Times New Roman" w:eastAsia="Times New Roman" w:hAnsi="Times New Roman"/>
                <w:sz w:val="14"/>
                <w:szCs w:val="14"/>
                <w:color w:val="auto"/>
                <w:vertAlign w:val="superscript"/>
              </w:rPr>
              <w:t>(4)</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(1,270 )</w:t>
            </w:r>
          </w:p>
        </w:tc>
        <w:tc>
          <w:tcPr>
            <w:tcW w:w="0" w:type="dxa"/>
            <w:vAlign w:val="bottom"/>
          </w:tcPr>
          <w:p>
            <w:pPr>
              <w:spacing w:after="0"/>
              <w:rPr>
                <w:sz w:val="1"/>
                <w:szCs w:val="1"/>
                <w:color w:val="auto"/>
              </w:rPr>
            </w:pPr>
          </w:p>
        </w:tc>
      </w:tr>
      <w:tr>
        <w:trPr>
          <w:trHeight w:val="154"/>
        </w:trPr>
        <w:tc>
          <w:tcPr>
            <w:tcW w:w="24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Controlled Affiliates</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257,127</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(34,455 )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53,800</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372,574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19,389</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16,765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(35,474 )</w:t>
            </w:r>
          </w:p>
        </w:tc>
        <w:tc>
          <w:tcPr>
            <w:tcW w:w="0" w:type="dxa"/>
            <w:vAlign w:val="bottom"/>
          </w:tcPr>
          <w:p>
            <w:pPr>
              <w:spacing w:after="0"/>
              <w:rPr>
                <w:sz w:val="1"/>
                <w:szCs w:val="1"/>
                <w:color w:val="auto"/>
              </w:rPr>
            </w:pPr>
          </w:p>
        </w:tc>
      </w:tr>
      <w:tr>
        <w:trPr>
          <w:trHeight w:val="158"/>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Non-Controlled Affiliates</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Cascade Environmental Holdings, LLC</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32,105</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(4,541 )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27,564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8"/>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13,907</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2,470</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(10,667 )</w:t>
            </w: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5,710</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347</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8"/>
        </w:trPr>
        <w:tc>
          <w:tcPr>
            <w:tcW w:w="24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Non-Controlled Affiliates</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46,012</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(15,208 )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33,274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Controlled and</w:t>
            </w:r>
          </w:p>
        </w:tc>
        <w:tc>
          <w:tcPr>
            <w:tcW w:w="10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303,139</w:t>
            </w:r>
          </w:p>
        </w:tc>
        <w:tc>
          <w:tcPr>
            <w:tcW w:w="220" w:type="dxa"/>
            <w:vAlign w:val="bottom"/>
            <w:vMerge w:val="restart"/>
            <w:shd w:val="clear" w:color="auto" w:fill="CCECFF"/>
          </w:tcPr>
          <w:p>
            <w:pPr>
              <w:spacing w:after="0"/>
              <w:rPr>
                <w:sz w:val="12"/>
                <w:szCs w:val="12"/>
                <w:color w:val="auto"/>
              </w:rPr>
            </w:pPr>
          </w:p>
        </w:tc>
        <w:tc>
          <w:tcPr>
            <w:tcW w:w="120" w:type="dxa"/>
            <w:vAlign w:val="bottom"/>
            <w:vMerge w:val="restart"/>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98,572</w:t>
            </w:r>
          </w:p>
        </w:tc>
        <w:tc>
          <w:tcPr>
            <w:tcW w:w="220" w:type="dxa"/>
            <w:vAlign w:val="bottom"/>
            <w:vMerge w:val="restart"/>
            <w:shd w:val="clear" w:color="auto" w:fill="CCECFF"/>
          </w:tcPr>
          <w:p>
            <w:pPr>
              <w:spacing w:after="0"/>
              <w:rPr>
                <w:sz w:val="12"/>
                <w:szCs w:val="12"/>
                <w:color w:val="auto"/>
              </w:rPr>
            </w:pPr>
          </w:p>
        </w:tc>
        <w:tc>
          <w:tcPr>
            <w:tcW w:w="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vMerge w:val="restart"/>
            <w:shd w:val="clear" w:color="auto" w:fill="CCECFF"/>
          </w:tcPr>
          <w:p>
            <w:pPr>
              <w:jc w:val="right"/>
              <w:ind w:right="180"/>
              <w:spacing w:after="0" w:line="234" w:lineRule="exact"/>
              <w:rPr>
                <w:sz w:val="20"/>
                <w:szCs w:val="20"/>
                <w:color w:val="auto"/>
              </w:rPr>
            </w:pPr>
            <w:r>
              <w:rPr>
                <w:rFonts w:ascii="Times New Roman" w:cs="Times New Roman" w:eastAsia="Times New Roman" w:hAnsi="Times New Roman"/>
                <w:sz w:val="11"/>
                <w:szCs w:val="11"/>
                <w:color w:val="auto"/>
              </w:rPr>
              <w:t xml:space="preserve">(34,455 </w:t>
            </w:r>
            <w:r>
              <w:rPr>
                <w:rFonts w:ascii="Times New Roman" w:cs="Times New Roman" w:eastAsia="Times New Roman" w:hAnsi="Times New Roman"/>
                <w:sz w:val="21"/>
                <w:szCs w:val="21"/>
                <w:color w:val="auto"/>
                <w:vertAlign w:val="subscript"/>
              </w:rPr>
              <w:t>)</w:t>
            </w:r>
          </w:p>
        </w:tc>
        <w:tc>
          <w:tcPr>
            <w:tcW w:w="1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38,592</w:t>
            </w:r>
          </w:p>
        </w:tc>
        <w:tc>
          <w:tcPr>
            <w:tcW w:w="220" w:type="dxa"/>
            <w:vAlign w:val="bottom"/>
            <w:shd w:val="clear" w:color="auto" w:fill="CCECFF"/>
          </w:tcPr>
          <w:p>
            <w:pPr>
              <w:spacing w:after="0"/>
              <w:rPr>
                <w:sz w:val="12"/>
                <w:szCs w:val="12"/>
                <w:color w:val="auto"/>
              </w:rPr>
            </w:pPr>
          </w:p>
        </w:tc>
        <w:tc>
          <w:tcPr>
            <w:tcW w:w="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405,848</w:t>
            </w:r>
          </w:p>
        </w:tc>
        <w:tc>
          <w:tcPr>
            <w:tcW w:w="300" w:type="dxa"/>
            <w:vAlign w:val="bottom"/>
            <w:gridSpan w:val="2"/>
            <w:vMerge w:val="restart"/>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19,389</w:t>
            </w:r>
          </w:p>
        </w:tc>
        <w:tc>
          <w:tcPr>
            <w:tcW w:w="320" w:type="dxa"/>
            <w:vAlign w:val="bottom"/>
            <w:gridSpan w:val="2"/>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2,831</w:t>
            </w:r>
          </w:p>
        </w:tc>
        <w:tc>
          <w:tcPr>
            <w:tcW w:w="28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16,765</w:t>
            </w:r>
          </w:p>
        </w:tc>
        <w:tc>
          <w:tcPr>
            <w:tcW w:w="30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shd w:val="clear" w:color="auto" w:fill="CCECFF"/>
          </w:tcPr>
          <w:p>
            <w:pPr>
              <w:jc w:val="right"/>
              <w:ind w:right="40"/>
              <w:spacing w:after="0" w:line="234" w:lineRule="exact"/>
              <w:rPr>
                <w:sz w:val="20"/>
                <w:szCs w:val="20"/>
                <w:color w:val="auto"/>
              </w:rPr>
            </w:pPr>
            <w:r>
              <w:rPr>
                <w:rFonts w:ascii="Times New Roman" w:cs="Times New Roman" w:eastAsia="Times New Roman" w:hAnsi="Times New Roman"/>
                <w:sz w:val="11"/>
                <w:szCs w:val="11"/>
                <w:color w:val="auto"/>
              </w:rPr>
              <w:t xml:space="preserve">(35,474 </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130"/>
        </w:trPr>
        <w:tc>
          <w:tcPr>
            <w:tcW w:w="2400" w:type="dxa"/>
            <w:vAlign w:val="bottom"/>
            <w:shd w:val="clear" w:color="auto" w:fill="CCECFF"/>
          </w:tcPr>
          <w:p>
            <w:pPr>
              <w:ind w:left="100"/>
              <w:spacing w:after="0" w:line="91" w:lineRule="exact"/>
              <w:rPr>
                <w:sz w:val="20"/>
                <w:szCs w:val="20"/>
                <w:color w:val="auto"/>
              </w:rPr>
            </w:pPr>
            <w:r>
              <w:rPr>
                <w:rFonts w:ascii="Times New Roman" w:cs="Times New Roman" w:eastAsia="Times New Roman" w:hAnsi="Times New Roman"/>
                <w:sz w:val="10"/>
                <w:szCs w:val="10"/>
                <w:b w:val="1"/>
                <w:bCs w:val="1"/>
                <w:color w:val="auto"/>
              </w:rPr>
              <w:t>Non-Controlled Affiliates</w:t>
            </w:r>
          </w:p>
        </w:tc>
        <w:tc>
          <w:tcPr>
            <w:tcW w:w="100" w:type="dxa"/>
            <w:vAlign w:val="bottom"/>
            <w:vMerge w:val="continue"/>
            <w:shd w:val="clear" w:color="auto" w:fill="CCECFF"/>
          </w:tcPr>
          <w:p>
            <w:pPr>
              <w:spacing w:after="0"/>
              <w:rPr>
                <w:sz w:val="11"/>
                <w:szCs w:val="11"/>
                <w:color w:val="auto"/>
              </w:rPr>
            </w:pPr>
          </w:p>
        </w:tc>
        <w:tc>
          <w:tcPr>
            <w:tcW w:w="820" w:type="dxa"/>
            <w:vAlign w:val="bottom"/>
            <w:vMerge w:val="continue"/>
            <w:shd w:val="clear" w:color="auto" w:fill="CCECFF"/>
          </w:tcPr>
          <w:p>
            <w:pPr>
              <w:spacing w:after="0"/>
              <w:rPr>
                <w:sz w:val="11"/>
                <w:szCs w:val="11"/>
                <w:color w:val="auto"/>
              </w:rPr>
            </w:pPr>
          </w:p>
        </w:tc>
        <w:tc>
          <w:tcPr>
            <w:tcW w:w="220" w:type="dxa"/>
            <w:vAlign w:val="bottom"/>
            <w:vMerge w:val="continue"/>
            <w:shd w:val="clear" w:color="auto" w:fill="CCECFF"/>
          </w:tcPr>
          <w:p>
            <w:pPr>
              <w:spacing w:after="0"/>
              <w:rPr>
                <w:sz w:val="11"/>
                <w:szCs w:val="11"/>
                <w:color w:val="auto"/>
              </w:rPr>
            </w:pPr>
          </w:p>
        </w:tc>
        <w:tc>
          <w:tcPr>
            <w:tcW w:w="120" w:type="dxa"/>
            <w:vAlign w:val="bottom"/>
            <w:vMerge w:val="continue"/>
            <w:shd w:val="clear" w:color="auto" w:fill="CCECFF"/>
          </w:tcPr>
          <w:p>
            <w:pPr>
              <w:spacing w:after="0"/>
              <w:rPr>
                <w:sz w:val="11"/>
                <w:szCs w:val="11"/>
                <w:color w:val="auto"/>
              </w:rPr>
            </w:pPr>
          </w:p>
        </w:tc>
        <w:tc>
          <w:tcPr>
            <w:tcW w:w="520" w:type="dxa"/>
            <w:vAlign w:val="bottom"/>
            <w:vMerge w:val="continue"/>
            <w:shd w:val="clear" w:color="auto" w:fill="CCECFF"/>
          </w:tcPr>
          <w:p>
            <w:pPr>
              <w:spacing w:after="0"/>
              <w:rPr>
                <w:sz w:val="11"/>
                <w:szCs w:val="11"/>
                <w:color w:val="auto"/>
              </w:rPr>
            </w:pPr>
          </w:p>
        </w:tc>
        <w:tc>
          <w:tcPr>
            <w:tcW w:w="220" w:type="dxa"/>
            <w:vAlign w:val="bottom"/>
            <w:vMerge w:val="continue"/>
            <w:shd w:val="clear" w:color="auto" w:fill="CCECFF"/>
          </w:tcPr>
          <w:p>
            <w:pPr>
              <w:spacing w:after="0"/>
              <w:rPr>
                <w:sz w:val="11"/>
                <w:szCs w:val="11"/>
                <w:color w:val="auto"/>
              </w:rPr>
            </w:pPr>
          </w:p>
        </w:tc>
        <w:tc>
          <w:tcPr>
            <w:tcW w:w="60" w:type="dxa"/>
            <w:vAlign w:val="bottom"/>
            <w:vMerge w:val="continue"/>
            <w:shd w:val="clear" w:color="auto" w:fill="CCECFF"/>
          </w:tcPr>
          <w:p>
            <w:pPr>
              <w:spacing w:after="0"/>
              <w:rPr>
                <w:sz w:val="11"/>
                <w:szCs w:val="11"/>
                <w:color w:val="auto"/>
              </w:rPr>
            </w:pPr>
          </w:p>
        </w:tc>
        <w:tc>
          <w:tcPr>
            <w:tcW w:w="820" w:type="dxa"/>
            <w:vAlign w:val="bottom"/>
            <w:gridSpan w:val="2"/>
            <w:vMerge w:val="continue"/>
            <w:shd w:val="clear" w:color="auto" w:fill="CCECFF"/>
          </w:tcPr>
          <w:p>
            <w:pPr>
              <w:spacing w:after="0"/>
              <w:rPr>
                <w:sz w:val="11"/>
                <w:szCs w:val="11"/>
                <w:color w:val="auto"/>
              </w:rPr>
            </w:pPr>
          </w:p>
        </w:tc>
        <w:tc>
          <w:tcPr>
            <w:tcW w:w="100" w:type="dxa"/>
            <w:vAlign w:val="bottom"/>
            <w:vMerge w:val="continue"/>
            <w:shd w:val="clear" w:color="auto" w:fill="CCECFF"/>
          </w:tcPr>
          <w:p>
            <w:pPr>
              <w:spacing w:after="0"/>
              <w:rPr>
                <w:sz w:val="11"/>
                <w:szCs w:val="11"/>
                <w:color w:val="auto"/>
              </w:rPr>
            </w:pPr>
          </w:p>
        </w:tc>
        <w:tc>
          <w:tcPr>
            <w:tcW w:w="820" w:type="dxa"/>
            <w:vAlign w:val="bottom"/>
            <w:vMerge w:val="continue"/>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vMerge w:val="continue"/>
            <w:shd w:val="clear" w:color="auto" w:fill="CCECFF"/>
          </w:tcPr>
          <w:p>
            <w:pPr>
              <w:spacing w:after="0"/>
              <w:rPr>
                <w:sz w:val="11"/>
                <w:szCs w:val="11"/>
                <w:color w:val="auto"/>
              </w:rPr>
            </w:pPr>
          </w:p>
        </w:tc>
        <w:tc>
          <w:tcPr>
            <w:tcW w:w="740" w:type="dxa"/>
            <w:vAlign w:val="bottom"/>
            <w:vMerge w:val="continue"/>
            <w:shd w:val="clear" w:color="auto" w:fill="CCECFF"/>
          </w:tcPr>
          <w:p>
            <w:pPr>
              <w:spacing w:after="0"/>
              <w:rPr>
                <w:sz w:val="11"/>
                <w:szCs w:val="11"/>
                <w:color w:val="auto"/>
              </w:rPr>
            </w:pPr>
          </w:p>
        </w:tc>
        <w:tc>
          <w:tcPr>
            <w:tcW w:w="300" w:type="dxa"/>
            <w:vAlign w:val="bottom"/>
            <w:gridSpan w:val="2"/>
            <w:vMerge w:val="continue"/>
            <w:shd w:val="clear" w:color="auto" w:fill="CCECFF"/>
          </w:tcPr>
          <w:p>
            <w:pPr>
              <w:spacing w:after="0"/>
              <w:rPr>
                <w:sz w:val="11"/>
                <w:szCs w:val="11"/>
                <w:color w:val="auto"/>
              </w:rPr>
            </w:pPr>
          </w:p>
        </w:tc>
        <w:tc>
          <w:tcPr>
            <w:tcW w:w="480" w:type="dxa"/>
            <w:vAlign w:val="bottom"/>
            <w:vMerge w:val="continue"/>
            <w:shd w:val="clear" w:color="auto" w:fill="CCECFF"/>
          </w:tcPr>
          <w:p>
            <w:pPr>
              <w:spacing w:after="0"/>
              <w:rPr>
                <w:sz w:val="11"/>
                <w:szCs w:val="11"/>
                <w:color w:val="auto"/>
              </w:rPr>
            </w:pPr>
          </w:p>
        </w:tc>
        <w:tc>
          <w:tcPr>
            <w:tcW w:w="320" w:type="dxa"/>
            <w:vAlign w:val="bottom"/>
            <w:gridSpan w:val="2"/>
            <w:vMerge w:val="continue"/>
            <w:shd w:val="clear" w:color="auto" w:fill="CCECFF"/>
          </w:tcPr>
          <w:p>
            <w:pPr>
              <w:spacing w:after="0"/>
              <w:rPr>
                <w:sz w:val="11"/>
                <w:szCs w:val="11"/>
                <w:color w:val="auto"/>
              </w:rPr>
            </w:pPr>
          </w:p>
        </w:tc>
        <w:tc>
          <w:tcPr>
            <w:tcW w:w="540" w:type="dxa"/>
            <w:vAlign w:val="bottom"/>
            <w:vMerge w:val="continue"/>
            <w:shd w:val="clear" w:color="auto" w:fill="CCECFF"/>
          </w:tcPr>
          <w:p>
            <w:pPr>
              <w:spacing w:after="0"/>
              <w:rPr>
                <w:sz w:val="11"/>
                <w:szCs w:val="11"/>
                <w:color w:val="auto"/>
              </w:rPr>
            </w:pPr>
          </w:p>
        </w:tc>
        <w:tc>
          <w:tcPr>
            <w:tcW w:w="280" w:type="dxa"/>
            <w:vAlign w:val="bottom"/>
            <w:gridSpan w:val="2"/>
            <w:vMerge w:val="continue"/>
            <w:shd w:val="clear" w:color="auto" w:fill="CCECFF"/>
          </w:tcPr>
          <w:p>
            <w:pPr>
              <w:spacing w:after="0"/>
              <w:rPr>
                <w:sz w:val="11"/>
                <w:szCs w:val="11"/>
                <w:color w:val="auto"/>
              </w:rPr>
            </w:pPr>
          </w:p>
        </w:tc>
        <w:tc>
          <w:tcPr>
            <w:tcW w:w="440" w:type="dxa"/>
            <w:vAlign w:val="bottom"/>
            <w:vMerge w:val="continue"/>
            <w:shd w:val="clear" w:color="auto" w:fill="CCECFF"/>
          </w:tcPr>
          <w:p>
            <w:pPr>
              <w:spacing w:after="0"/>
              <w:rPr>
                <w:sz w:val="11"/>
                <w:szCs w:val="11"/>
                <w:color w:val="auto"/>
              </w:rPr>
            </w:pPr>
          </w:p>
        </w:tc>
        <w:tc>
          <w:tcPr>
            <w:tcW w:w="300" w:type="dxa"/>
            <w:vAlign w:val="bottom"/>
            <w:gridSpan w:val="2"/>
            <w:vMerge w:val="continue"/>
            <w:shd w:val="clear" w:color="auto" w:fill="CCECFF"/>
          </w:tcPr>
          <w:p>
            <w:pPr>
              <w:spacing w:after="0"/>
              <w:rPr>
                <w:sz w:val="11"/>
                <w:szCs w:val="11"/>
                <w:color w:val="auto"/>
              </w:rPr>
            </w:pPr>
          </w:p>
        </w:tc>
        <w:tc>
          <w:tcPr>
            <w:tcW w:w="660" w:type="dxa"/>
            <w:vAlign w:val="bottom"/>
            <w:gridSpan w:val="2"/>
            <w:vMerge w:val="continue"/>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0"/>
          <w:szCs w:val="10"/>
          <w:color w:val="auto"/>
        </w:rPr>
        <w:t>Includes PIK.</w:t>
      </w:r>
    </w:p>
    <w:p>
      <w:pPr>
        <w:spacing w:after="0" w:line="184" w:lineRule="auto"/>
        <w:rPr>
          <w:sz w:val="20"/>
          <w:szCs w:val="20"/>
          <w:color w:val="auto"/>
        </w:rPr>
      </w:pPr>
      <w:r>
        <w:rPr>
          <w:rFonts w:ascii="Times New Roman" w:cs="Times New Roman" w:eastAsia="Times New Roman" w:hAnsi="Times New Roman"/>
          <w:sz w:val="19"/>
          <w:szCs w:val="19"/>
          <w:b w:val="1"/>
          <w:bCs w:val="1"/>
          <w:color w:val="auto"/>
          <w:vertAlign w:val="superscript"/>
        </w:rPr>
        <w:t>(2)</w:t>
      </w:r>
      <w:r>
        <w:rPr>
          <w:rFonts w:ascii="Times New Roman" w:cs="Times New Roman" w:eastAsia="Times New Roman" w:hAnsi="Times New Roman"/>
          <w:sz w:val="10"/>
          <w:szCs w:val="10"/>
          <w:color w:val="auto"/>
        </w:rPr>
        <w:t>JF Intermediate, LLC became a controlled affiliate during the quarter end December 31, 2023.</w:t>
      </w:r>
    </w:p>
    <w:p>
      <w:pPr>
        <w:spacing w:after="0" w:line="1"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9"/>
          <w:szCs w:val="19"/>
          <w:b w:val="1"/>
          <w:bCs w:val="1"/>
          <w:color w:val="auto"/>
          <w:vertAlign w:val="superscript"/>
        </w:rPr>
        <w:t>(3)</w:t>
      </w:r>
      <w:r>
        <w:rPr>
          <w:rFonts w:ascii="Times New Roman" w:cs="Times New Roman" w:eastAsia="Times New Roman" w:hAnsi="Times New Roman"/>
          <w:sz w:val="10"/>
          <w:szCs w:val="10"/>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 regarding PSLF must be submitted to PSFL’s board of directors or investment committee, both of which are comprised of two members appointed by each of us and Pantheon. Because management of PSLF is shared equally between us and Pantheon, we do not believe we control PSLF for purposes of the 1940 Act or otherwise</w:t>
      </w:r>
      <w:r>
        <w:rPr>
          <w:rFonts w:ascii="Times New Roman" w:cs="Times New Roman" w:eastAsia="Times New Roman" w:hAnsi="Times New Roman"/>
          <w:sz w:val="9"/>
          <w:szCs w:val="9"/>
          <w:color w:val="auto"/>
        </w:rPr>
        <w:t>.</w:t>
      </w:r>
    </w:p>
    <w:p>
      <w:pPr>
        <w:spacing w:after="0" w:line="189" w:lineRule="auto"/>
        <w:rPr>
          <w:sz w:val="20"/>
          <w:szCs w:val="20"/>
          <w:color w:val="auto"/>
        </w:rPr>
      </w:pPr>
      <w:r>
        <w:rPr>
          <w:rFonts w:ascii="Times New Roman" w:cs="Times New Roman" w:eastAsia="Times New Roman" w:hAnsi="Times New Roman"/>
          <w:sz w:val="19"/>
          <w:szCs w:val="19"/>
          <w:b w:val="1"/>
          <w:bCs w:val="1"/>
          <w:color w:val="auto"/>
          <w:vertAlign w:val="superscript"/>
        </w:rPr>
        <w:t>(4)</w:t>
      </w:r>
      <w:r>
        <w:rPr>
          <w:rFonts w:ascii="Times New Roman" w:cs="Times New Roman" w:eastAsia="Times New Roman" w:hAnsi="Times New Roman"/>
          <w:sz w:val="10"/>
          <w:szCs w:val="10"/>
          <w:color w:val="auto"/>
        </w:rPr>
        <w:t>RAM Energy LLC was fully realized in January 2023, during the nine months ended June 30, 2024 there was realized loss due to reduction of the escrow receivable.</w:t>
      </w:r>
    </w:p>
    <w:p>
      <w:pPr>
        <w:spacing w:after="0"/>
        <w:rPr>
          <w:sz w:val="20"/>
          <w:szCs w:val="20"/>
          <w:color w:val="auto"/>
        </w:rPr>
      </w:pPr>
      <w:r>
        <w:rPr>
          <w:rFonts w:ascii="Times New Roman" w:cs="Times New Roman" w:eastAsia="Times New Roman" w:hAnsi="Times New Roman"/>
          <w:sz w:val="19"/>
          <w:szCs w:val="19"/>
          <w:b w:val="1"/>
          <w:bCs w:val="1"/>
          <w:color w:val="auto"/>
          <w:vertAlign w:val="superscript"/>
        </w:rPr>
        <w:t>(5)</w:t>
      </w:r>
      <w:r>
        <w:rPr>
          <w:rFonts w:ascii="Times New Roman" w:cs="Times New Roman" w:eastAsia="Times New Roman" w:hAnsi="Times New Roman"/>
          <w:sz w:val="10"/>
          <w:szCs w:val="10"/>
          <w:color w:val="auto"/>
        </w:rPr>
        <w:t>Flock Financial, LLC became a controlled affiliate during the quarter ended June 30,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CHANGE IN NET ASSETS FROM OPERATIONS PER COMMON SHARE</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following information sets forth the computation of basic and diluted per share net increase in net assets resulting from operations ($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20" w:type="dxa"/>
            <w:vAlign w:val="bottom"/>
            <w:gridSpan w:val="3"/>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360" w:type="dxa"/>
            <w:vAlign w:val="bottom"/>
          </w:tcPr>
          <w:p>
            <w:pPr>
              <w:spacing w:after="0"/>
              <w:rPr>
                <w:sz w:val="15"/>
                <w:szCs w:val="15"/>
                <w:color w:val="auto"/>
              </w:rPr>
            </w:pPr>
          </w:p>
        </w:tc>
        <w:tc>
          <w:tcPr>
            <w:tcW w:w="2280" w:type="dxa"/>
            <w:vAlign w:val="bottom"/>
            <w:gridSpan w:val="3"/>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Nine Months Ended June 30,</w:t>
            </w:r>
          </w:p>
        </w:tc>
      </w:tr>
      <w:tr>
        <w:trPr>
          <w:trHeight w:val="184"/>
        </w:trPr>
        <w:tc>
          <w:tcPr>
            <w:tcW w:w="5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Pr>
          <w:p>
            <w:pPr>
              <w:spacing w:after="0"/>
              <w:rPr>
                <w:sz w:val="16"/>
                <w:szCs w:val="16"/>
                <w:color w:val="auto"/>
              </w:rPr>
            </w:pPr>
          </w:p>
        </w:tc>
        <w:tc>
          <w:tcPr>
            <w:tcW w:w="102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360" w:type="dxa"/>
            <w:vAlign w:val="bottom"/>
          </w:tcPr>
          <w:p>
            <w:pPr>
              <w:spacing w:after="0"/>
              <w:rPr>
                <w:sz w:val="16"/>
                <w:szCs w:val="16"/>
                <w:color w:val="auto"/>
              </w:rPr>
            </w:pPr>
          </w:p>
        </w:tc>
        <w:tc>
          <w:tcPr>
            <w:tcW w:w="98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Pr>
          <w:p>
            <w:pPr>
              <w:spacing w:after="0"/>
              <w:rPr>
                <w:sz w:val="16"/>
                <w:szCs w:val="16"/>
                <w:color w:val="auto"/>
              </w:rPr>
            </w:pPr>
          </w:p>
        </w:tc>
        <w:tc>
          <w:tcPr>
            <w:tcW w:w="94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4"/>
        </w:trPr>
        <w:tc>
          <w:tcPr>
            <w:tcW w:w="5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Numerator for net increase (decrease) in net assets resulting from operations</w:t>
            </w:r>
          </w:p>
        </w:tc>
        <w:tc>
          <w:tcPr>
            <w:tcW w:w="50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3,746</w:t>
            </w:r>
          </w:p>
        </w:tc>
        <w:tc>
          <w:tcPr>
            <w:tcW w:w="3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20,949</w:t>
            </w:r>
          </w:p>
        </w:tc>
        <w:tc>
          <w:tcPr>
            <w:tcW w:w="36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30,484</w:t>
            </w:r>
          </w:p>
        </w:tc>
        <w:tc>
          <w:tcPr>
            <w:tcW w:w="3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(46,072 )</w:t>
            </w:r>
          </w:p>
        </w:tc>
      </w:tr>
      <w:tr>
        <w:trPr>
          <w:trHeight w:val="176"/>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Denominator for basic and diluted weighted average shares</w:t>
            </w:r>
          </w:p>
        </w:tc>
        <w:tc>
          <w:tcPr>
            <w:tcW w:w="50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65,238,634</w:t>
            </w:r>
          </w:p>
        </w:tc>
        <w:tc>
          <w:tcPr>
            <w:tcW w:w="38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65,224,500</w:t>
            </w:r>
          </w:p>
        </w:tc>
        <w:tc>
          <w:tcPr>
            <w:tcW w:w="360" w:type="dxa"/>
            <w:vAlign w:val="bottom"/>
          </w:tcPr>
          <w:p>
            <w:pPr>
              <w:spacing w:after="0"/>
              <w:rPr>
                <w:sz w:val="15"/>
                <w:szCs w:val="15"/>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65,229,194</w:t>
            </w:r>
          </w:p>
        </w:tc>
        <w:tc>
          <w:tcPr>
            <w:tcW w:w="360" w:type="dxa"/>
            <w:vAlign w:val="bottom"/>
          </w:tcPr>
          <w:p>
            <w:pPr>
              <w:spacing w:after="0"/>
              <w:rPr>
                <w:sz w:val="15"/>
                <w:szCs w:val="15"/>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65,224,500</w:t>
            </w:r>
          </w:p>
        </w:tc>
      </w:tr>
      <w:tr>
        <w:trPr>
          <w:trHeight w:val="184"/>
        </w:trPr>
        <w:tc>
          <w:tcPr>
            <w:tcW w:w="5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Basic and diluted net increase (decrease) in net assets per share resulting from operations</w:t>
            </w:r>
          </w:p>
        </w:tc>
        <w:tc>
          <w:tcPr>
            <w:tcW w:w="50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0.06</w:t>
            </w:r>
          </w:p>
        </w:tc>
        <w:tc>
          <w:tcPr>
            <w:tcW w:w="3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0.32</w:t>
            </w:r>
          </w:p>
        </w:tc>
        <w:tc>
          <w:tcPr>
            <w:tcW w:w="36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0.47</w:t>
            </w:r>
          </w:p>
        </w:tc>
        <w:tc>
          <w:tcPr>
            <w:tcW w:w="3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(0.71 )</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 CASH AND CASH EQUIVALENTS</w:t>
      </w:r>
    </w:p>
    <w:p>
      <w:pPr>
        <w:spacing w:after="0" w:line="165"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Cash equivalents represent cash in money market funds pending investment in longer-term portfolio holdings and for other general corporate purposes.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2024 and September 30, 2023, cash and cash equivalents consisted of money market funds, and non-money market in the amounts of $59.2 million and $38.8 million at fair value, respectively.</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9" w:name="page40"/>
    <w:bookmarkEnd w:id="39"/>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9. FINANCIAL HIGHLIGHTS</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12"/>
        </w:trPr>
        <w:tc>
          <w:tcPr>
            <w:tcW w:w="64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financial highlights ($ in thousands, except share and per share data):</w:t>
            </w: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6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Nine Months Ended June 30,</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6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4"/>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1140" w:type="dxa"/>
            <w:vAlign w:val="bottom"/>
            <w:shd w:val="clear" w:color="auto" w:fill="CCECFF"/>
          </w:tcPr>
          <w:p>
            <w:pPr>
              <w:spacing w:after="0"/>
              <w:rPr>
                <w:sz w:val="16"/>
                <w:szCs w:val="16"/>
                <w:color w:val="auto"/>
              </w:rPr>
            </w:pPr>
          </w:p>
        </w:tc>
        <w:tc>
          <w:tcPr>
            <w:tcW w:w="74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720" w:type="dxa"/>
            <w:vAlign w:val="bottom"/>
            <w:shd w:val="clear" w:color="auto" w:fill="CCECFF"/>
          </w:tcPr>
          <w:p>
            <w:pPr>
              <w:spacing w:after="0"/>
              <w:rPr>
                <w:sz w:val="16"/>
                <w:szCs w:val="16"/>
                <w:color w:val="auto"/>
              </w:rPr>
            </w:pPr>
          </w:p>
        </w:tc>
        <w:tc>
          <w:tcPr>
            <w:tcW w:w="11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 value, beginning of period</w:t>
            </w: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340" w:type="dxa"/>
            <w:vAlign w:val="bottom"/>
          </w:tcPr>
          <w:p>
            <w:pPr>
              <w:spacing w:after="0"/>
              <w:rPr>
                <w:sz w:val="15"/>
                <w:szCs w:val="15"/>
                <w:color w:val="auto"/>
              </w:rPr>
            </w:pPr>
          </w:p>
        </w:tc>
        <w:tc>
          <w:tcPr>
            <w:tcW w:w="72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 xml:space="preserve">Net investment income </w:t>
            </w:r>
            <w:r>
              <w:rPr>
                <w:rFonts w:ascii="Times New Roman" w:cs="Times New Roman" w:eastAsia="Times New Roman" w:hAnsi="Times New Roman"/>
                <w:sz w:val="16"/>
                <w:szCs w:val="16"/>
                <w:color w:val="auto"/>
                <w:vertAlign w:val="superscript"/>
              </w:rPr>
              <w:t>(1)</w:t>
            </w:r>
          </w:p>
        </w:tc>
        <w:tc>
          <w:tcPr>
            <w:tcW w:w="1140" w:type="dxa"/>
            <w:vAlign w:val="bottom"/>
            <w:shd w:val="clear" w:color="auto" w:fill="CCECFF"/>
          </w:tcPr>
          <w:p>
            <w:pPr>
              <w:spacing w:after="0"/>
              <w:rPr>
                <w:sz w:val="16"/>
                <w:szCs w:val="16"/>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0.70</w:t>
            </w:r>
          </w:p>
        </w:tc>
        <w:tc>
          <w:tcPr>
            <w:tcW w:w="340" w:type="dxa"/>
            <w:vAlign w:val="bottom"/>
            <w:shd w:val="clear" w:color="auto" w:fill="CCECFF"/>
          </w:tcPr>
          <w:p>
            <w:pPr>
              <w:spacing w:after="0"/>
              <w:rPr>
                <w:sz w:val="16"/>
                <w:szCs w:val="16"/>
                <w:color w:val="auto"/>
              </w:rPr>
            </w:pPr>
          </w:p>
        </w:tc>
        <w:tc>
          <w:tcPr>
            <w:tcW w:w="72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0.77</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80"/>
        </w:trPr>
        <w:tc>
          <w:tcPr>
            <w:tcW w:w="64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Net change in realized and unrealized gain (loss) </w:t>
            </w:r>
            <w:r>
              <w:rPr>
                <w:rFonts w:ascii="Times New Roman" w:cs="Times New Roman" w:eastAsia="Times New Roman" w:hAnsi="Times New Roman"/>
                <w:sz w:val="16"/>
                <w:szCs w:val="16"/>
                <w:color w:val="auto"/>
                <w:vertAlign w:val="superscript"/>
              </w:rPr>
              <w:t>(1)</w:t>
            </w:r>
          </w:p>
        </w:tc>
        <w:tc>
          <w:tcPr>
            <w:tcW w:w="114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(0.24 )</w:t>
            </w:r>
          </w:p>
        </w:tc>
        <w:tc>
          <w:tcPr>
            <w:tcW w:w="72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(1.48 )</w:t>
            </w:r>
          </w:p>
        </w:tc>
        <w:tc>
          <w:tcPr>
            <w:tcW w:w="40" w:type="dxa"/>
            <w:vAlign w:val="bottom"/>
          </w:tcPr>
          <w:p>
            <w:pPr>
              <w:spacing w:after="0"/>
              <w:rPr>
                <w:sz w:val="15"/>
                <w:szCs w:val="15"/>
                <w:color w:val="auto"/>
              </w:rPr>
            </w:pPr>
          </w:p>
        </w:tc>
      </w:tr>
      <w:tr>
        <w:trPr>
          <w:trHeight w:val="204"/>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 xml:space="preserve">Net increase (decrease) in net assets resulting from operations </w:t>
            </w:r>
            <w:r>
              <w:rPr>
                <w:rFonts w:ascii="Times New Roman" w:cs="Times New Roman" w:eastAsia="Times New Roman" w:hAnsi="Times New Roman"/>
                <w:sz w:val="16"/>
                <w:szCs w:val="16"/>
                <w:color w:val="auto"/>
                <w:vertAlign w:val="superscript"/>
              </w:rPr>
              <w:t>(1)</w:t>
            </w:r>
          </w:p>
        </w:tc>
        <w:tc>
          <w:tcPr>
            <w:tcW w:w="1140" w:type="dxa"/>
            <w:vAlign w:val="bottom"/>
            <w:shd w:val="clear" w:color="auto" w:fill="CCECFF"/>
          </w:tcPr>
          <w:p>
            <w:pPr>
              <w:spacing w:after="0"/>
              <w:rPr>
                <w:sz w:val="17"/>
                <w:szCs w:val="17"/>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0.46</w:t>
            </w:r>
          </w:p>
        </w:tc>
        <w:tc>
          <w:tcPr>
            <w:tcW w:w="340" w:type="dxa"/>
            <w:vAlign w:val="bottom"/>
            <w:shd w:val="clear" w:color="auto" w:fill="CCECFF"/>
          </w:tcPr>
          <w:p>
            <w:pPr>
              <w:spacing w:after="0"/>
              <w:rPr>
                <w:sz w:val="17"/>
                <w:szCs w:val="17"/>
                <w:color w:val="auto"/>
              </w:rPr>
            </w:pPr>
          </w:p>
        </w:tc>
        <w:tc>
          <w:tcPr>
            <w:tcW w:w="720" w:type="dxa"/>
            <w:vAlign w:val="bottom"/>
            <w:shd w:val="clear" w:color="auto" w:fill="CCECFF"/>
          </w:tcPr>
          <w:p>
            <w:pPr>
              <w:spacing w:after="0"/>
              <w:rPr>
                <w:sz w:val="17"/>
                <w:szCs w:val="17"/>
                <w:color w:val="auto"/>
              </w:rPr>
            </w:pPr>
          </w:p>
        </w:tc>
        <w:tc>
          <w:tcPr>
            <w:tcW w:w="1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(0.71 )</w:t>
            </w:r>
          </w:p>
        </w:tc>
        <w:tc>
          <w:tcPr>
            <w:tcW w:w="40" w:type="dxa"/>
            <w:vAlign w:val="bottom"/>
          </w:tcPr>
          <w:p>
            <w:pPr>
              <w:spacing w:after="0"/>
              <w:rPr>
                <w:sz w:val="17"/>
                <w:szCs w:val="17"/>
                <w:color w:val="auto"/>
              </w:rPr>
            </w:pPr>
          </w:p>
        </w:tc>
      </w:tr>
      <w:tr>
        <w:trPr>
          <w:trHeight w:val="180"/>
        </w:trPr>
        <w:tc>
          <w:tcPr>
            <w:tcW w:w="64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Distributions to stockholders </w:t>
            </w:r>
            <w:r>
              <w:rPr>
                <w:rFonts w:ascii="Times New Roman" w:cs="Times New Roman" w:eastAsia="Times New Roman" w:hAnsi="Times New Roman"/>
                <w:sz w:val="16"/>
                <w:szCs w:val="16"/>
                <w:color w:val="auto"/>
                <w:vertAlign w:val="superscript"/>
              </w:rPr>
              <w:t>(1), (2)</w:t>
            </w:r>
          </w:p>
        </w:tc>
        <w:tc>
          <w:tcPr>
            <w:tcW w:w="114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(0.64 )</w:t>
            </w:r>
          </w:p>
        </w:tc>
        <w:tc>
          <w:tcPr>
            <w:tcW w:w="72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(0.55 )</w:t>
            </w:r>
          </w:p>
        </w:tc>
        <w:tc>
          <w:tcPr>
            <w:tcW w:w="40" w:type="dxa"/>
            <w:vAlign w:val="bottom"/>
          </w:tcPr>
          <w:p>
            <w:pPr>
              <w:spacing w:after="0"/>
              <w:rPr>
                <w:sz w:val="15"/>
                <w:szCs w:val="15"/>
                <w:color w:val="auto"/>
              </w:rPr>
            </w:pPr>
          </w:p>
        </w:tc>
      </w:tr>
      <w:tr>
        <w:trPr>
          <w:trHeight w:val="180"/>
        </w:trPr>
        <w:tc>
          <w:tcPr>
            <w:tcW w:w="640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Repurchase of common stock </w:t>
            </w:r>
            <w:r>
              <w:rPr>
                <w:rFonts w:ascii="Times New Roman" w:cs="Times New Roman" w:eastAsia="Times New Roman" w:hAnsi="Times New Roman"/>
                <w:sz w:val="16"/>
                <w:szCs w:val="16"/>
                <w:color w:val="auto"/>
                <w:vertAlign w:val="superscript"/>
              </w:rPr>
              <w:t>(1)</w:t>
            </w:r>
          </w:p>
        </w:tc>
        <w:tc>
          <w:tcPr>
            <w:tcW w:w="114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 value, end of period</w:t>
            </w:r>
          </w:p>
        </w:tc>
        <w:tc>
          <w:tcPr>
            <w:tcW w:w="114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340" w:type="dxa"/>
            <w:vAlign w:val="bottom"/>
          </w:tcPr>
          <w:p>
            <w:pPr>
              <w:spacing w:after="0"/>
              <w:rPr>
                <w:sz w:val="15"/>
                <w:szCs w:val="15"/>
                <w:color w:val="auto"/>
              </w:rPr>
            </w:pPr>
          </w:p>
        </w:tc>
        <w:tc>
          <w:tcPr>
            <w:tcW w:w="7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6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Per share market value, end of period</w:t>
            </w:r>
          </w:p>
        </w:tc>
        <w:tc>
          <w:tcPr>
            <w:tcW w:w="1140" w:type="dxa"/>
            <w:vAlign w:val="bottom"/>
            <w:tcBorders>
              <w:bottom w:val="single" w:sz="8" w:color="auto"/>
            </w:tcBorders>
            <w:shd w:val="clear" w:color="auto" w:fill="CCECFF"/>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340" w:type="dxa"/>
            <w:vAlign w:val="bottom"/>
            <w:tcBorders>
              <w:bottom w:val="single" w:sz="8" w:color="CCECFF"/>
            </w:tcBorders>
            <w:shd w:val="clear" w:color="auto" w:fill="CCECFF"/>
          </w:tcPr>
          <w:p>
            <w:pPr>
              <w:spacing w:after="0"/>
              <w:rPr>
                <w:sz w:val="17"/>
                <w:szCs w:val="17"/>
                <w:color w:val="auto"/>
              </w:rPr>
            </w:pPr>
          </w:p>
        </w:tc>
        <w:tc>
          <w:tcPr>
            <w:tcW w:w="720" w:type="dxa"/>
            <w:vAlign w:val="bottom"/>
            <w:tcBorders>
              <w:bottom w:val="single" w:sz="8" w:color="auto"/>
            </w:tcBorders>
            <w:shd w:val="clear" w:color="auto" w:fill="CCEC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80" w:type="dxa"/>
            <w:vAlign w:val="bottom"/>
            <w:tcBorders>
              <w:bottom w:val="single" w:sz="8" w:color="CCECFF"/>
            </w:tcBorders>
            <w:shd w:val="clear" w:color="auto" w:fill="CCECFF"/>
          </w:tcPr>
          <w:p>
            <w:pPr>
              <w:spacing w:after="0"/>
              <w:rPr>
                <w:sz w:val="17"/>
                <w:szCs w:val="17"/>
                <w:color w:val="auto"/>
              </w:rPr>
            </w:pPr>
          </w:p>
        </w:tc>
        <w:tc>
          <w:tcPr>
            <w:tcW w:w="40" w:type="dxa"/>
            <w:vAlign w:val="bottom"/>
          </w:tcPr>
          <w:p>
            <w:pPr>
              <w:spacing w:after="0"/>
              <w:rPr>
                <w:sz w:val="17"/>
                <w:szCs w:val="17"/>
                <w:color w:val="auto"/>
              </w:rPr>
            </w:pPr>
          </w:p>
        </w:tc>
      </w:tr>
      <w:tr>
        <w:trPr>
          <w:trHeight w:val="160"/>
        </w:trPr>
        <w:tc>
          <w:tcPr>
            <w:tcW w:w="6400" w:type="dxa"/>
            <w:vAlign w:val="bottom"/>
          </w:tcPr>
          <w:p>
            <w:pPr>
              <w:ind w:left="20"/>
              <w:spacing w:after="0" w:line="160" w:lineRule="exact"/>
              <w:rPr>
                <w:sz w:val="20"/>
                <w:szCs w:val="20"/>
                <w:color w:val="auto"/>
              </w:rPr>
            </w:pPr>
            <w:r>
              <w:rPr>
                <w:rFonts w:ascii="Times New Roman" w:cs="Times New Roman" w:eastAsia="Times New Roman" w:hAnsi="Times New Roman"/>
                <w:sz w:val="13"/>
                <w:szCs w:val="13"/>
                <w:color w:val="auto"/>
              </w:rPr>
              <w:t>Total return</w:t>
            </w:r>
            <w:r>
              <w:rPr>
                <w:rFonts w:ascii="Times New Roman" w:cs="Times New Roman" w:eastAsia="Times New Roman" w:hAnsi="Times New Roman"/>
                <w:sz w:val="16"/>
                <w:szCs w:val="16"/>
                <w:color w:val="auto"/>
                <w:vertAlign w:val="superscript"/>
              </w:rPr>
              <w:t>* (3)</w:t>
            </w:r>
          </w:p>
        </w:tc>
        <w:tc>
          <w:tcPr>
            <w:tcW w:w="1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25.84 %</w:t>
            </w:r>
          </w:p>
        </w:tc>
        <w:tc>
          <w:tcPr>
            <w:tcW w:w="72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18.72 %</w:t>
            </w:r>
          </w:p>
        </w:tc>
      </w:tr>
      <w:tr>
        <w:trPr>
          <w:trHeight w:val="180"/>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Shares outstanding at end of period</w:t>
            </w:r>
          </w:p>
        </w:tc>
        <w:tc>
          <w:tcPr>
            <w:tcW w:w="1140" w:type="dxa"/>
            <w:vAlign w:val="bottom"/>
            <w:shd w:val="clear" w:color="auto" w:fill="CCECFF"/>
          </w:tcPr>
          <w:p>
            <w:pPr>
              <w:spacing w:after="0"/>
              <w:rPr>
                <w:sz w:val="15"/>
                <w:szCs w:val="15"/>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65,296,094</w:t>
            </w:r>
          </w:p>
        </w:tc>
        <w:tc>
          <w:tcPr>
            <w:tcW w:w="340" w:type="dxa"/>
            <w:vAlign w:val="bottom"/>
            <w:shd w:val="clear" w:color="auto" w:fill="CCECFF"/>
          </w:tcPr>
          <w:p>
            <w:pPr>
              <w:spacing w:after="0"/>
              <w:rPr>
                <w:sz w:val="15"/>
                <w:szCs w:val="15"/>
                <w:color w:val="auto"/>
              </w:rPr>
            </w:pPr>
          </w:p>
        </w:tc>
        <w:tc>
          <w:tcPr>
            <w:tcW w:w="72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65,224,500</w:t>
            </w:r>
          </w:p>
        </w:tc>
        <w:tc>
          <w:tcPr>
            <w:tcW w:w="80" w:type="dxa"/>
            <w:vAlign w:val="bottom"/>
            <w:shd w:val="clear" w:color="auto" w:fill="CCECFF"/>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Ratios</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3"/>
                <w:szCs w:val="13"/>
                <w:b w:val="1"/>
                <w:bCs w:val="1"/>
                <w:color w:val="auto"/>
              </w:rPr>
              <w:t xml:space="preserve"> / Supplemental Data:</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 xml:space="preserve">Ratio of operating expenses to average net assets </w:t>
            </w:r>
            <w:r>
              <w:rPr>
                <w:rFonts w:ascii="Times New Roman" w:cs="Times New Roman" w:eastAsia="Times New Roman" w:hAnsi="Times New Roman"/>
                <w:sz w:val="16"/>
                <w:szCs w:val="16"/>
                <w:color w:val="auto"/>
                <w:vertAlign w:val="superscript"/>
              </w:rPr>
              <w:t>(4)</w:t>
            </w:r>
          </w:p>
        </w:tc>
        <w:tc>
          <w:tcPr>
            <w:tcW w:w="114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7.65 %</w:t>
            </w:r>
          </w:p>
        </w:tc>
        <w:tc>
          <w:tcPr>
            <w:tcW w:w="72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7.70 %</w:t>
            </w:r>
          </w:p>
        </w:tc>
        <w:tc>
          <w:tcPr>
            <w:tcW w:w="40" w:type="dxa"/>
            <w:vAlign w:val="bottom"/>
          </w:tcPr>
          <w:p>
            <w:pPr>
              <w:spacing w:after="0"/>
              <w:rPr>
                <w:sz w:val="15"/>
                <w:szCs w:val="15"/>
                <w:color w:val="auto"/>
              </w:rPr>
            </w:pPr>
          </w:p>
        </w:tc>
      </w:tr>
      <w:tr>
        <w:trPr>
          <w:trHeight w:val="180"/>
        </w:trPr>
        <w:tc>
          <w:tcPr>
            <w:tcW w:w="64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Ratio of debt related expenses to average net assets </w:t>
            </w:r>
            <w:r>
              <w:rPr>
                <w:rFonts w:ascii="Times New Roman" w:cs="Times New Roman" w:eastAsia="Times New Roman" w:hAnsi="Times New Roman"/>
                <w:sz w:val="16"/>
                <w:szCs w:val="16"/>
                <w:color w:val="auto"/>
                <w:vertAlign w:val="superscript"/>
              </w:rPr>
              <w:t>(5)</w:t>
            </w:r>
          </w:p>
        </w:tc>
        <w:tc>
          <w:tcPr>
            <w:tcW w:w="114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8.76 %</w:t>
            </w:r>
          </w:p>
        </w:tc>
        <w:tc>
          <w:tcPr>
            <w:tcW w:w="72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7.72 %</w:t>
            </w:r>
          </w:p>
        </w:tc>
      </w:tr>
      <w:tr>
        <w:trPr>
          <w:trHeight w:val="180"/>
        </w:trPr>
        <w:tc>
          <w:tcPr>
            <w:tcW w:w="640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Ratio of total expenses to average net assets </w:t>
            </w:r>
            <w:r>
              <w:rPr>
                <w:rFonts w:ascii="Times New Roman" w:cs="Times New Roman" w:eastAsia="Times New Roman" w:hAnsi="Times New Roman"/>
                <w:sz w:val="16"/>
                <w:szCs w:val="16"/>
                <w:color w:val="auto"/>
                <w:vertAlign w:val="superscript"/>
              </w:rPr>
              <w:t>(5)</w:t>
            </w:r>
          </w:p>
        </w:tc>
        <w:tc>
          <w:tcPr>
            <w:tcW w:w="114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16.41 %</w:t>
            </w:r>
          </w:p>
        </w:tc>
        <w:tc>
          <w:tcPr>
            <w:tcW w:w="72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15.42 %</w:t>
            </w:r>
          </w:p>
        </w:tc>
        <w:tc>
          <w:tcPr>
            <w:tcW w:w="40" w:type="dxa"/>
            <w:vAlign w:val="bottom"/>
          </w:tcPr>
          <w:p>
            <w:pPr>
              <w:spacing w:after="0"/>
              <w:rPr>
                <w:sz w:val="15"/>
                <w:szCs w:val="15"/>
                <w:color w:val="auto"/>
              </w:rPr>
            </w:pPr>
          </w:p>
        </w:tc>
      </w:tr>
      <w:tr>
        <w:trPr>
          <w:trHeight w:val="180"/>
        </w:trPr>
        <w:tc>
          <w:tcPr>
            <w:tcW w:w="64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Ratio of net investment income to average net assets </w:t>
            </w:r>
            <w:r>
              <w:rPr>
                <w:rFonts w:ascii="Times New Roman" w:cs="Times New Roman" w:eastAsia="Times New Roman" w:hAnsi="Times New Roman"/>
                <w:sz w:val="16"/>
                <w:szCs w:val="16"/>
                <w:color w:val="auto"/>
                <w:vertAlign w:val="superscript"/>
              </w:rPr>
              <w:t>(5)</w:t>
            </w:r>
          </w:p>
        </w:tc>
        <w:tc>
          <w:tcPr>
            <w:tcW w:w="114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12.15 %</w:t>
            </w:r>
          </w:p>
        </w:tc>
        <w:tc>
          <w:tcPr>
            <w:tcW w:w="72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12.11 %</w:t>
            </w:r>
          </w:p>
        </w:tc>
      </w:tr>
      <w:tr>
        <w:trPr>
          <w:trHeight w:val="180"/>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assets at end of period</w:t>
            </w:r>
          </w:p>
        </w:tc>
        <w:tc>
          <w:tcPr>
            <w:tcW w:w="1140" w:type="dxa"/>
            <w:vAlign w:val="bottom"/>
            <w:shd w:val="clear" w:color="auto" w:fill="CCECFF"/>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491,222</w:t>
            </w:r>
          </w:p>
        </w:tc>
        <w:tc>
          <w:tcPr>
            <w:tcW w:w="340" w:type="dxa"/>
            <w:vAlign w:val="bottom"/>
            <w:shd w:val="clear" w:color="auto" w:fill="CCECFF"/>
          </w:tcPr>
          <w:p>
            <w:pPr>
              <w:spacing w:after="0"/>
              <w:rPr>
                <w:sz w:val="15"/>
                <w:szCs w:val="15"/>
                <w:color w:val="auto"/>
              </w:rPr>
            </w:pPr>
          </w:p>
        </w:tc>
        <w:tc>
          <w:tcPr>
            <w:tcW w:w="720" w:type="dxa"/>
            <w:vAlign w:val="bottom"/>
            <w:shd w:val="clear" w:color="auto" w:fill="CCEC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503,619</w:t>
            </w:r>
          </w:p>
        </w:tc>
        <w:tc>
          <w:tcPr>
            <w:tcW w:w="80" w:type="dxa"/>
            <w:vAlign w:val="bottom"/>
            <w:shd w:val="clear" w:color="auto" w:fill="CCECFF"/>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debt outstanding</w:t>
            </w: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675,406</w:t>
            </w:r>
          </w:p>
        </w:tc>
        <w:tc>
          <w:tcPr>
            <w:tcW w:w="340" w:type="dxa"/>
            <w:vAlign w:val="bottom"/>
          </w:tcPr>
          <w:p>
            <w:pPr>
              <w:spacing w:after="0"/>
              <w:rPr>
                <w:sz w:val="15"/>
                <w:szCs w:val="15"/>
                <w:color w:val="auto"/>
              </w:rPr>
            </w:pPr>
          </w:p>
        </w:tc>
        <w:tc>
          <w:tcPr>
            <w:tcW w:w="72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677,883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 xml:space="preserve">Weighted average debt per share </w:t>
            </w:r>
            <w:r>
              <w:rPr>
                <w:rFonts w:ascii="Times New Roman" w:cs="Times New Roman" w:eastAsia="Times New Roman" w:hAnsi="Times New Roman"/>
                <w:sz w:val="16"/>
                <w:szCs w:val="16"/>
                <w:color w:val="auto"/>
                <w:vertAlign w:val="superscript"/>
              </w:rPr>
              <w:t>(1)</w:t>
            </w:r>
          </w:p>
        </w:tc>
        <w:tc>
          <w:tcPr>
            <w:tcW w:w="1140" w:type="dxa"/>
            <w:vAlign w:val="bottom"/>
            <w:shd w:val="clear" w:color="auto" w:fill="CCECFF"/>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340" w:type="dxa"/>
            <w:vAlign w:val="bottom"/>
            <w:shd w:val="clear" w:color="auto" w:fill="CCECFF"/>
          </w:tcPr>
          <w:p>
            <w:pPr>
              <w:spacing w:after="0"/>
              <w:rPr>
                <w:sz w:val="16"/>
                <w:szCs w:val="16"/>
                <w:color w:val="auto"/>
              </w:rPr>
            </w:pPr>
          </w:p>
        </w:tc>
        <w:tc>
          <w:tcPr>
            <w:tcW w:w="720" w:type="dxa"/>
            <w:vAlign w:val="bottom"/>
            <w:shd w:val="clear" w:color="auto" w:fill="CCEC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80"/>
        </w:trPr>
        <w:tc>
          <w:tcPr>
            <w:tcW w:w="64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Asset coverage per unit </w:t>
            </w:r>
            <w:r>
              <w:rPr>
                <w:rFonts w:ascii="Times New Roman" w:cs="Times New Roman" w:eastAsia="Times New Roman" w:hAnsi="Times New Roman"/>
                <w:sz w:val="16"/>
                <w:szCs w:val="16"/>
                <w:color w:val="auto"/>
                <w:vertAlign w:val="superscript"/>
              </w:rPr>
              <w:t>(6)</w:t>
            </w: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340" w:type="dxa"/>
            <w:vAlign w:val="bottom"/>
          </w:tcPr>
          <w:p>
            <w:pPr>
              <w:spacing w:after="0"/>
              <w:rPr>
                <w:sz w:val="15"/>
                <w:szCs w:val="15"/>
                <w:color w:val="auto"/>
              </w:rPr>
            </w:pPr>
          </w:p>
        </w:tc>
        <w:tc>
          <w:tcPr>
            <w:tcW w:w="72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640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Portfolio turnover ratio</w:t>
            </w:r>
            <w:r>
              <w:rPr>
                <w:rFonts w:ascii="Times New Roman" w:cs="Times New Roman" w:eastAsia="Times New Roman" w:hAnsi="Times New Roman"/>
                <w:sz w:val="16"/>
                <w:szCs w:val="16"/>
                <w:color w:val="auto"/>
                <w:vertAlign w:val="superscript"/>
              </w:rPr>
              <w:t>* (7)</w:t>
            </w:r>
          </w:p>
        </w:tc>
        <w:tc>
          <w:tcPr>
            <w:tcW w:w="114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30.03 %</w:t>
            </w:r>
          </w:p>
        </w:tc>
        <w:tc>
          <w:tcPr>
            <w:tcW w:w="72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14.38 %</w:t>
            </w:r>
          </w:p>
        </w:tc>
        <w:tc>
          <w:tcPr>
            <w:tcW w:w="40" w:type="dxa"/>
            <w:vAlign w:val="bottom"/>
          </w:tcPr>
          <w:p>
            <w:pPr>
              <w:spacing w:after="0"/>
              <w:rPr>
                <w:sz w:val="15"/>
                <w:szCs w:val="15"/>
                <w:color w:val="auto"/>
              </w:rPr>
            </w:pPr>
          </w:p>
        </w:tc>
      </w:tr>
    </w:tbl>
    <w:p>
      <w:pPr>
        <w:ind w:left="80" w:hanging="74"/>
        <w:spacing w:after="0"/>
        <w:tabs>
          <w:tab w:leader="none" w:pos="80" w:val="left"/>
        </w:tabs>
        <w:numPr>
          <w:ilvl w:val="0"/>
          <w:numId w:val="8"/>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Not annualized for periods less than one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**Re-occurring investment income and expenses included in these ratios are annualized for periods less than one year.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expense and investment income ratios do not reflect the Company's proportionate share of income and expenses of PSLF and PTSF II.</w:t>
      </w:r>
    </w:p>
    <w:p>
      <w:pPr>
        <w:spacing w:after="0" w:line="197"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Based on the weighted average shares outstanding for the respective periods.</w:t>
      </w:r>
    </w:p>
    <w:p>
      <w:pPr>
        <w:spacing w:after="0" w:line="184" w:lineRule="auto"/>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The tax status of distributions is calculated in accordance with income tax regulations, which may differ from amounts determined under GAAP, and reported on Form 1099-DIV each calendar year.</w:t>
      </w:r>
    </w:p>
    <w:p>
      <w:pPr>
        <w:spacing w:after="0" w:line="185" w:lineRule="auto"/>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Based on the change in market price per share during the periods and assumes distributions, if any, are reinvested.</w:t>
      </w:r>
    </w:p>
    <w:p>
      <w:pPr>
        <w:spacing w:after="0" w:line="185" w:lineRule="auto"/>
        <w:rPr>
          <w:sz w:val="20"/>
          <w:szCs w:val="20"/>
          <w:color w:val="auto"/>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0"/>
          <w:szCs w:val="10"/>
          <w:color w:val="auto"/>
        </w:rPr>
        <w:t>Excludes debt-related costs.</w:t>
      </w:r>
    </w:p>
    <w:p>
      <w:pPr>
        <w:spacing w:after="0" w:line="184" w:lineRule="auto"/>
        <w:rPr>
          <w:sz w:val="20"/>
          <w:szCs w:val="20"/>
          <w:color w:val="auto"/>
        </w:rPr>
      </w:pP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0"/>
          <w:szCs w:val="10"/>
          <w:color w:val="auto"/>
        </w:rPr>
        <w:t>Includes interest and expenses on debt (annualized) as well as Credit Facility amendment, debt issuance costs and excludes debt extinguishment cost, if any, (not annualized).</w:t>
      </w:r>
    </w:p>
    <w:p>
      <w:pPr>
        <w:spacing w:after="0" w:line="1" w:lineRule="exact"/>
        <w:rPr>
          <w:sz w:val="20"/>
          <w:szCs w:val="20"/>
          <w:color w:val="auto"/>
        </w:rPr>
      </w:pPr>
    </w:p>
    <w:p>
      <w:pPr>
        <w:ind w:right="240"/>
        <w:spacing w:after="0" w:line="217" w:lineRule="auto"/>
        <w:rPr>
          <w:sz w:val="20"/>
          <w:szCs w:val="20"/>
          <w:color w:val="auto"/>
        </w:rPr>
      </w:pP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9"/>
          <w:szCs w:val="9"/>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0"/>
          <w:szCs w:val="10"/>
          <w:color w:val="auto"/>
        </w:rPr>
        <w:t>Excludes short-term U.S. Government Securities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 DEBT</w:t>
      </w:r>
    </w:p>
    <w:p>
      <w:pPr>
        <w:spacing w:after="0" w:line="165" w:lineRule="exact"/>
        <w:rPr>
          <w:sz w:val="20"/>
          <w:szCs w:val="20"/>
          <w:color w:val="auto"/>
        </w:rPr>
      </w:pPr>
    </w:p>
    <w:p>
      <w:pPr>
        <w:jc w:val="both"/>
        <w:ind w:right="200" w:firstLine="420"/>
        <w:spacing w:after="0" w:line="268" w:lineRule="auto"/>
        <w:rPr>
          <w:sz w:val="20"/>
          <w:szCs w:val="20"/>
          <w:color w:val="auto"/>
        </w:rPr>
      </w:pPr>
      <w:r>
        <w:rPr>
          <w:rFonts w:ascii="Times New Roman" w:cs="Times New Roman" w:eastAsia="Times New Roman" w:hAnsi="Times New Roman"/>
          <w:sz w:val="13"/>
          <w:szCs w:val="13"/>
          <w:color w:val="auto"/>
        </w:rPr>
        <w:t>The annualized weighted average cost of debt for the nine months ended June 30, 2024 and 2023, inclusive of the fee on the undrawn commitment and amendment costs on the Truist Credit Facility and amortized upfront fees on SBA debentures, 2026 Notes and 2026 Notes-2, was 6.5% and 6.0%, respectively. As of June 30, 2024, in accordance with the 1940 Act, with certain limited exceptions, we are only allowed to borrow amounts such that we are in compliance with a 150% asset coverage ratio after such borrowing.</w:t>
      </w:r>
    </w:p>
    <w:p>
      <w:pPr>
        <w:spacing w:after="0" w:line="123" w:lineRule="exact"/>
        <w:rPr>
          <w:sz w:val="20"/>
          <w:szCs w:val="20"/>
          <w:color w:val="auto"/>
        </w:rPr>
      </w:pPr>
    </w:p>
    <w:p>
      <w:pPr>
        <w:ind w:right="260" w:firstLine="420"/>
        <w:spacing w:after="0" w:line="259" w:lineRule="auto"/>
        <w:rPr>
          <w:sz w:val="20"/>
          <w:szCs w:val="20"/>
          <w:color w:val="auto"/>
        </w:rPr>
      </w:pPr>
      <w:r>
        <w:rPr>
          <w:rFonts w:ascii="Times New Roman" w:cs="Times New Roman" w:eastAsia="Times New Roman" w:hAnsi="Times New Roman"/>
          <w:sz w:val="13"/>
          <w:szCs w:val="13"/>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$ 1 of equity), subject to compliance with certain disclosure requirements. As of June 30, 2024 and September 30, 2023, our asset coverage ratio, as computed in accordance with the 1940 Act, was 164% and 195%,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Truist Credit Facility</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As of June 30, 2024, we had the multi-currency Truist Credit Facility for up to $475.0 million (decreased from $500.0 million in September 2023), which may be further increased up to</w:t>
      </w:r>
    </w:p>
    <w:p>
      <w:pPr>
        <w:spacing w:after="0" w:line="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3"/>
          <w:szCs w:val="13"/>
          <w:color w:val="auto"/>
        </w:rPr>
        <w:t>$750.0 million in borrowings with certain lenders and Truist Bank, acting as administrative agent, Regions Bank, acting as an additional multicurrency lender, and JPMorgan Chase Bank, N.A., acting as syndication agent for the lenders. As of June 30, 2024 and September 30, 2023, we had $450.5 million and $212.4 million, respectively, in outstanding borrowings under the Truist Credit Facility. The Truist Credit Facility had a weighted average interest rate of 7.7% and 7.7%, respectively, exclusive of the fee on undrawn commitment, as of June 30, 2024 and September 30, 2023. The Truist Credit Facility is a revolving facility with a stated maturity date of July 29, 2027 and pricing set at 235 basis points over SOFR (or an alternative risk-free floating interest rate index). As of June 30, 2024 and September 30, 2023, we had $24.5 million and $262.6 million of unused borrowing capacity under the Truist Credit Facility, respectively, subject to leverage and borrowing base restrictions. The Truist Credit Facility is secured by substantially all of our assets. As of June 30, 2024, we were in compliance with the terms of the Truist Credit Facility.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2" w:right="640" w:bottom="1440" w:gutter="0" w:footer="0" w:header="0"/>
        </w:sectPr>
      </w:pPr>
    </w:p>
    <w:bookmarkStart w:id="40" w:name="page41"/>
    <w:bookmarkEnd w:id="40"/>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SBA Debentures</w:t>
      </w:r>
    </w:p>
    <w:p>
      <w:pPr>
        <w:spacing w:after="0" w:line="16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SBIC II was historically able to borrow funds from the SBA against regulatory capital (which approximates equity capital) that is paid-in and is subject to customary regulatory requirements including an examination by the SBA. We previously funded SBIC II with $75.0 million of equity capital and it had SBA debentures outstanding of zero as of June 30, 2024 and September 30, 2023, respectively. SBA debentures are non-recourse to us and may be prepaid at any time without penalty. The interest rate of SBA debentures is fixed at the time of issuance, often referred to as pooling, at a market-driven spread over 10- year U.S. Treasury Notes. Under current SBA regulations, a SBIC may individually borrow up to a maximum of $175.0 million, which is up to twice its potential regulatory capital, and as part of a group of SBICs under common control may borrow a maximum of $ 350 million in the aggregate. As of both June 30, 2024 and September 30, 2023, SBIC II had zero in debt commitments, all of which was drawn as of September 30, 2022. We repaid the remaining SBA debentures during the year ended September 30,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2026 Notes</w:t>
      </w:r>
    </w:p>
    <w:p>
      <w:pPr>
        <w:spacing w:after="0" w:line="167" w:lineRule="exact"/>
        <w:rPr>
          <w:sz w:val="20"/>
          <w:szCs w:val="20"/>
          <w:color w:val="auto"/>
        </w:rPr>
      </w:pPr>
    </w:p>
    <w:p>
      <w:pPr>
        <w:ind w:right="20" w:firstLine="696"/>
        <w:spacing w:after="0" w:line="257" w:lineRule="auto"/>
        <w:rPr>
          <w:sz w:val="20"/>
          <w:szCs w:val="20"/>
          <w:color w:val="auto"/>
        </w:rPr>
      </w:pPr>
      <w:r>
        <w:rPr>
          <w:rFonts w:ascii="Times New Roman" w:cs="Times New Roman" w:eastAsia="Times New Roman" w:hAnsi="Times New Roman"/>
          <w:sz w:val="13"/>
          <w:szCs w:val="13"/>
          <w:color w:val="auto"/>
        </w:rPr>
        <w:t>In April 2021, we issued $ 150.0 million in aggregate principal amount of our 2026 Notes at a public offering price per note of 99.4%. Interest on the 2026 Notes is paid semi- annually on May 1 and November 1 of each year, at a rate of 4.50% per year, commencing November 1, 2021. The 2026 Notes mature on May 1, 2026 and may be redeemed in whole or in part at our option subject to a make -whole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2026 Notes-2</w:t>
      </w:r>
    </w:p>
    <w:p>
      <w:pPr>
        <w:spacing w:after="0" w:line="167" w:lineRule="exact"/>
        <w:rPr>
          <w:sz w:val="20"/>
          <w:szCs w:val="20"/>
          <w:color w:val="auto"/>
        </w:rPr>
      </w:pPr>
    </w:p>
    <w:p>
      <w:pPr>
        <w:ind w:right="20" w:firstLine="696"/>
        <w:spacing w:after="0" w:line="257" w:lineRule="auto"/>
        <w:rPr>
          <w:sz w:val="20"/>
          <w:szCs w:val="20"/>
          <w:color w:val="auto"/>
        </w:rPr>
      </w:pPr>
      <w:r>
        <w:rPr>
          <w:rFonts w:ascii="Times New Roman" w:cs="Times New Roman" w:eastAsia="Times New Roman" w:hAnsi="Times New Roman"/>
          <w:sz w:val="13"/>
          <w:szCs w:val="13"/>
          <w:color w:val="auto"/>
        </w:rPr>
        <w:t>In October 2021, we issued $165.0 million in aggregate principal amount of our 2026 Notes-2 at a public offering price per note of 99.4%. Interest on the 2026 Notes -2 is paid semi-annually on May 1 and November 1 of each year, at a rate of 4.00% per year, commencing May 1, 2022. The 2026 Notes- 2 mature on November 1, 2026 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Notes- 2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COMMITMENTS AND CONTINGENCIES</w:t>
      </w:r>
    </w:p>
    <w:p>
      <w:pPr>
        <w:spacing w:after="0" w:line="165"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From time to time, we,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2"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Unfunded debt and equity investments, if any, are disclosed in the Consolidated Schedules of Investments. Under these arrangements, we may be required to supply a letter of credit to a third party if the portfolio company were to request a letter of credit. As of June 30, 2024 and September 30, 2023, we had $231.5 million and $160.8 million, respectively, in commitments to fund investments. Additionally, the Company had unfunded commitments of zero and up to $22.4 million to PSLF as of June 30, 2024 and September 30, 2023, respectively, that may be contributed primarily for the purpose of funding new investments approved by PSLF board of directors or investment committee.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UNCONSOLIDATED SIGNIFICANT SUBSIDIARIES</w:t>
      </w:r>
    </w:p>
    <w:p>
      <w:pPr>
        <w:spacing w:after="0" w:line="165" w:lineRule="exact"/>
        <w:rPr>
          <w:sz w:val="20"/>
          <w:szCs w:val="20"/>
          <w:color w:val="auto"/>
        </w:rPr>
      </w:pPr>
    </w:p>
    <w:p>
      <w:pPr>
        <w:jc w:val="both"/>
        <w:ind w:right="180" w:firstLine="420"/>
        <w:spacing w:after="0" w:line="268" w:lineRule="auto"/>
        <w:rPr>
          <w:sz w:val="20"/>
          <w:szCs w:val="20"/>
          <w:color w:val="auto"/>
        </w:rPr>
      </w:pPr>
      <w:r>
        <w:rPr>
          <w:rFonts w:ascii="Times New Roman" w:cs="Times New Roman" w:eastAsia="Times New Roman" w:hAnsi="Times New Roman"/>
          <w:sz w:val="13"/>
          <w:szCs w:val="13"/>
          <w:color w:val="auto"/>
        </w:rPr>
        <w:t>We must determine which, if any, of our unconsolidated controlled portfolio companies is a "significant subsidiary" within the meaning of Regulation S-X. We have determined that, as of September 30, 2023, PennantPark Senior Loan Fund, LLC triggered at least one of the significance tests. As a result and in accordance with Rule 3-09 of Regulation S -X, separate audited financial statements of PSLF, LLC for the years ended September 30, 2023, 2022, and 2021 were filed as exhibits to our Annual Report on Form 10-K for the fiscal year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32" w:right="70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the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Investment Corporation and its Subsidiaries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Results of Review of Interim Financial Statements</w:t>
      </w:r>
    </w:p>
    <w:p>
      <w:pPr>
        <w:spacing w:after="0" w:line="2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3"/>
          <w:szCs w:val="13"/>
          <w:color w:val="auto"/>
        </w:rPr>
        <w:t>We have reviewed the accompanying consolidated statement of assets and liabilities of PennantPark Investment Corporation and its subsidiaries (the Company), including the consolidated schedules of investments, as of June 30, 2024, the related consolidated statements of operations and changes in net assets for the three-month and nine -month periods ended June 30, 2024 and 2023, and cash flows for the nine-month periods ended June 30, 2024 and 2023, and the related notes to the consolidated financial statements (collectively, the interim financial information or financial statements). Based on our reviews, we are not aware of any material modifications that should be made to the accompanying interim financial information for them to be in conformity with accounting principles generally accepted in the United States of America.</w:t>
      </w:r>
    </w:p>
    <w:p>
      <w:pPr>
        <w:spacing w:after="0" w:line="13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3"/>
          <w:szCs w:val="13"/>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2023, and the related consolidated statements of operations, changes in net assets, and cash flows for the year then ended (not presented herein); and in our report dated December 7, 2023, we expressed an unqualified opinion on those consolidated financial statements. In our opinion, the information set forth in the accompanying consolidated statement of assets and liabilities, including the consolidated schedule of investments, as of September 30, 2023, is fairly stated, in all material respects, in relation to the consolidated statement of assets and liabilities, including the consolidated schedule of investments, from which it has been derived.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Emphasis of Matter</w:t>
      </w:r>
    </w:p>
    <w:p>
      <w:pPr>
        <w:spacing w:after="0" w:line="23"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3"/>
          <w:szCs w:val="13"/>
          <w:color w:val="auto"/>
        </w:rPr>
        <w:t>As discussed in Note 2 of the consolidated financial statements, the consolidated statement of cash flows for the nine months ended June 30, 2023 has been restated to reclassify certain amounts presented within.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Review Results</w:t>
      </w:r>
    </w:p>
    <w:p>
      <w:pPr>
        <w:spacing w:after="0" w:line="2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3"/>
          <w:szCs w:val="13"/>
          <w:color w:val="auto"/>
        </w:rPr>
        <w:t>These interim financial statements are the responsibility of the Company’s management. We conducted our reviews in accordance with the standards of the Public Company Accounting Oversight Board (United States)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August 7, 2024</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12" w:right="70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3"/>
          <w:szCs w:val="13"/>
          <w:b w:val="1"/>
          <w:bCs w:val="1"/>
          <w:color w:val="auto"/>
        </w:rPr>
        <w:t>Awareness Letter of Independent Registered Public Accounting Firm</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Investment Corporation and its Subsidiaries</w:t>
      </w:r>
    </w:p>
    <w:p>
      <w:pPr>
        <w:spacing w:after="0" w:line="17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3"/>
          <w:szCs w:val="13"/>
          <w:color w:val="auto"/>
        </w:rPr>
        <w:t>We have reviewed, in accordance with the standards of the Public Company Accounting Oversight Board (United States), the unaudited interim financial information of PennantPark Investment Corporation and its Subsidiaries for the periods ended June 30, 2024 and 2023, as indicated in our report dated August 7, 2024; because we did not perform an audit, we expressed no opinion on that information.</w:t>
      </w:r>
    </w:p>
    <w:p>
      <w:pPr>
        <w:spacing w:after="0" w:line="2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3"/>
          <w:szCs w:val="13"/>
          <w:color w:val="auto"/>
        </w:rPr>
        <w:t>We are aware that our report referred to above, which is included in your Quarterly Report on Form 10-Q for the quarter ended June 30, 2024, is incorporated by reference in Registration Statement No. 333-263564 on Form N-2.</w:t>
      </w:r>
    </w:p>
    <w:p>
      <w:pPr>
        <w:spacing w:after="0" w:line="26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August 7, 2024</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b w:val="1"/>
          <w:bCs w:val="1"/>
          <w:color w:val="auto"/>
        </w:rPr>
        <w:t>Item 2. MANAGEMENT’S DISCUSSION AND ANALYSIS OF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65"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future operating results;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business prospects and the prospects of our prospective portfolio companies;</w:t>
      </w:r>
    </w:p>
    <w:p>
      <w:pPr>
        <w:spacing w:after="0" w:line="163" w:lineRule="exact"/>
        <w:rPr>
          <w:sz w:val="20"/>
          <w:szCs w:val="20"/>
          <w:color w:val="auto"/>
        </w:rPr>
      </w:pPr>
    </w:p>
    <w:p>
      <w:pPr>
        <w:ind w:left="540" w:right="160"/>
        <w:spacing w:after="0" w:line="286" w:lineRule="auto"/>
        <w:rPr>
          <w:sz w:val="20"/>
          <w:szCs w:val="20"/>
          <w:color w:val="auto"/>
        </w:rPr>
      </w:pPr>
      <w:r>
        <w:rPr>
          <w:rFonts w:ascii="Times New Roman" w:cs="Times New Roman" w:eastAsia="Times New Roman" w:hAnsi="Times New Roman"/>
          <w:sz w:val="13"/>
          <w:szCs w:val="13"/>
          <w:color w:val="auto"/>
        </w:rPr>
        <w:t>•changes in political, economic or industry conditions, the interest rate environment or conditions affecting the financial and capital markets that could result in changes to the value of our assets;</w:t>
      </w:r>
    </w:p>
    <w:p>
      <w:pPr>
        <w:spacing w:after="0" w:line="1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dependence of our future success on the general economy and its impact on the industries in which we invest;</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a protracted decline in the liquidity of credit markets on our business;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investments that we expect to make;</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fluctuations in interest rates and foreign exchange rates on our business and our portfolio companies;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contractual arrangements and relationships with third parties;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valuation of our investments in portfolio companies, particularly those having no liquid trading market;</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ability of our prospective portfolio companies to achieve their objectives;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expected financings and investments;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adequacy of our cash resources and working capital;</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timing of cash flows, if any, from the operations of our prospective portfolio companies;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price and volume fluctuations in the stock market;</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•increasing levels of inflation, and its impact on us and our portfolio companies;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ability of our Investment Adviser to locate suitable investments for us and to monitor and administer our investments;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future legislation and regulation on our business and our portfolio companies;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the ongoing invasion of Ukraine by Russia and other world economic and political issues; and</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inability to develop and maintain effective internal control over financial reporting.</w:t>
      </w:r>
    </w:p>
    <w:p>
      <w:pPr>
        <w:spacing w:after="0" w:line="163"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We use words such as “anticipates,” “believes,” “expects,” “intends,” “seeks,” “plans,” “estimates” and similar expressions to identify forward- 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23" w:lineRule="exact"/>
        <w:rPr>
          <w:sz w:val="20"/>
          <w:szCs w:val="20"/>
          <w:color w:val="auto"/>
        </w:rPr>
      </w:pPr>
    </w:p>
    <w:p>
      <w:pPr>
        <w:jc w:val="both"/>
        <w:ind w:right="300" w:firstLine="420"/>
        <w:spacing w:after="0" w:line="262" w:lineRule="auto"/>
        <w:rPr>
          <w:sz w:val="20"/>
          <w:szCs w:val="20"/>
          <w:color w:val="auto"/>
        </w:rPr>
      </w:pPr>
      <w:r>
        <w:rPr>
          <w:rFonts w:ascii="Times New Roman" w:cs="Times New Roman" w:eastAsia="Times New Roman" w:hAnsi="Times New Roman"/>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27" w:lineRule="exact"/>
        <w:rPr>
          <w:sz w:val="20"/>
          <w:szCs w:val="20"/>
          <w:color w:val="auto"/>
        </w:rPr>
      </w:pPr>
    </w:p>
    <w:p>
      <w:pPr>
        <w:ind w:right="40" w:firstLine="420"/>
        <w:spacing w:after="0" w:line="265" w:lineRule="auto"/>
        <w:rPr>
          <w:sz w:val="20"/>
          <w:szCs w:val="20"/>
          <w:color w:val="auto"/>
        </w:rPr>
      </w:pPr>
      <w:r>
        <w:rPr>
          <w:rFonts w:ascii="Times New Roman" w:cs="Times New Roman" w:eastAsia="Times New Roman" w:hAnsi="Times New Roman"/>
          <w:sz w:val="13"/>
          <w:szCs w:val="13"/>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 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285"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12"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The following analysis of our financial condition and results of operations should be read in conjunction with our Consolidated Financial Statements and the related notes thereto contained elsewhere in this Report.</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b w:val="1"/>
          <w:bCs w:val="1"/>
          <w:i w:val="1"/>
          <w:iCs w:val="1"/>
          <w:color w:val="auto"/>
        </w:rPr>
        <w:t>Overview</w:t>
      </w:r>
    </w:p>
    <w:p>
      <w:pPr>
        <w:spacing w:after="0" w:line="167" w:lineRule="exact"/>
        <w:rPr>
          <w:sz w:val="20"/>
          <w:szCs w:val="20"/>
          <w:color w:val="auto"/>
        </w:rPr>
      </w:pPr>
    </w:p>
    <w:p>
      <w:pPr>
        <w:ind w:right="50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12" w:lineRule="exact"/>
        <w:rPr>
          <w:sz w:val="20"/>
          <w:szCs w:val="20"/>
          <w:color w:val="auto"/>
        </w:rPr>
      </w:pPr>
    </w:p>
    <w:p>
      <w:pPr>
        <w:ind w:right="80" w:firstLine="420"/>
        <w:spacing w:after="0" w:line="255" w:lineRule="auto"/>
        <w:rPr>
          <w:sz w:val="20"/>
          <w:szCs w:val="20"/>
          <w:color w:val="auto"/>
        </w:rPr>
      </w:pPr>
      <w:r>
        <w:rPr>
          <w:rFonts w:ascii="Times New Roman" w:cs="Times New Roman" w:eastAsia="Times New Roman" w:hAnsi="Times New Roman"/>
          <w:sz w:val="13"/>
          <w:szCs w:val="13"/>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98"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Organization and Structure of PennantPark Investment Corporation</w:t>
      </w:r>
    </w:p>
    <w:p>
      <w:pPr>
        <w:spacing w:after="0" w:line="167"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12"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provided similar services to SBIC II under its investment management agreement. SBIC II’s investment management agreement does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Financial Officer, Chief Compliance Officer, Corporate Counsel and their respective staffs. PennantPark Investment, through the Administrator, provided similar services to SBIC II under its administration agreement with us. Our board of directors, a majority of whom are independent of us, provides overall supervision of our activities, and the Investment Adviser supervises our day-to-day activities.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167" w:lineRule="exact"/>
        <w:rPr>
          <w:sz w:val="20"/>
          <w:szCs w:val="20"/>
          <w:color w:val="auto"/>
        </w:rPr>
      </w:pPr>
    </w:p>
    <w:p>
      <w:pPr>
        <w:ind w:right="40" w:firstLine="420"/>
        <w:spacing w:after="0" w:line="254" w:lineRule="auto"/>
        <w:rPr>
          <w:sz w:val="20"/>
          <w:szCs w:val="20"/>
          <w:color w:val="auto"/>
        </w:rPr>
      </w:pPr>
      <w:r>
        <w:rPr>
          <w:rFonts w:ascii="Times New Roman" w:cs="Times New Roman" w:eastAsia="Times New Roman" w:hAnsi="Times New Roman"/>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67" w:lineRule="exact"/>
        <w:rPr>
          <w:sz w:val="20"/>
          <w:szCs w:val="20"/>
          <w:color w:val="auto"/>
        </w:rPr>
      </w:pPr>
    </w:p>
    <w:p>
      <w:pPr>
        <w:ind w:right="240" w:firstLine="420"/>
        <w:spacing w:after="0" w:line="262" w:lineRule="auto"/>
        <w:rPr>
          <w:sz w:val="20"/>
          <w:szCs w:val="20"/>
          <w:color w:val="auto"/>
        </w:rPr>
      </w:pPr>
      <w:r>
        <w:rPr>
          <w:rFonts w:ascii="Times New Roman" w:cs="Times New Roman" w:eastAsia="Times New Roman" w:hAnsi="Times New Roman"/>
          <w:sz w:val="13"/>
          <w:szCs w:val="13"/>
          <w:color w:val="auto"/>
        </w:rPr>
        <w:t>Our primary operating expenses include interest expense on the outstanding debt and unused commitment fees on undrawn amounts, under our various debt facilities,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We bear all other direct or indirect costs and expenses of our operations and transactions, including:</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cost of calculating our net asset value, including the cost of any third-party valuation services;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cost of effecting sales and repurchases of shares of our common stock and other securities;</w:t>
      </w:r>
    </w:p>
    <w:p>
      <w:pPr>
        <w:spacing w:after="0" w:line="163" w:lineRule="exact"/>
        <w:rPr>
          <w:sz w:val="20"/>
          <w:szCs w:val="20"/>
          <w:color w:val="auto"/>
        </w:rPr>
      </w:pPr>
    </w:p>
    <w:p>
      <w:pPr>
        <w:ind w:left="540" w:right="620"/>
        <w:spacing w:after="0" w:line="286" w:lineRule="auto"/>
        <w:rPr>
          <w:sz w:val="20"/>
          <w:szCs w:val="20"/>
          <w:color w:val="auto"/>
        </w:rPr>
      </w:pPr>
      <w:r>
        <w:rPr>
          <w:rFonts w:ascii="Times New Roman" w:cs="Times New Roman" w:eastAsia="Times New Roman" w:hAnsi="Times New Roman"/>
          <w:sz w:val="13"/>
          <w:szCs w:val="13"/>
          <w:color w:val="auto"/>
        </w:rPr>
        <w:t>•fees payable to third parties relating to, or associated with, making investments, including fees and expenses associated with performing due diligence and reviews of prospective investments or complementary businesses;</w:t>
      </w:r>
    </w:p>
    <w:p>
      <w:pPr>
        <w:spacing w:after="0" w:line="112" w:lineRule="exact"/>
        <w:rPr>
          <w:sz w:val="20"/>
          <w:szCs w:val="20"/>
          <w:color w:val="auto"/>
        </w:rPr>
      </w:pPr>
    </w:p>
    <w:p>
      <w:pPr>
        <w:ind w:left="540" w:right="1660"/>
        <w:spacing w:after="0" w:line="268" w:lineRule="auto"/>
        <w:rPr>
          <w:sz w:val="20"/>
          <w:szCs w:val="20"/>
          <w:color w:val="auto"/>
        </w:rPr>
      </w:pPr>
      <w:r>
        <w:rPr>
          <w:rFonts w:ascii="Times New Roman" w:cs="Times New Roman" w:eastAsia="Times New Roman" w:hAnsi="Times New Roman"/>
          <w:sz w:val="13"/>
          <w:szCs w:val="13"/>
          <w:color w:val="auto"/>
        </w:rPr>
        <w:t>•expenses incurred by the Investment Adviser in performing due diligence and reviews of investments; including expenses incurred by the Investment Adviser payable to third parties (including agents and consultants) in monitoring financial and legal affairs for the Company and in monitoring the Company's investments;</w:t>
      </w:r>
    </w:p>
    <w:p>
      <w:pPr>
        <w:spacing w:after="0" w:line="1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•transfer agent and custodial fees;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•fees and expenses associated with marketing efforts;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•federal and state registration fees and any exchange listing fees;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•federal, state, local and foreign taxes;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•independent directors’ fees and expenses;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•brokerage commissions;</w:t>
      </w: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0" w:right="660" w:bottom="1440" w:gutter="0" w:footer="0" w:header="0"/>
        </w:sectPr>
      </w:pPr>
    </w:p>
    <w:bookmarkStart w:id="45" w:name="page46"/>
    <w:bookmarkEnd w:id="45"/>
    <w:p>
      <w:pPr>
        <w:ind w:left="540"/>
        <w:spacing w:after="0"/>
        <w:rPr>
          <w:sz w:val="20"/>
          <w:szCs w:val="20"/>
          <w:color w:val="auto"/>
        </w:rPr>
      </w:pPr>
      <w:r>
        <w:rPr>
          <w:rFonts w:ascii="Times New Roman" w:cs="Times New Roman" w:eastAsia="Times New Roman" w:hAnsi="Times New Roman"/>
          <w:sz w:val="13"/>
          <w:szCs w:val="13"/>
          <w:color w:val="auto"/>
        </w:rPr>
        <w:t>•fidelity bond, directors and officers, errors and omissions liability insurance and other insurance premiums;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•direct costs such as printing, mailing, long distance telephone and staff;</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•fees and expenses associated with independent audits and outside legal costs;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•costs associated with our reporting and compliance obligations under the 1940 Act, and applicable federal and state securities laws; and</w:t>
      </w:r>
    </w:p>
    <w:p>
      <w:pPr>
        <w:spacing w:after="0" w:line="163" w:lineRule="exact"/>
        <w:rPr>
          <w:sz w:val="20"/>
          <w:szCs w:val="20"/>
          <w:color w:val="auto"/>
        </w:rPr>
      </w:pPr>
    </w:p>
    <w:p>
      <w:pPr>
        <w:ind w:left="540"/>
        <w:spacing w:after="0" w:line="268" w:lineRule="auto"/>
        <w:rPr>
          <w:sz w:val="20"/>
          <w:szCs w:val="20"/>
          <w:color w:val="auto"/>
        </w:rPr>
      </w:pPr>
      <w:r>
        <w:rPr>
          <w:rFonts w:ascii="Times New Roman" w:cs="Times New Roman" w:eastAsia="Times New Roman" w:hAnsi="Times New Roman"/>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Financial Officer, Chief Compliance Officer, Corporate Counsel and their respective staffs.</w:t>
      </w:r>
    </w:p>
    <w:p>
      <w:pPr>
        <w:spacing w:after="0" w:line="123"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Restatement of Previously Issued Financial Statement</w:t>
      </w:r>
    </w:p>
    <w:p>
      <w:pPr>
        <w:spacing w:after="0" w:line="167"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As noted in the Annual Report on Form 10-K for the year ended September 30, 2023, during the preparation of the financial statements as of and for the year ended September 30, 2023, Management identified an error in the classification and presentation of cash pertaining to the Company’s affiliates – PSLF and PTSF II in the September 30, 2022 financial statements. The Company recorded cash activity and due to affiliates pertaining to their investments as a reduction of the cash account instead of presenting the related cash and cash equivalents as an asset and a due to affiliates as a liability. This misclassification also existed at June 30, 2023, and the impact of the error correction is reflected on the consolidated statement of cash flows for the nine months ended June 30,</w:t>
      </w:r>
    </w:p>
    <w:p>
      <w:pPr>
        <w:ind w:right="20"/>
        <w:spacing w:after="0" w:line="263" w:lineRule="auto"/>
        <w:rPr>
          <w:sz w:val="20"/>
          <w:szCs w:val="20"/>
          <w:color w:val="auto"/>
        </w:rPr>
      </w:pPr>
      <w:r>
        <w:rPr>
          <w:rFonts w:ascii="Times New Roman" w:cs="Times New Roman" w:eastAsia="Times New Roman" w:hAnsi="Times New Roman"/>
          <w:sz w:val="13"/>
          <w:szCs w:val="13"/>
          <w:color w:val="auto"/>
        </w:rPr>
        <w:t>2023 as an increase to cash and cash equivalents, beginning of period totaling $2.1 million, an increase to cash and cash equivalents, end of period totaling $3.9 million, and increase in due to affiliates of $1.8 million.</w:t>
      </w:r>
    </w:p>
    <w:p>
      <w:pPr>
        <w:spacing w:after="0" w:line="127"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There was no impact from the error correction to total net assets and net asset value per share as reported on the consolidated statement of assets and liabilities as of June 30, 2023. In addition, there was no impact from the error correction on net investment income or net increase (decrease) in net assets resulting from operations in total or on a per common share basis as reported on the consolidated statements of operations for the nine months ended June 30, 2023. The corrections related to the prior year comparative cash flow statement amounts were reported in the quarter ended June 30, 2024.</w:t>
      </w:r>
    </w:p>
    <w:p>
      <w:pPr>
        <w:spacing w:after="0" w:line="127"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As a result of the error in the classification and presentation of cash described above, we conducted an analysis to determine whether incentive-based compensation was erroneously awarded, thereby necessitating recovery under the Clawback Policy we adopted effective December 1, 2023. Because we do not pay or otherwise award incentive -based compensation to the Company’s executives, we concluded that the error did not result in erroneously-awarded incentive-based compensation, and therefore no compensation recovery is required.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PORTFOLIO AND INVESTMENT ACTIVITY</w:t>
      </w:r>
    </w:p>
    <w:p>
      <w:pPr>
        <w:spacing w:after="0" w:line="165"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As of June 30, 2024, our portfolio totaled $1,259.9 million and consisted of $675.9 million or 54% of first lien secured debt, $59.8 million or 5% of U.S. Government Securities, $65.6 million or 5% of second lien secured debt, $163.7 million or13% of subordinated debt (including $115.9 million or 9% in PSLF) and $294.9 million or 23% of preferred and common equity (including $69.7 million or 6% in PSLF). Our interest bearing debt portfolio consisted of 96% variable- rate investments and 4% fixed-rate investments. As of June 30, 2024, we had three portfolio companies on non-accrual, representing 4.2% and 2.5% percent of our overall portfolio on a cost and fair value basis, respectively. Overall, the portfolio had net unrealized appreciation of $6.9 million as of June 30, 2024. Our overall portfolio consisted of 144 companies with an average investment size of $8.3 million (excluding U.S. Government Securities), had a weighted average yield on interest bearing debt investments of 12.7%.</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September 30, 2023, our portfolio totaled $1,101.7 million and consisted of $527.7 million or 48% of first lien secured debt, $99.8 million or 9% of U.S. Government Securities, $80.4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million or 7% of second lien secured debt, $156.2 million or 14% of subordinated debt (including $102.3 million or 9% in PSLF) and $237.6 million or 22% of preferred and common equity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(including $62.1 million or 6% in PSLF). Our interest bearing debt portfolio consisted of 95% variable-rate investments and 5% fixed-rate investments. As of September 30, 2023, we had one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portfolio company on non-accrual, representing 1.2% and zero percent of our overall portfolio on a cost and fair value basis, respectively. Overall, the portfolio had net unrealized depreciation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$(16.3) million as of September 30, 2023. Our overall portfolio consisted of 129 companies with an average investment size of $7.8 million (excluding U.S. Government Securities), had a weighted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average yield on interest bearing debt investments of 13.0%.</w:t>
      </w:r>
    </w:p>
    <w:p>
      <w:pPr>
        <w:spacing w:after="0" w:line="149"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For the three months ended June 30, 2024, we invested $163.1 million in 11 new and 42 existing portfolio companies with a weighted average yield on debt investments of 12.0% (excluding U.S. Government Securities). For the three months ended June 30, 2024, sales and repayments of investments totaled $132.9 million (excluding U.S. Government Securities) . For the nine months ended June 30, 2024, we invested $752.1 million in 29 new and 65 existing portfolio companies with a weighted average yield on debt investments of 11.9% (excluding U.S. Government Securities). For the nine months ended June 30, 2024, sales and repayment of investments totaled $380.1 million (excluding U.S. Government Securities).</w:t>
      </w:r>
    </w:p>
    <w:p>
      <w:pPr>
        <w:spacing w:after="0" w:line="127" w:lineRule="exact"/>
        <w:rPr>
          <w:sz w:val="20"/>
          <w:szCs w:val="20"/>
          <w:color w:val="auto"/>
        </w:rPr>
      </w:pPr>
    </w:p>
    <w:p>
      <w:pPr>
        <w:ind w:right="200" w:firstLine="420"/>
        <w:spacing w:after="0" w:line="268" w:lineRule="auto"/>
        <w:rPr>
          <w:sz w:val="20"/>
          <w:szCs w:val="20"/>
          <w:color w:val="auto"/>
        </w:rPr>
      </w:pPr>
      <w:r>
        <w:rPr>
          <w:rFonts w:ascii="Times New Roman" w:cs="Times New Roman" w:eastAsia="Times New Roman" w:hAnsi="Times New Roman"/>
          <w:sz w:val="13"/>
          <w:szCs w:val="13"/>
          <w:color w:val="auto"/>
        </w:rPr>
        <w:t>For the three months ended June 30, 2023, we invested $69.9 million in three new and 43 existing portfolio companies with a weighted average yield on debt investments of 12.6%. For the three months ended June 30, 2023, sales and repayments of investments totaled $135.7 million. For the nine months ended June 30, 2023, we invested $214.4 million in 15 new and 60 existing portfolio companies with a weighted average yield on debt investments of 11.9%. For the nine month ended June 30, 2023, sales and repayment of investments totaled $280.5 million.</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4" w:right="66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165" w:lineRule="exact"/>
        <w:rPr>
          <w:sz w:val="20"/>
          <w:szCs w:val="20"/>
          <w:color w:val="auto"/>
        </w:rPr>
      </w:pPr>
    </w:p>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As of June 30, 2024, PSLF’s portfolio totaled $926.1 million, consisted of 101 companies with an average investment size of $9.2 million and had a weighted average yield interest bearing debt investments of 11.8%.</w:t>
      </w:r>
    </w:p>
    <w:p>
      <w:pPr>
        <w:spacing w:after="0" w:line="112" w:lineRule="exact"/>
        <w:rPr>
          <w:sz w:val="20"/>
          <w:szCs w:val="20"/>
          <w:color w:val="auto"/>
        </w:rPr>
      </w:pPr>
    </w:p>
    <w:p>
      <w:pPr>
        <w:ind w:right="38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2023, PSLF’s portfolio totaled $804.2 million, consisted of 90 companies with an average investment size of $8.9 million and had a weighted average yield interest bearing debt investments of 12.1%.</w:t>
      </w:r>
    </w:p>
    <w:p>
      <w:pPr>
        <w:spacing w:after="0" w:line="11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3"/>
          <w:szCs w:val="13"/>
          <w:color w:val="auto"/>
        </w:rPr>
        <w:t>For the three months ended June 30, 2024, PSLF invested $56.0 million (including $37.8 million were purchased from the Company) in five new and seven existing portfolio companies at weighted average yield interest bearing debt investments of 11.5%. PSLF’s sales and repayments of investments for the same period totaled $54.9 million. For the nine months ended June 30, 2024, PSLF invested $250.2 million (of which $191.8 million was purchased from the Company) in 21 new and 16 existing portfolio companies with a weighted average yield on debt investments of 12.0%. PSLF Sales and repayments of investments for the same period totaled $133.8 million.</w:t>
      </w:r>
    </w:p>
    <w:p>
      <w:pPr>
        <w:spacing w:after="0" w:line="127"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For the three months ended June 30, 2023, PSLF invested $64.0 million (of which $61.8 were purchased from the Company) in eight new and one existing portfolio companies at weighted average yield on interest bearing debt investments of 12.0%. PSLF’s sales and repayments of investments for the same period totaled $20.0 million. For the nine months ended June 30, 2023, PSLF invested $119.3 million (of which $80.2 million was purchased from the Company) in 16 new and six existing portfolio companies with a weighted average yield on debt investments of 11.8%. PSLF's sales and repayments of investments for the same period totaled $54.0 million.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At-the-Market Offering</w:t>
      </w:r>
    </w:p>
    <w:p>
      <w:pPr>
        <w:spacing w:after="0" w:line="167"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On June 4, 2024, we entered into equity distribution agreements with Truist Securities, Inc. and Keefe, Bruyette &amp; Woods, Inc. (together, the "Equity Distribution Agreements"), as sales agents (each a "Sales Agent" and together, the "Sales Agents") in connection with the sale of shares of our common stock, with an aggregate offering price of up to $ 100 million under an at-the-market offering ("ATM Program").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p>
    <w:p>
      <w:pPr>
        <w:spacing w:after="0" w:line="292"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During the three and nine months ended June 30, 2024, we issued 71,594 and 71,594 shares of common stock through the ATM Program at an average price of $7.72 and $7.72 per share, raising $0.6 million and $0.6 million of net proceeds after commissions to the sales agents and inclusive of proceeds from the Investment Adviser to ensure that all shares were sold at or above NAV, respectively. In connection with the share issuance, we expensed $0.3 million of deferred offering costs incurred related to establishing the ATM Program to additional paid in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165"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w:t>
      </w:r>
    </w:p>
    <w:p>
      <w:pPr>
        <w:spacing w:after="0" w:line="150"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3"/>
          <w:szCs w:val="13"/>
          <w:color w:val="auto"/>
        </w:rPr>
        <w:t>describe our critical accounting policies in the notes to our Consolidated Financial Statements. We discuss our critical accounting estimates in Management’s Discussion and Analysis of Financial Condition and Results of Operations in our 2023 Annual Report on Form 10-K. There have been no significant changes in our critical accounting estimates during the nine months from those disclosed in our 2023 Annual Report on Form 10-K.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Valuations</w:t>
      </w:r>
    </w:p>
    <w:p>
      <w:pPr>
        <w:spacing w:after="0" w:line="167"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32"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12" w:lineRule="exact"/>
        <w:rPr>
          <w:sz w:val="20"/>
          <w:szCs w:val="20"/>
          <w:color w:val="auto"/>
        </w:rPr>
      </w:pPr>
    </w:p>
    <w:p>
      <w:pPr>
        <w:ind w:left="540" w:right="22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our Investment Adviser responsible for the portfolio investment;</w:t>
      </w:r>
    </w:p>
    <w:p>
      <w:pPr>
        <w:spacing w:after="0" w:line="1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the Investment Adviser;</w:t>
      </w:r>
    </w:p>
    <w:p>
      <w:pPr>
        <w:spacing w:after="0" w:line="163" w:lineRule="exact"/>
        <w:rPr>
          <w:sz w:val="20"/>
          <w:szCs w:val="20"/>
          <w:color w:val="auto"/>
        </w:rPr>
      </w:pPr>
    </w:p>
    <w:p>
      <w:pPr>
        <w:ind w:left="540" w:right="80"/>
        <w:spacing w:after="0" w:line="268" w:lineRule="auto"/>
        <w:rPr>
          <w:sz w:val="20"/>
          <w:szCs w:val="20"/>
          <w:color w:val="auto"/>
        </w:rPr>
      </w:pPr>
      <w:r>
        <w:rPr>
          <w:rFonts w:ascii="Times New Roman" w:cs="Times New Roman" w:eastAsia="Times New Roman" w:hAnsi="Times New Roman"/>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3" w:lineRule="exact"/>
        <w:rPr>
          <w:sz w:val="20"/>
          <w:szCs w:val="20"/>
          <w:color w:val="auto"/>
        </w:rPr>
      </w:pPr>
    </w:p>
    <w:p>
      <w:pPr>
        <w:ind w:left="540" w:right="40"/>
        <w:spacing w:after="0" w:line="268" w:lineRule="auto"/>
        <w:rPr>
          <w:sz w:val="20"/>
          <w:szCs w:val="20"/>
          <w:color w:val="auto"/>
        </w:rPr>
      </w:pPr>
      <w:r>
        <w:rPr>
          <w:rFonts w:ascii="Times New Roman" w:cs="Times New Roman" w:eastAsia="Times New Roman" w:hAnsi="Times New Roman"/>
          <w:sz w:val="13"/>
          <w:szCs w:val="13"/>
          <w:color w:val="auto"/>
        </w:rPr>
        <w:t>(4)The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47" w:name="page48"/>
    <w:bookmarkEnd w:id="47"/>
    <w:p>
      <w:pPr>
        <w:spacing w:after="0" w:line="31" w:lineRule="exact"/>
        <w:rPr>
          <w:sz w:val="20"/>
          <w:szCs w:val="20"/>
          <w:color w:val="auto"/>
        </w:rPr>
      </w:pPr>
    </w:p>
    <w:p>
      <w:pPr>
        <w:ind w:left="540" w:right="480"/>
        <w:spacing w:after="0" w:line="286" w:lineRule="auto"/>
        <w:rPr>
          <w:sz w:val="20"/>
          <w:szCs w:val="20"/>
          <w:color w:val="auto"/>
        </w:rPr>
      </w:pPr>
      <w:r>
        <w:rPr>
          <w:rFonts w:ascii="Times New Roman" w:cs="Times New Roman" w:eastAsia="Times New Roman" w:hAnsi="Times New Roman"/>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2" w:lineRule="exact"/>
        <w:rPr>
          <w:sz w:val="20"/>
          <w:szCs w:val="20"/>
          <w:color w:val="auto"/>
        </w:rPr>
      </w:pPr>
    </w:p>
    <w:p>
      <w:pPr>
        <w:ind w:right="30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7"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87"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3"/>
          <w:szCs w:val="13"/>
          <w:color w:val="auto"/>
        </w:rPr>
        <w:t>Level 1:</w:t>
      </w:r>
      <w:r>
        <w:rPr>
          <w:sz w:val="20"/>
          <w:szCs w:val="20"/>
          <w:color w:val="auto"/>
        </w:rPr>
        <w:tab/>
      </w:r>
      <w:r>
        <w:rPr>
          <w:rFonts w:ascii="Times New Roman" w:cs="Times New Roman" w:eastAsia="Times New Roman" w:hAnsi="Times New Roman"/>
          <w:sz w:val="13"/>
          <w:szCs w:val="13"/>
          <w:color w:val="auto"/>
        </w:rPr>
        <w:t>Inputs that are quoted prices (unadjusted) in active markets for identical assets or liabilities, accessible by us at the measurement date.</w:t>
      </w:r>
    </w:p>
    <w:p>
      <w:pPr>
        <w:spacing w:after="0" w:line="175" w:lineRule="exact"/>
        <w:rPr>
          <w:sz w:val="20"/>
          <w:szCs w:val="20"/>
          <w:color w:val="auto"/>
        </w:rPr>
      </w:pPr>
    </w:p>
    <w:p>
      <w:pPr>
        <w:ind w:left="1600" w:right="780" w:hanging="1055"/>
        <w:spacing w:after="0" w:line="268" w:lineRule="auto"/>
        <w:tabs>
          <w:tab w:leader="none" w:pos="1580" w:val="left"/>
        </w:tabs>
        <w:rPr>
          <w:sz w:val="20"/>
          <w:szCs w:val="20"/>
          <w:color w:val="auto"/>
        </w:rPr>
      </w:pPr>
      <w:r>
        <w:rPr>
          <w:rFonts w:ascii="Times New Roman" w:cs="Times New Roman" w:eastAsia="Times New Roman" w:hAnsi="Times New Roman"/>
          <w:sz w:val="13"/>
          <w:szCs w:val="13"/>
          <w:color w:val="auto"/>
        </w:rPr>
        <w:t>Level 2:</w:t>
      </w:r>
      <w:r>
        <w:rPr>
          <w:sz w:val="20"/>
          <w:szCs w:val="20"/>
          <w:color w:val="auto"/>
        </w:rPr>
        <w:tab/>
      </w:r>
      <w:r>
        <w:rPr>
          <w:rFonts w:ascii="Times New Roman" w:cs="Times New Roman" w:eastAsia="Times New Roman" w:hAnsi="Times New Roman"/>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35" w:lineRule="exact"/>
        <w:rPr>
          <w:sz w:val="20"/>
          <w:szCs w:val="20"/>
          <w:color w:val="auto"/>
        </w:rPr>
      </w:pPr>
    </w:p>
    <w:p>
      <w:pPr>
        <w:ind w:left="1600" w:right="780" w:hanging="1055"/>
        <w:spacing w:after="0" w:line="286" w:lineRule="auto"/>
        <w:tabs>
          <w:tab w:leader="none" w:pos="1580" w:val="left"/>
        </w:tabs>
        <w:rPr>
          <w:sz w:val="20"/>
          <w:szCs w:val="20"/>
          <w:color w:val="auto"/>
        </w:rPr>
      </w:pPr>
      <w:r>
        <w:rPr>
          <w:rFonts w:ascii="Times New Roman" w:cs="Times New Roman" w:eastAsia="Times New Roman" w:hAnsi="Times New Roman"/>
          <w:sz w:val="13"/>
          <w:szCs w:val="13"/>
          <w:color w:val="auto"/>
        </w:rPr>
        <w:t>Level 3:</w:t>
      </w:r>
      <w:r>
        <w:rPr>
          <w:sz w:val="20"/>
          <w:szCs w:val="20"/>
          <w:color w:val="auto"/>
        </w:rPr>
        <w:tab/>
      </w:r>
      <w:r>
        <w:rPr>
          <w:rFonts w:ascii="Times New Roman" w:cs="Times New Roman" w:eastAsia="Times New Roman" w:hAnsi="Times New Roman"/>
          <w:sz w:val="13"/>
          <w:szCs w:val="13"/>
          <w:color w:val="auto"/>
        </w:rPr>
        <w:t>Inputs that are unobservable for an asset or liability because they are based on our own assumptions about how market participants would price the asset or liability.</w:t>
      </w:r>
    </w:p>
    <w:p>
      <w:pPr>
        <w:spacing w:after="0" w:line="124"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and our are classified as Level 3.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On December 3, 2020, the SEC adopted Rule 2a -5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permits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132"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2026 Notes, 2026 Notes-2 and our Truist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23" w:lineRule="exact"/>
        <w:rPr>
          <w:sz w:val="20"/>
          <w:szCs w:val="20"/>
          <w:color w:val="auto"/>
        </w:rPr>
      </w:pPr>
    </w:p>
    <w:p>
      <w:pPr>
        <w:ind w:right="40" w:firstLine="420"/>
        <w:spacing w:after="0" w:line="255"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under ASC Subtopic 825-10, Financial Instruments ("ASC 825-10"), which provides companies with an option to report selected financial assets and liabilities at fair value, and made an irrevocable election to apply ASC 825-10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did not incur any expenses relating to amendment costs on the Truist Credit Facility for both the three and nine months ended June 30, 2024 and 2023.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825 -10 also requires entities to display the fair value of the selected assets and liabilities on the face of the Consolidated Statements of Assets and Liabilities and changes in fair value of the Truist Credit Facility is reported in our Consolidated Statements of Operations. We elect not to apply ASC 825-10 to any other financial assets or liabilities, including the 2026 Notes, and 2026 Notes-2.</w:t>
      </w:r>
    </w:p>
    <w:p>
      <w:pPr>
        <w:spacing w:after="0" w:line="134"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For the three and nine months ended June 30, 2024, the Truist Credit Facility had a net change in unrealized appreciation (depreciation) of less than $(0.1) million and $(1.6) million, respectively. For the three and nine months ended June 30, 2023, the Truist Credit Facility had a net change in unrealized appreciation (depreciation) of $(8.4) million and $(2.5) million, respectively. As of June 30, 2024 and September 30, 2023, the net unrealized depreciation on the Truist Credit Facility totaled $3.9 million and $5.5 million, respectively. We use a nationally recognized independent valuation service to measure the fair value of our Truist Credit Facility in a manner consistent with the valuation process that the board of directors uses to value our investments.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 Recognition</w:t>
      </w:r>
    </w:p>
    <w:p>
      <w:pPr>
        <w:spacing w:after="0" w:line="131"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 and Net Change in Unrealized Appreciation or Depreciation</w:t>
      </w:r>
    </w:p>
    <w:p>
      <w:pPr>
        <w:spacing w:after="0" w:line="167" w:lineRule="exact"/>
        <w:rPr>
          <w:sz w:val="20"/>
          <w:szCs w:val="20"/>
          <w:color w:val="auto"/>
        </w:rPr>
      </w:pPr>
    </w:p>
    <w:p>
      <w:pPr>
        <w:ind w:right="60" w:firstLine="468"/>
        <w:spacing w:after="0" w:line="262" w:lineRule="auto"/>
        <w:rPr>
          <w:sz w:val="20"/>
          <w:szCs w:val="20"/>
          <w:color w:val="auto"/>
        </w:rPr>
      </w:pPr>
      <w:r>
        <w:rPr>
          <w:rFonts w:ascii="Times New Roman" w:cs="Times New Roman" w:eastAsia="Times New Roman" w:hAnsi="Times New Roman"/>
          <w:sz w:val="13"/>
          <w:szCs w:val="13"/>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and our Truist Credit Facility, including any reversal of previously recorded unrealized appreciation or depreciation, when gains or losses are realized.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Translation</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1.Fair value of investment securities, other assets and liabilities – at the exchange rates prevailing at the end of the applicable period; and</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2.Purchases and sales of investment securities, income and expenses – at the exchange rates prevailing on the respective dates of such transactions.</w:t>
      </w:r>
    </w:p>
    <w:p>
      <w:pPr>
        <w:spacing w:after="0" w:line="163" w:lineRule="exact"/>
        <w:rPr>
          <w:sz w:val="20"/>
          <w:szCs w:val="20"/>
          <w:color w:val="auto"/>
        </w:rPr>
      </w:pPr>
    </w:p>
    <w:p>
      <w:pPr>
        <w:jc w:val="both"/>
        <w:ind w:right="18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Payment -in-Kind, or PIK Interest</w:t>
      </w:r>
    </w:p>
    <w:p>
      <w:pPr>
        <w:spacing w:after="0" w:line="167"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Federal Income Taxes</w:t>
      </w:r>
    </w:p>
    <w:p>
      <w:pPr>
        <w:spacing w:after="0" w:line="167"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 -of-income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27" w:lineRule="exact"/>
        <w:rPr>
          <w:sz w:val="20"/>
          <w:szCs w:val="20"/>
          <w:color w:val="auto"/>
        </w:rPr>
      </w:pPr>
    </w:p>
    <w:p>
      <w:pPr>
        <w:ind w:right="120" w:firstLine="420"/>
        <w:spacing w:after="0" w:line="256"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U.S. federal excise tax imposed on RICs, we must distribute dividends for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realized but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32" w:lineRule="exact"/>
        <w:rPr>
          <w:sz w:val="20"/>
          <w:szCs w:val="20"/>
          <w:color w:val="auto"/>
        </w:rPr>
      </w:pPr>
    </w:p>
    <w:p>
      <w:pPr>
        <w:ind w:right="360" w:firstLine="420"/>
        <w:spacing w:after="0" w:line="268" w:lineRule="auto"/>
        <w:rPr>
          <w:sz w:val="20"/>
          <w:szCs w:val="20"/>
          <w:color w:val="auto"/>
        </w:rPr>
      </w:pPr>
      <w:r>
        <w:rPr>
          <w:rFonts w:ascii="Times New Roman" w:cs="Times New Roman" w:eastAsia="Times New Roman" w:hAnsi="Times New Roman"/>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23"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For the three and nine months ended June 30, 2024, we recorded a provision for taxes on net investment income of $0.7 million and $1.9 million respectively, pertaining to federal excise tax. For the three and nine months ended June 30, 2023, we recorded a provision for taxes on net investment income of $1.2 million and $3.6 million respectively, all of which pertains to U.S. federal excise tax.</w:t>
      </w:r>
    </w:p>
    <w:p>
      <w:pPr>
        <w:spacing w:after="0" w:line="123" w:lineRule="exact"/>
        <w:rPr>
          <w:sz w:val="20"/>
          <w:szCs w:val="20"/>
          <w:color w:val="auto"/>
        </w:rPr>
      </w:pPr>
    </w:p>
    <w:p>
      <w:pPr>
        <w:ind w:right="200" w:firstLine="420"/>
        <w:spacing w:after="0" w:line="259" w:lineRule="auto"/>
        <w:rPr>
          <w:sz w:val="20"/>
          <w:szCs w:val="20"/>
          <w:color w:val="auto"/>
        </w:rPr>
      </w:pPr>
      <w:r>
        <w:rPr>
          <w:rFonts w:ascii="Times New Roman" w:cs="Times New Roman" w:eastAsia="Times New Roman" w:hAnsi="Times New Roman"/>
          <w:sz w:val="13"/>
          <w:szCs w:val="13"/>
          <w:color w:val="auto"/>
        </w:rPr>
        <w:t>On November 22, 2021, we formed PNNT Investment Holdings II, LLC, a Delaware limited liability company (“Holdings II”), as a wholly owned subsidiary. On December 31, 2022, we contributed 100% of our interests in PNNT Investment Holdings, LLC (“Holdings”) to Holdings II .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30"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For the three and nine months ended June 30, 2024, the Company recognized a provision for taxes of zero and $0.2 million, respectively, on net realized gain (loss) on investments by the Taxable Subsidiary. For the three and nine months ended June 30, 2023, the Company recognized a provision for taxes of $1.7 million and $ 2.4 million, respectively, on net realized gain on investments by the Taxable Subsidiary. For the three months and nine months ended June 30, 2024, the Company recognized a provision for taxes of zero and $0.7 million, respectively, on net realized gain (loss) on investments by the Taxable Subsidiary. For the three and nine months ended June 30, 2023, the Company recognized a provision for taxes of zero and $(0.9) million, respectively, on net unrealized gain (loss) on investments by the Taxable Subsidiary. The provision for taxes on net realized and unrealized gains on investments is the result of netting (i) the expected tax liability on the gains from the sales of investments which is likely to be realized and unrealized during fiscal year ending September 30, 2024 and (ii) the expected tax benefit resulting from the use of loss carryforwards to offset such gains. As of June 30, 2024 and September 30, 2023, the Company recognized a provision for taxes of $0.9 million and $3.4 million, respectively, on net realized and unrealized gains on investments by the Taxable Subsidiary.</w:t>
      </w:r>
    </w:p>
    <w:p>
      <w:pPr>
        <w:spacing w:after="0" w:line="134" w:lineRule="exact"/>
        <w:rPr>
          <w:sz w:val="20"/>
          <w:szCs w:val="20"/>
          <w:color w:val="auto"/>
        </w:rPr>
      </w:pPr>
    </w:p>
    <w:p>
      <w:pPr>
        <w:ind w:right="560" w:firstLine="420"/>
        <w:spacing w:after="0" w:line="286" w:lineRule="auto"/>
        <w:rPr>
          <w:sz w:val="20"/>
          <w:szCs w:val="20"/>
          <w:color w:val="auto"/>
        </w:rPr>
      </w:pPr>
      <w:r>
        <w:rPr>
          <w:rFonts w:ascii="Times New Roman" w:cs="Times New Roman" w:eastAsia="Times New Roman" w:hAnsi="Times New Roman"/>
          <w:sz w:val="13"/>
          <w:szCs w:val="13"/>
          <w:color w:val="auto"/>
        </w:rPr>
        <w:t>During the three months and nine months ended June 30, 2024, the Company paid zero, respectively, in federal taxes on realized gains on the sale of investments held by the Taxable Subsidiary. The state and local tax liability is zero as of June 30, 2024 is included under accrued other expenses in the consolidated statement of assets and liabilities.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0" w:right="680" w:bottom="1440" w:gutter="0" w:footer="0" w:header="0"/>
        </w:sectPr>
      </w:pPr>
    </w:p>
    <w:bookmarkStart w:id="49" w:name="page50"/>
    <w:bookmarkEnd w:id="49"/>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23"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The Taxable Subsidiary, which is subject to tax as a corporation, allows us to hold equity securities of certain portfolio companies treated as pass-through entities for U.S. federal income tax purposes while facilitating our ability to qualify as a RIC under the Code.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Set forth below are the results of operations for the three and nine months ended June 30, 2024 and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Income</w:t>
      </w:r>
    </w:p>
    <w:p>
      <w:pPr>
        <w:spacing w:after="0" w:line="167"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For the three and nine months ended June 30, 2024, investment income was $37.0 million and $107.3 million, respectively, which was attributable to $ 25.9 million and $78.5 million from first lien secured debt, $2.1 million and $7.6 million from second lien secured debt, $0.6 million and $1.9 million from subordinated debt and $8.4 million and $19.3 million from other investments, respectively. For the three and nine months ended June 30, 2023, investment income was $45.0 million and $111.3 million, respectively, which was attributable to $24.1 million and $72.7 million from first lien secured debt, $3.5 million and $10.9 million from second lien secured debt, $1.2 million and $3.4 million from subordinated debt and $16.2 million and $24.3 million from preferred and common equity, respectively. The decrease in investment income for the nine months ended June 30, 2024 was primarily due to the decrease in dividend income.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67"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For the three and nine months ended June 30, 2024, expenses totaled $21.3 million and $ 61.7 million, respectively and were comprised of; $11.5 million and $32.9 million of debt related interest and expenses, $4.2 million and $12.4 million of base management fees, $ 3.3 million and $9.7 million of incentive fees, $1.5 million and $4.8 million of general and administrative expenses and $0.7 million and $1.9 million of provision for excise taxes. For the three and nine months ended June 30, 2023, expenses totaled $22.1 million and $61.4 million, respectively and were comprised of; $ 10.1 million and $ 30.5 million of debt-related interest and expenses, $4.0 million and $12.6 million of base management fees, $4.9 million and $10.6 million of incentive fees, $ 1.9 million and $4.1 million of general and administrative expenses and $1.2 million and $3.6 million of provision for excise taxes, respectively. The increase in expenses for the nine months ended June 30, 2024 was primarily due an increase in debt related interest and expenses.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Investment Income</w:t>
      </w:r>
    </w:p>
    <w:p>
      <w:pPr>
        <w:spacing w:after="0" w:line="167"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For the three and nine months ended June 30, 2024, net investment income totaled $15.7 million and $45.7 million, or $0.24 per share, and $0.70 per share, respectively. For the three and nine months ended June 30, 2023, net investment income totaled $ 23.0 million and $49.9 million, or $0.35 per share and $0.77 per share, respectively. The decrease in net investment income for the nine months ended June 30, 2024 was primarily due to decrease in investment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w:t>
      </w:r>
    </w:p>
    <w:p>
      <w:pPr>
        <w:spacing w:after="0" w:line="167" w:lineRule="exact"/>
        <w:rPr>
          <w:sz w:val="20"/>
          <w:szCs w:val="20"/>
          <w:color w:val="auto"/>
        </w:rPr>
      </w:pPr>
    </w:p>
    <w:p>
      <w:pPr>
        <w:jc w:val="both"/>
        <w:ind w:right="40" w:firstLine="420"/>
        <w:spacing w:after="0" w:line="268" w:lineRule="auto"/>
        <w:rPr>
          <w:sz w:val="20"/>
          <w:szCs w:val="20"/>
          <w:color w:val="auto"/>
        </w:rPr>
      </w:pPr>
      <w:r>
        <w:rPr>
          <w:rFonts w:ascii="Times New Roman" w:cs="Times New Roman" w:eastAsia="Times New Roman" w:hAnsi="Times New Roman"/>
          <w:sz w:val="13"/>
          <w:szCs w:val="13"/>
          <w:color w:val="auto"/>
        </w:rPr>
        <w:t>For the three and nine months ended June 30, 2024, net realized gains (losses) totaled $(6.9) million and $(36.1) million, respectively. For the three and nine months ended June 30, 2023, net realized gains (losses) totaled $(6.9) million and $(151.5) million, respectively. The change in realized gains (losses) was primarily due to changes in the market conditions of our investments and the values at which they were realized.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Unrealized Appreciation or Depreciation on Investments and Debt</w:t>
      </w:r>
    </w:p>
    <w:p>
      <w:pPr>
        <w:spacing w:after="0" w:line="167"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For the three and nine months ended June 30, 2024, we reported net change in unrealized appreciation (depreciation) on investments of $(5.1) million and $23.2 million, respectively. For the three and nine months ended June 30, 2023, the net unrealized appreciation (depreciation) on investments totaled $13.3 million and $57.1 million, respectively. As of June 30, 2024 and September 30, 2023, our net unrealized appreciation (depreciation) on investments totaled $ 6.9 million and $(16.3) million, respectively. The net change in unrealized depreciation on our investments was primarily due to changes in the capital market conditions of our investments and the values at which they were realized.</w:t>
      </w:r>
    </w:p>
    <w:p>
      <w:pPr>
        <w:spacing w:after="0" w:line="127"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For the three and nine months ended June 30, 2024, the Truist Credit Facility had a net change in unrealized appreciation (depreciation) less than $(0.1) million and $(1.6) million, respectively. For the three and nine months ended June 30, 2023, the Truist Credit Facility had a net change in unrealized (appreciation) depreciation of $(8.4) million and $(2.5) million, respectively. As of June 30, 2024 and September 30, 2023, the net unrealized depreciation on the Truist Credit Facility totaled $3.9 million and $5.5 million, respectively. Net change in unrealized appreciation was primarily due to changes in the capital markets.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Change in Net Assets Resulting from Operations</w:t>
      </w:r>
    </w:p>
    <w:p>
      <w:pPr>
        <w:spacing w:after="0" w:line="167"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For the three and nine months ended June 30, 2024, net increase (decrease) in net assets resulting from operations totaled $3.7 million and $ 30.5 million, or $0.06 per share, and $0.47 per share, respectively. For the three and nine months ended June 30, 2023, net increase (decrease) in net assets resulting from operations totaled $20.9 million and $(46.1) million, or $ 0.32 per share and $(0.71) per share, respectively. The increase in net assets from operations for the nine months ended June 30, 2024 was primarily due to a decrease in the net realized and unrealized depreciation in the portfolio primarily driven by changes in market conditions.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4" w:right="68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65"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Our liquidity and capital resources are derived primarily from cash flows from operations, including investment sales and repayments, and income earned,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 and operations. As of June 30, 2024, in accordance with the 1940 Act, with certain limited exceptions, we are only allowed to borrow amounts such that we are in compliance with a 150% asset coverage ratio requirement after such borrowing, excluding SBA debentures pursuant to exemptive relief from the SEC received in June 2011. This “Liquidity and Capital Resources” section should be read in conjunction with the "Forward-Looking Statements" section above.</w:t>
      </w:r>
    </w:p>
    <w:p>
      <w:pPr>
        <w:spacing w:after="0" w:line="132" w:lineRule="exact"/>
        <w:rPr>
          <w:sz w:val="20"/>
          <w:szCs w:val="20"/>
          <w:color w:val="auto"/>
        </w:rPr>
      </w:pPr>
    </w:p>
    <w:p>
      <w:pPr>
        <w:ind w:right="280" w:firstLine="420"/>
        <w:spacing w:after="0" w:line="262" w:lineRule="auto"/>
        <w:rPr>
          <w:sz w:val="20"/>
          <w:szCs w:val="20"/>
          <w:color w:val="auto"/>
        </w:rPr>
      </w:pPr>
      <w:r>
        <w:rPr>
          <w:rFonts w:ascii="Times New Roman" w:cs="Times New Roman" w:eastAsia="Times New Roman" w:hAnsi="Times New Roman"/>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June 30, 2024 and September 30, 2023, our asset coverage ratio, as computed in accordance with the 1940 Act was 164%% and 195%, respectively.</w:t>
      </w:r>
    </w:p>
    <w:p>
      <w:pPr>
        <w:spacing w:after="0" w:line="163"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For the nine months ended June 30, 2024 and 2023, the annualized weighted average cost of debt inclusive of the fee on the undrawn commitment and amendment costs on the Truist Credit Facility, and amortized upfront fees on SBA debentures, 2026 Notes and 2026 Notes-2, was 6.5% and 6.0%, respectively.</w:t>
      </w:r>
    </w:p>
    <w:p>
      <w:pPr>
        <w:spacing w:after="0" w:line="112"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As of June 30, 2024, we had the multi-currency Truist Credit Facility for up to $475.0 million (decreased from $ 500.0 million in September 2023), which may be further increased up to $750.0 million in borrowings with certain lenders and Truist Bank, acting as administrative agent, Regions Bank, acting as an additional multicurrency lender, and JPMorgan Chase Bank, N.A., acting as syndication agent for the lenders. As of June 30, 2024 and September 30, 2023, we had $450.5 million and $212.4 million, respectively, in outstanding borrowings under the Truist Credit Facility. The Truist Credit Facility had a weighted average interest rate of 7.7% and 7.7%, respectively, exclusive of the fee on undrawn commitment, as of June 30, 2024 and September 30, 2023. The Truist Credit Facility is a revolving facility with a stated maturity date of July 29, 2027 and pricing set at 235 basis points over SOFR (or an alternative risk-free floating interest rate index). As of June 30, 2024 and September 30, 2023, we had $24.5 million and $262.6 million of unused borrowing capacity under the Truist Credit Facility, respectively, subject to leverage and borrowing base restrictions. The Truist Credit Facility is secured by substantially all of our assets. As of June 30, 2024, we were in compliance with the terms of the Truist Credit Facility.</w:t>
      </w:r>
    </w:p>
    <w:p>
      <w:pPr>
        <w:spacing w:after="0" w:line="96"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 xml:space="preserve">As of June 30, 2024, we had $150 million in aggregate principal amount of 2026 Notes outstanding. Interest on the 2026 Notes is paid semi-annually on May 1 and November 1, at a rate of 4.50% per year, commencing November 1, 2021. The 2026 Notes mature on May 1, 2026, and may be redeemed in whole or in part at our option subject to a make-whole premium if redeemed more than three months prior to maturity. The 2026 Notes are direct unsecured obligations and rank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in right of payment with future unsecured unsubordinated indebtedness. The 2026 Notes are structurally subordinated to all existing and future indebtedness and other obligations of any of our subsidiaries, financing vehicles, or similar facilities.</w:t>
      </w:r>
    </w:p>
    <w:p>
      <w:pPr>
        <w:spacing w:after="0" w:line="91"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 xml:space="preserve">As of June 30, 2024, we had $165 million in aggregate principal amount of 2026 Notes-2 outstanding. Interest on the 2026 Notes- 2 is paid semi-annually on May 1 and November 1, at a rate of 4.0% per year, commencing May 1, 2022. The 2026 Notes-2 mature on November 1, 2026, and may be redeemed in whole or in part at our option subject to a make-whole premium if redeemed more than three months prior to maturity. The 2026 Notes-2 are direct unsecured obligations and rank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in right of payment with future unsecured unsubordinated indebtedness. The 2026 Notes-2 are structurally subordinated to all existing and future indebtedness and other obligations of any of our subsidiaries, financing vehicles, or similar facilities.</w:t>
      </w:r>
    </w:p>
    <w:p>
      <w:pPr>
        <w:spacing w:after="0" w:line="127"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On June 4, 2024, we entered into equity distribution agreements with Truist Securities, Inc. and Keefe, Bruyette &amp; Woods, Inc. (together, the "Equity Distribution Agreements"), as sales agents (each a "Sales Agent" and together, the "Sales Agents") in connection with the sale of shares of our common stock, with an aggregate offering price of up to $ 100 million under an at-the-market offering ("ATM Program").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p>
    <w:p>
      <w:pPr>
        <w:spacing w:after="0" w:line="292"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During the three and nine months ended June 30, 2024, we issued 71,594 and 71,594 shares of common stock through the ATM Program at an average price of $7.72 and $7.72 per share, raising $0.6 million and $0.6 million of net proceeds after commissions to the sales agents and inclusive of proceeds from the Investment Adviser to ensure that all shares were sold at or above NAV, respectively. In connection with the share issuance, we expensed $0.3 million of deferred offering costs incurred related to establishing the ATM Program to additional paid in capital.</w:t>
      </w:r>
    </w:p>
    <w:p>
      <w:pPr>
        <w:spacing w:after="0" w:line="123"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We may raise additional equity or debt capital through both registered offerings off our shelf registration statement and private offerings of securities, by securitizing a portion of our investments, among other sources. Any future additional debt capital we incur, to the extent it is available, may be issued at a higher cost and on less favorable terms and conditions than the Truist Credit Facility, 2026 Notes, and 2026 Notes-2. Furthermore, the Truist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a stock repurchase program.</w:t>
      </w:r>
    </w:p>
    <w:p>
      <w:pPr>
        <w:spacing w:after="0" w:line="94"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May 2024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91" w:lineRule="exact"/>
        <w:rPr>
          <w:sz w:val="20"/>
          <w:szCs w:val="20"/>
          <w:color w:val="auto"/>
        </w:rPr>
      </w:pPr>
    </w:p>
    <w:p>
      <w:pPr>
        <w:ind w:right="160" w:firstLine="420"/>
        <w:spacing w:after="0" w:line="259" w:lineRule="auto"/>
        <w:rPr>
          <w:sz w:val="20"/>
          <w:szCs w:val="20"/>
          <w:color w:val="auto"/>
        </w:rPr>
      </w:pPr>
      <w:r>
        <w:rPr>
          <w:rFonts w:ascii="Times New Roman" w:cs="Times New Roman" w:eastAsia="Times New Roman" w:hAnsi="Times New Roman"/>
          <w:sz w:val="13"/>
          <w:szCs w:val="13"/>
          <w:color w:val="auto"/>
        </w:rPr>
        <w:t>Under our Administration Agreement, which was most recently reapproved by our board of directors, including a majority of our directors who are not interested persons of us, in May 2024 the Administrator furnishes us with office facilities and administrative services necessary to conduct our day-to -day operations. The Administration Agreement was amended on July 1, 2022.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Corporate Counsel and their respective staffs.</w:t>
      </w:r>
    </w:p>
    <w:p>
      <w:pPr>
        <w:spacing w:after="0" w:line="94"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2" w:right="660" w:bottom="1440" w:gutter="0" w:footer="0" w:header="0"/>
        </w:sectPr>
      </w:pPr>
    </w:p>
    <w:bookmarkStart w:id="51" w:name="page52"/>
    <w:bookmarkEnd w:id="51"/>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In accordance with the 1940 Act, with certain limited exceptions, PennantPark Investment is only allowed to borrow amounts such that our required 150% asset coverage ratio is met after such borrowing. As of June 30, 2024 and September 30, 2023,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127" w:lineRule="exact"/>
        <w:rPr>
          <w:sz w:val="20"/>
          <w:szCs w:val="20"/>
          <w:color w:val="auto"/>
        </w:rPr>
      </w:pPr>
    </w:p>
    <w:p>
      <w:pPr>
        <w:ind w:right="240" w:firstLine="420"/>
        <w:spacing w:after="0" w:line="286" w:lineRule="auto"/>
        <w:rPr>
          <w:sz w:val="20"/>
          <w:szCs w:val="20"/>
          <w:color w:val="auto"/>
        </w:rPr>
      </w:pPr>
      <w:r>
        <w:rPr>
          <w:rFonts w:ascii="Times New Roman" w:cs="Times New Roman" w:eastAsia="Times New Roman" w:hAnsi="Times New Roman"/>
          <w:sz w:val="13"/>
          <w:szCs w:val="13"/>
          <w:color w:val="auto"/>
        </w:rPr>
        <w:t>As of June 30, 2024 and September 30, 2023, we had cash and cash equivalents of $59.2 million and $38.8 million, respectively, available for investing and general corporate purposes. We believe our liquidity and capital resources are sufficient to allows us to effectively operate our business.</w:t>
      </w:r>
    </w:p>
    <w:p>
      <w:pPr>
        <w:spacing w:after="0" w:line="112"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For the nine months ended June 30, 2024, our operating activities used cash of $167.7 million and our financing activities provided cash of $188.1 million. Our operating activities provided cash primarily due to our investment activities and our financing activities used cash primarily from borrowings under the Truist Credit Facility.</w:t>
      </w:r>
    </w:p>
    <w:p>
      <w:pPr>
        <w:spacing w:after="0" w:line="112"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For the nine months ended June 30, 2023, our operating activities provided cash of $115.7 million and our financing activities used cash of $124.1 million. Our operating activities provided cash primarily due to our investment activities and our financing activities used cash primarily due to repayments under the Truist Credit Facility.</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165" w:lineRule="exact"/>
        <w:rPr>
          <w:sz w:val="20"/>
          <w:szCs w:val="20"/>
          <w:color w:val="auto"/>
        </w:rPr>
      </w:pPr>
    </w:p>
    <w:p>
      <w:pPr>
        <w:ind w:right="160" w:firstLine="420"/>
        <w:spacing w:after="0" w:line="257" w:lineRule="auto"/>
        <w:rPr>
          <w:sz w:val="20"/>
          <w:szCs w:val="20"/>
          <w:color w:val="auto"/>
        </w:rPr>
      </w:pPr>
      <w:r>
        <w:rPr>
          <w:rFonts w:ascii="Times New Roman" w:cs="Times New Roman" w:eastAsia="Times New Roman" w:hAnsi="Times New Roman"/>
          <w:sz w:val="13"/>
          <w:szCs w:val="13"/>
          <w:color w:val="auto"/>
        </w:rPr>
        <w:t>In July 2020, we and Pantheon formed PSLF, an unconsolidated joint venture. PSLF invests primarily in middle-market and other corporate debt securities consistent with its strategy. PSLF was formed as a Delaware limited liability company. As of June 30, 2024 and September 30, 2023, PSLF had total assets of $977.0 million and $872.8 million, respectively and its investment portfolio consisted of debt investments in 101 and 90 portfolio companies, respectively. As of the same dates, we and Pantheon had remaining commitments to fund subordinated debt of zero and $22.4 million, respectively, and equity interest of zero and $14.5 million, respectively, in PSLF. As of June 30, 2024, at fair value, the largest investment in a single portfolio company in PSLF was $21.5 million and the five largest investments totaled $100.1 million. As of September 30, 2023, at fair value, the largest investment in a single portfolio company in PSLF was $19.7 million and the five largest investments totaled $97.5 million. PSLF invests in portfolio companies in the same industries in which we may directly invest.</w:t>
      </w:r>
    </w:p>
    <w:p>
      <w:pPr>
        <w:spacing w:after="0" w:line="132" w:lineRule="exact"/>
        <w:rPr>
          <w:sz w:val="20"/>
          <w:szCs w:val="20"/>
          <w:color w:val="auto"/>
        </w:rPr>
      </w:pPr>
    </w:p>
    <w:p>
      <w:pPr>
        <w:jc w:val="both"/>
        <w:ind w:right="180" w:firstLine="420"/>
        <w:spacing w:after="0" w:line="268" w:lineRule="auto"/>
        <w:rPr>
          <w:sz w:val="20"/>
          <w:szCs w:val="20"/>
          <w:color w:val="auto"/>
        </w:rPr>
      </w:pPr>
      <w:r>
        <w:rPr>
          <w:rFonts w:ascii="Times New Roman" w:cs="Times New Roman" w:eastAsia="Times New Roman" w:hAnsi="Times New Roman"/>
          <w:sz w:val="13"/>
          <w:szCs w:val="13"/>
          <w:color w:val="auto"/>
        </w:rPr>
        <w:t>We provide capital to PSLF in the form of subordinated notes and equity interests. As of June 30, 2024 and September 30, 2023, we and Pantheon owned 60.5% and 39.5%, respectively, of each of the outstanding subordinated notes and equity interests of PSLF. As of June 30, 2024 and September 30, 2023, our investment in PSLF consisted of subordinated notes of $115.9 million and $102.3 million, respectively, and equity interests of $67.4 million and $58.6 million, respectively.</w:t>
      </w:r>
    </w:p>
    <w:p>
      <w:pPr>
        <w:spacing w:after="0" w:line="123"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132" w:lineRule="exact"/>
        <w:rPr>
          <w:sz w:val="20"/>
          <w:szCs w:val="20"/>
          <w:color w:val="auto"/>
        </w:rPr>
      </w:pPr>
    </w:p>
    <w:p>
      <w:pPr>
        <w:jc w:val="both"/>
        <w:ind w:right="60" w:firstLine="420"/>
        <w:spacing w:after="0" w:line="286" w:lineRule="auto"/>
        <w:rPr>
          <w:sz w:val="20"/>
          <w:szCs w:val="20"/>
          <w:color w:val="auto"/>
        </w:rPr>
      </w:pPr>
      <w:r>
        <w:rPr>
          <w:rFonts w:ascii="Times New Roman" w:cs="Times New Roman" w:eastAsia="Times New Roman" w:hAnsi="Times New Roman"/>
          <w:sz w:val="13"/>
          <w:szCs w:val="13"/>
          <w:color w:val="auto"/>
        </w:rPr>
        <w:t>Additionally, PSLF, through its wholly -owned subsidiary, has entered into a $325.0 million (increased from $225.0 million on September 2, 2022) senior secured revolving credit facility, with BNP Paribas, which bears interest at SOFR (or an alternative risk-free interest rate index) plus 260 basis points during the investment period and is subject to leverage and borrowing base restrictions.</w:t>
      </w:r>
    </w:p>
    <w:p>
      <w:pPr>
        <w:spacing w:after="0" w:line="112" w:lineRule="exact"/>
        <w:rPr>
          <w:sz w:val="20"/>
          <w:szCs w:val="20"/>
          <w:color w:val="auto"/>
        </w:rPr>
      </w:pPr>
    </w:p>
    <w:p>
      <w:pPr>
        <w:ind w:right="80" w:firstLine="420"/>
        <w:spacing w:after="0" w:line="257" w:lineRule="auto"/>
        <w:rPr>
          <w:sz w:val="20"/>
          <w:szCs w:val="20"/>
          <w:color w:val="auto"/>
        </w:rPr>
      </w:pPr>
      <w:r>
        <w:rPr>
          <w:rFonts w:ascii="Times New Roman" w:cs="Times New Roman" w:eastAsia="Times New Roman" w:hAnsi="Times New Roman"/>
          <w:sz w:val="13"/>
          <w:szCs w:val="13"/>
          <w:color w:val="auto"/>
        </w:rPr>
        <w:t>In March 2022, PSLF completed a $304.0 million debt securitization in the form of a collateralized loan obligation, or the “2034 Asset-Backed Debt”. The 2034 Asset-Backed Debt is secured by a diversified portfolio of PennantPark CLO IV, LLC., a wholly- 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 As of June 30, 2024 and September 30, 2023, there was $246.0 million of external 2034 Asset-Back Debt.</w:t>
      </w:r>
    </w:p>
    <w:p>
      <w:pPr>
        <w:spacing w:after="0" w:line="132"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On July 26, 2023, CLO VII , LLC ("CLO VII") completed a $300 million debt securitization in the form of a collateralized loan obligation (the "2035 Debt Securitization" or "2035 Asset-Backed Debt"). The 2035 Asset-Backed Debt is secured by a diversified portfolio consisting primarily of middle market loans. The 2035 Debt Securitization was executed through a private placement of: (i) $ 151.0 million Class A-1a Notes maturing 2035, which bear interest at the three- month SOFR plus 2.7%, (ii) $20.0 million Class A-1b Loans 2035, which bear interest at 6.5%, (iii) $ 12.0 million Class A-2 Senior Secured Floating Rate Notes due 2035, which bear interest at the three-month SOFR plus 3.2%, (iv) $21.0 million Class B Senior Secured Floating Rate Notes due 2035, which bear interest at the three -month SOFR plus 4.1%, (v) $24.0 million Class C Secured Deferrable Floating Rate Notes due 2035, which bear interest at the three-month SOFR plus 4.7%, (vi) $18.0 million Class D Secured Deferrable Floating Rate Notes due 2035, which bear interest at the three-month SOFR plus 7.0%. As of June 30, 2024 and September 30, 2023, there was $246.0 million of external 2035 Asset-Backed Debt.</w:t>
      </w:r>
    </w:p>
    <w:p>
      <w:pPr>
        <w:spacing w:after="0" w:line="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Below is a summary of PSLF’s portfolio at fair value: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3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6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thousands)</w:t>
            </w:r>
          </w:p>
        </w:tc>
        <w:tc>
          <w:tcPr>
            <w:tcW w:w="2140" w:type="dxa"/>
            <w:vAlign w:val="bottom"/>
          </w:tcPr>
          <w:p>
            <w:pPr>
              <w:spacing w:after="0"/>
              <w:rPr>
                <w:sz w:val="15"/>
                <w:szCs w:val="15"/>
                <w:color w:val="auto"/>
              </w:rPr>
            </w:pPr>
          </w:p>
        </w:tc>
        <w:tc>
          <w:tcPr>
            <w:tcW w:w="146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20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84"/>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1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926,103</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804,187</w:t>
            </w:r>
          </w:p>
        </w:tc>
        <w:tc>
          <w:tcPr>
            <w:tcW w:w="40" w:type="dxa"/>
            <w:vAlign w:val="bottom"/>
          </w:tcPr>
          <w:p>
            <w:pPr>
              <w:spacing w:after="0"/>
              <w:rPr>
                <w:sz w:val="16"/>
                <w:szCs w:val="16"/>
                <w:color w:val="auto"/>
              </w:rPr>
            </w:pPr>
          </w:p>
        </w:tc>
      </w:tr>
      <w:tr>
        <w:trPr>
          <w:trHeight w:val="176"/>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2140" w:type="dxa"/>
            <w:vAlign w:val="bottom"/>
          </w:tcPr>
          <w:p>
            <w:pPr>
              <w:spacing w:after="0"/>
              <w:rPr>
                <w:sz w:val="15"/>
                <w:szCs w:val="15"/>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11.8 %</w:t>
            </w:r>
          </w:p>
        </w:tc>
        <w:tc>
          <w:tcPr>
            <w:tcW w:w="20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12.1 %</w:t>
            </w:r>
          </w:p>
        </w:tc>
      </w:tr>
      <w:tr>
        <w:trPr>
          <w:trHeight w:val="184"/>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Number of portfolio companies in PSLF</w:t>
            </w:r>
          </w:p>
        </w:tc>
        <w:tc>
          <w:tcPr>
            <w:tcW w:w="2140" w:type="dxa"/>
            <w:vAlign w:val="bottom"/>
            <w:shd w:val="clear" w:color="auto" w:fill="CCECFF"/>
          </w:tcPr>
          <w:p>
            <w:pPr>
              <w:spacing w:after="0"/>
              <w:rPr>
                <w:sz w:val="16"/>
                <w:szCs w:val="16"/>
                <w:color w:val="auto"/>
              </w:rPr>
            </w:pPr>
          </w:p>
        </w:tc>
        <w:tc>
          <w:tcPr>
            <w:tcW w:w="146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101</w:t>
            </w:r>
          </w:p>
        </w:tc>
        <w:tc>
          <w:tcPr>
            <w:tcW w:w="200" w:type="dxa"/>
            <w:vAlign w:val="bottom"/>
            <w:shd w:val="clear" w:color="auto" w:fill="CCECFF"/>
          </w:tcPr>
          <w:p>
            <w:pPr>
              <w:spacing w:after="0"/>
              <w:rPr>
                <w:sz w:val="16"/>
                <w:szCs w:val="16"/>
                <w:color w:val="auto"/>
              </w:rPr>
            </w:pP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90</w:t>
            </w:r>
          </w:p>
        </w:tc>
        <w:tc>
          <w:tcPr>
            <w:tcW w:w="40" w:type="dxa"/>
            <w:vAlign w:val="bottom"/>
          </w:tcPr>
          <w:p>
            <w:pPr>
              <w:spacing w:after="0"/>
              <w:rPr>
                <w:sz w:val="16"/>
                <w:szCs w:val="16"/>
                <w:color w:val="auto"/>
              </w:rPr>
            </w:pPr>
          </w:p>
        </w:tc>
      </w:tr>
      <w:tr>
        <w:trPr>
          <w:trHeight w:val="176"/>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Largest portfolio company investment at fair value</w:t>
            </w:r>
          </w:p>
        </w:tc>
        <w:tc>
          <w:tcPr>
            <w:tcW w:w="21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21,520</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19,737</w:t>
            </w:r>
          </w:p>
        </w:tc>
        <w:tc>
          <w:tcPr>
            <w:tcW w:w="40" w:type="dxa"/>
            <w:vAlign w:val="bottom"/>
          </w:tcPr>
          <w:p>
            <w:pPr>
              <w:spacing w:after="0"/>
              <w:rPr>
                <w:sz w:val="15"/>
                <w:szCs w:val="15"/>
                <w:color w:val="auto"/>
              </w:rPr>
            </w:pPr>
          </w:p>
        </w:tc>
      </w:tr>
      <w:tr>
        <w:trPr>
          <w:trHeight w:val="184"/>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of five largest portfolio company investments at fair value</w:t>
            </w:r>
          </w:p>
        </w:tc>
        <w:tc>
          <w:tcPr>
            <w:tcW w:w="21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100,056</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97,526</w:t>
            </w:r>
          </w:p>
        </w:tc>
        <w:tc>
          <w:tcPr>
            <w:tcW w:w="40" w:type="dxa"/>
            <w:vAlign w:val="bottom"/>
          </w:tcPr>
          <w:p>
            <w:pPr>
              <w:spacing w:after="0"/>
              <w:rPr>
                <w:sz w:val="16"/>
                <w:szCs w:val="16"/>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14" w:right="640" w:bottom="1440" w:gutter="0" w:footer="0" w:header="0"/>
        </w:sectPr>
      </w:pPr>
    </w:p>
    <w:bookmarkStart w:id="52" w:name="page53"/>
    <w:bookmarkEnd w:id="52"/>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June 30, 2024 ($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80" w:type="dxa"/>
            <w:vAlign w:val="bottom"/>
          </w:tcPr>
          <w:p>
            <w:pPr>
              <w:jc w:val="right"/>
              <w:ind w:right="232"/>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80" w:type="dxa"/>
            <w:vAlign w:val="bottom"/>
          </w:tcPr>
          <w:p>
            <w:pPr>
              <w:jc w:val="center"/>
              <w:ind w:right="51"/>
              <w:spacing w:after="0" w:line="145" w:lineRule="exact"/>
              <w:rPr>
                <w:sz w:val="20"/>
                <w:szCs w:val="20"/>
                <w:color w:val="auto"/>
              </w:rPr>
            </w:pPr>
            <w:r>
              <w:rPr>
                <w:rFonts w:ascii="Times New Roman" w:cs="Times New Roman" w:eastAsia="Times New Roman" w:hAnsi="Times New Roman"/>
                <w:sz w:val="13"/>
                <w:szCs w:val="13"/>
                <w:b w:val="1"/>
                <w:bCs w:val="1"/>
                <w:color w:val="auto"/>
                <w:w w:val="99"/>
              </w:rPr>
              <w:t>Spread Above</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230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8"/>
              </w:rPr>
              <w:t xml:space="preserve">Index </w:t>
            </w:r>
            <w:r>
              <w:rPr>
                <w:rFonts w:ascii="Times New Roman" w:cs="Times New Roman" w:eastAsia="Times New Roman" w:hAnsi="Times New Roman"/>
                <w:sz w:val="16"/>
                <w:szCs w:val="16"/>
                <w:b w:val="1"/>
                <w:bCs w:val="1"/>
                <w:color w:val="auto"/>
                <w:w w:val="98"/>
                <w:vertAlign w:val="superscript"/>
              </w:rPr>
              <w:t>1</w:t>
            </w:r>
          </w:p>
        </w:tc>
        <w:tc>
          <w:tcPr>
            <w:tcW w:w="740" w:type="dxa"/>
            <w:vAlign w:val="bottom"/>
          </w:tcPr>
          <w:p>
            <w:pPr>
              <w:jc w:val="right"/>
              <w:ind w:right="312"/>
              <w:spacing w:after="0"/>
              <w:rPr>
                <w:sz w:val="20"/>
                <w:szCs w:val="20"/>
                <w:color w:val="auto"/>
              </w:rPr>
            </w:pPr>
            <w:r>
              <w:rPr>
                <w:rFonts w:ascii="Times New Roman" w:cs="Times New Roman" w:eastAsia="Times New Roman" w:hAnsi="Times New Roman"/>
                <w:sz w:val="13"/>
                <w:szCs w:val="13"/>
                <w:b w:val="1"/>
                <w:bCs w:val="1"/>
                <w:color w:val="auto"/>
              </w:rPr>
              <w:t>Par</w:t>
            </w: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7"/>
                <w:szCs w:val="17"/>
                <w:color w:val="auto"/>
              </w:rPr>
            </w:pP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w w:val="96"/>
              </w:rPr>
              <w:t xml:space="preserve">Fair Value </w:t>
            </w:r>
            <w:r>
              <w:rPr>
                <w:rFonts w:ascii="Times New Roman" w:cs="Times New Roman" w:eastAsia="Times New Roman" w:hAnsi="Times New Roman"/>
                <w:sz w:val="16"/>
                <w:szCs w:val="16"/>
                <w:b w:val="1"/>
                <w:bCs w:val="1"/>
                <w:color w:val="auto"/>
                <w:w w:val="96"/>
                <w:vertAlign w:val="superscript"/>
              </w:rPr>
              <w:t>2</w:t>
            </w:r>
          </w:p>
        </w:tc>
        <w:tc>
          <w:tcPr>
            <w:tcW w:w="0" w:type="dxa"/>
            <w:vAlign w:val="bottom"/>
          </w:tcPr>
          <w:p>
            <w:pPr>
              <w:spacing w:after="0"/>
              <w:rPr>
                <w:sz w:val="1"/>
                <w:szCs w:val="1"/>
                <w:color w:val="auto"/>
              </w:rPr>
            </w:pPr>
          </w:p>
        </w:tc>
      </w:tr>
      <w:tr>
        <w:trPr>
          <w:trHeight w:val="13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- 803.6%</w:t>
            </w:r>
          </w:p>
        </w:tc>
        <w:tc>
          <w:tcPr>
            <w:tcW w:w="10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12/22/28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10.83 %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14,775</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  14,533</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14,775</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10/02/29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10.55 %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SOFR+ 525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6,468</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6,359</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6,273</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08/01/29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10.80 %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15,389</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15,096</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15,512</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AFC - Dell Holding Corp.</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04/09/27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11.75 %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SOFR+ 640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2,282</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2,256</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2,260</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05/07/26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11.60 %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4,850</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4,850</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4,850</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Aeronix, Inc. - Term Loan</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12/18/28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10.83 %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14,925</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14,728</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14,925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11/30/26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Containers, Packaging and Glass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11.43 %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SOFR+ 610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14,725</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14,475</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14,136</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06/10/25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11.73 %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SOFR+ 640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13,849</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13,793</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13,642</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Holdings Inc (fka MeritDirect)</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06/30/26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11.23 %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13,744</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13,673</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13,744</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12/29/26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11.25 %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SOFR+ 590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13,750</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13,623</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13,544</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08/03/29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11.58 %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SOFR+ 625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21,628</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21,323</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21,520</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07/01/29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11.08 %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14,775</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14,554</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14,480</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02/28/30</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11.58 %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SOFR+ 625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6,983</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6,867</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6,930</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01/31/28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11.83 %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SOFR+ 650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8,910</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8,815</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8,799</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09/17/26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11.66 %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SOFR+ 640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19,645</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19,388</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19,517</w:t>
            </w: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BlueHalo Global Holdings,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10/31/25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tcPr>
          <w:p>
            <w:pPr>
              <w:jc w:val="right"/>
              <w:ind w:right="32"/>
              <w:spacing w:after="0" w:line="168" w:lineRule="exact"/>
              <w:rPr>
                <w:sz w:val="20"/>
                <w:szCs w:val="20"/>
                <w:color w:val="auto"/>
              </w:rPr>
            </w:pPr>
            <w:r>
              <w:rPr>
                <w:rFonts w:ascii="Times New Roman" w:cs="Times New Roman" w:eastAsia="Times New Roman" w:hAnsi="Times New Roman"/>
                <w:sz w:val="10"/>
                <w:szCs w:val="10"/>
                <w:color w:val="auto"/>
              </w:rPr>
              <w:t xml:space="preserve">10.09 </w:t>
            </w:r>
            <w:r>
              <w:rPr>
                <w:rFonts w:ascii="Times New Roman" w:cs="Times New Roman" w:eastAsia="Times New Roman" w:hAnsi="Times New Roman"/>
                <w:sz w:val="19"/>
                <w:szCs w:val="19"/>
                <w:color w:val="auto"/>
                <w:vertAlign w:val="subscript"/>
              </w:rPr>
              <w:t>%</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SOFR+ 475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12,228</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12,158</w:t>
            </w:r>
          </w:p>
        </w:tc>
        <w:tc>
          <w:tcPr>
            <w:tcW w:w="180" w:type="dxa"/>
            <w:vAlign w:val="bottom"/>
          </w:tcPr>
          <w:p>
            <w:pPr>
              <w:spacing w:after="0"/>
              <w:rPr>
                <w:sz w:val="14"/>
                <w:szCs w:val="14"/>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12,045</w:t>
            </w: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12/04/25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11.60 %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SOFR+ 626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9,438</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9,438</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9,438</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09/26/29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10.69 %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SOFR+ 535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887</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834</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857</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Carisk Buyer, Inc.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11/30/29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11.08 %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5,486</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5,412</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5,459</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02/07/30</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10.84 %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9,975</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9,835</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9,825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06/14/28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11.08 %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17,150</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16,910</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17,150</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08/20/26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11.54 %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SOFR+ 619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2,899</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2,883</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2,855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07/13/27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11.11 %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SOFR+ 576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8,739</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8,726</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8,564</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08/16/27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SOFR+ 501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2,555</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2,535</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2,549</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08/31/27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11.18 %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10,615</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10,578</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10,615</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12/21/28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10.69 %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SOFR+ 535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5,845</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5,420</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5,604</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11/03/25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11.73 %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SOFR+ 640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14,049</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14,025</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13,993</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01/10/29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11.08 %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6,172</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6,110</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6,079</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05/29/29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11.85 %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12,280</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12,074</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12,402</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03/15/27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11.69 %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SOFR+ 625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9,676</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9,574</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9,603</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06/17/28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SOFR+ 475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3,491</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3,413</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3,494</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02/23/28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12.47 %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SOFR+ 700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4,274</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4,204</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4,242</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03/16/26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11.48 %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SOFR+ 610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6,971</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6,958</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6,622</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08/10/27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10.93 %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SOFR+ 560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3,126</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3,087</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3,095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12/31/26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10.93 %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6,146</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5,777</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11/08/29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11.33 %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SOFR+ 600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14,328</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14,139</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14,185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12/17/26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11.73 %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SOFR+ 615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14,987</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14,851</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14,313</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05/10/26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11.70 %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SOFR+ 640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18,451</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18,380</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18,451</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09/22/28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11.43 %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4,394</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4,330</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4,317</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11/15/27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10.43 %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SOFR+ 510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5,523</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5,451</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5,495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12/28/28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12.18 %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SOFR+ 685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10,969</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10,807</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10,969</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11/01/26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10.83 %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10,902</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10,838</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10,793</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08/27/26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11.50 %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SOFR+ 605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19,571</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19,527</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19,473</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06/30/25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12.96 %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SOFR+ 761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13,117</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12,961</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12,855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11/10/27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11.48 %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SOFR+ 615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13,701</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13,510</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13,701</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10/31/25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 Entertainment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11.72 %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SOFR+ 640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4,625</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4,615</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4,569</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02/18/27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8.06 %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SOFR+ 275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20,184</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20,069</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19,982</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02/03/26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10.69 %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SOFR+ 535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12,123</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12,011</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12,123</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01/31/30</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11.74 %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SOFR+ 625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6,271</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6,165</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6,271</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04/01/27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10.93 %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7,539</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7,173</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7,275</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07/31/28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10.59 %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SOFR+ 526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3,756</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3,552</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2,072</w:t>
            </w:r>
          </w:p>
        </w:tc>
        <w:tc>
          <w:tcPr>
            <w:tcW w:w="0" w:type="dxa"/>
            <w:vAlign w:val="bottom"/>
          </w:tcPr>
          <w:p>
            <w:pPr>
              <w:spacing w:after="0"/>
              <w:rPr>
                <w:sz w:val="1"/>
                <w:szCs w:val="1"/>
                <w:color w:val="auto"/>
              </w:rPr>
            </w:pPr>
          </w:p>
        </w:tc>
      </w:tr>
      <w:tr>
        <w:trPr>
          <w:trHeight w:val="136"/>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1000" w:type="dxa"/>
            <w:vAlign w:val="bottom"/>
            <w:vMerge w:val="restart"/>
          </w:tcPr>
          <w:p>
            <w:pPr>
              <w:jc w:val="center"/>
              <w:ind w:left="172"/>
              <w:spacing w:after="0"/>
              <w:rPr>
                <w:sz w:val="20"/>
                <w:szCs w:val="20"/>
                <w:color w:val="auto"/>
              </w:rPr>
            </w:pPr>
            <w:r>
              <w:rPr>
                <w:rFonts w:ascii="Times New Roman" w:cs="Times New Roman" w:eastAsia="Times New Roman" w:hAnsi="Times New Roman"/>
                <w:sz w:val="10"/>
                <w:szCs w:val="10"/>
                <w:color w:val="auto"/>
                <w:w w:val="95"/>
              </w:rPr>
              <w:t>05/14/26</w:t>
            </w: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10.98 %</w:t>
            </w:r>
          </w:p>
        </w:tc>
        <w:tc>
          <w:tcPr>
            <w:tcW w:w="1080" w:type="dxa"/>
            <w:vAlign w:val="bottom"/>
            <w:vMerge w:val="restart"/>
          </w:tcPr>
          <w:p>
            <w:pPr>
              <w:ind w:left="440"/>
              <w:spacing w:after="0"/>
              <w:rPr>
                <w:sz w:val="20"/>
                <w:szCs w:val="20"/>
                <w:color w:val="auto"/>
              </w:rPr>
            </w:pPr>
            <w:r>
              <w:rPr>
                <w:rFonts w:ascii="Times New Roman" w:cs="Times New Roman" w:eastAsia="Times New Roman" w:hAnsi="Times New Roman"/>
                <w:sz w:val="10"/>
                <w:szCs w:val="10"/>
                <w:color w:val="auto"/>
              </w:rPr>
              <w:t>SOFR+ 565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10,802</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10,746</w:t>
            </w:r>
          </w:p>
        </w:tc>
        <w:tc>
          <w:tcPr>
            <w:tcW w:w="180" w:type="dxa"/>
            <w:vAlign w:val="bottom"/>
          </w:tcPr>
          <w:p>
            <w:pPr>
              <w:spacing w:after="0"/>
              <w:rPr>
                <w:sz w:val="11"/>
                <w:szCs w:val="11"/>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10,802</w:t>
            </w:r>
          </w:p>
        </w:tc>
        <w:tc>
          <w:tcPr>
            <w:tcW w:w="0" w:type="dxa"/>
            <w:vAlign w:val="bottom"/>
          </w:tcPr>
          <w:p>
            <w:pPr>
              <w:spacing w:after="0"/>
              <w:rPr>
                <w:sz w:val="1"/>
                <w:szCs w:val="1"/>
                <w:color w:val="auto"/>
              </w:rPr>
            </w:pPr>
          </w:p>
        </w:tc>
      </w:tr>
      <w:tr>
        <w:trPr>
          <w:trHeight w:val="76"/>
        </w:trPr>
        <w:tc>
          <w:tcPr>
            <w:tcW w:w="29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23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04/16/27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11.27 %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SOFR+ 585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8,352</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8,274</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8,360</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12/10/27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11.23 %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2,930</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2,889</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2,857</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10/20/28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11.58 %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SOFR+ 625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9,950</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9,796</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9,950</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03/01/30</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10.58 %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SOFR+ 525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8,000</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7,887</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8,000</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MOREgroup Holdings,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01/16/30</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11.08 %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7,481</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7,379</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7,406</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10/01/27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10.49 %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SOFR+ 515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5,928</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5,833</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5,928</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08/19/26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11.18 %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7,372</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7,327</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7,004</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08/31/29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11.68 %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SOFR+ 635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14,888</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14,625</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14,888</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12/29/29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10.83 %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3,491</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3,443</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3,439</w:t>
            </w:r>
          </w:p>
        </w:tc>
        <w:tc>
          <w:tcPr>
            <w:tcW w:w="0" w:type="dxa"/>
            <w:vAlign w:val="bottom"/>
          </w:tcPr>
          <w:p>
            <w:pPr>
              <w:spacing w:after="0"/>
              <w:rPr>
                <w:sz w:val="1"/>
                <w:szCs w:val="1"/>
                <w:color w:val="auto"/>
              </w:rPr>
            </w:pPr>
          </w:p>
        </w:tc>
      </w:tr>
      <w:tr>
        <w:trPr>
          <w:trHeight w:val="164"/>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05/07/27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11.71 %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SOFR+ 636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8,403</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8,271</w:t>
            </w:r>
          </w:p>
        </w:tc>
        <w:tc>
          <w:tcPr>
            <w:tcW w:w="180" w:type="dxa"/>
            <w:vAlign w:val="bottom"/>
          </w:tcPr>
          <w:p>
            <w:pPr>
              <w:spacing w:after="0"/>
              <w:rPr>
                <w:sz w:val="14"/>
                <w:szCs w:val="14"/>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8,403</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02/04/28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10.69 %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SOFR+ 535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3,893</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3,807</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05/18/26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11.85 %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SOFR+ 651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4,340</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4,304</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4,340</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03/01/30</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11.10 %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5,826</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5,745</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5,768</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11/09/27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12.44 %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SOFR+ 710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8,143</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8,047</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6,514</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10/02/28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11.26 %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12,935</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12,705</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13,013</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05/08/26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10.96 %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SOFR+ 565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2,529</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2,477</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2,491</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11/19/26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11.68 %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SOFR+ 635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3,288</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3,251</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3,255</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03/31/25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11.38 %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SOFR+ 575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12,599</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12,567</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12,347</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12/18/25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10.92 %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5,560</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5,560</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5,560</w:t>
            </w: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04/28/28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11.48 %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SOFR+ 615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4,962</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4,910</w:t>
            </w:r>
          </w:p>
        </w:tc>
        <w:tc>
          <w:tcPr>
            <w:tcW w:w="18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3,970</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01/29/26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12.49 %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SOFR+ 715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9,675</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9,609</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9,530</w:t>
            </w:r>
          </w:p>
        </w:tc>
        <w:tc>
          <w:tcPr>
            <w:tcW w:w="0" w:type="dxa"/>
            <w:vAlign w:val="bottom"/>
          </w:tcPr>
          <w:p>
            <w:pPr>
              <w:spacing w:after="0"/>
              <w:rPr>
                <w:sz w:val="1"/>
                <w:szCs w:val="1"/>
                <w:color w:val="auto"/>
              </w:rPr>
            </w:pPr>
          </w:p>
        </w:tc>
      </w:tr>
      <w:tr>
        <w:trPr>
          <w:trHeight w:val="228"/>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Research Now Group, LLC and Dynata, LLC </w:t>
            </w:r>
            <w:r>
              <w:rPr>
                <w:rFonts w:ascii="Times New Roman" w:cs="Times New Roman" w:eastAsia="Times New Roman" w:hAnsi="Times New Roman"/>
                <w:sz w:val="12"/>
                <w:szCs w:val="12"/>
                <w:color w:val="auto"/>
                <w:vertAlign w:val="superscript"/>
              </w:rPr>
              <w:t>3</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12/20/24</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 xml:space="preserve">0.00 </w:t>
            </w:r>
            <w:r>
              <w:rPr>
                <w:rFonts w:ascii="Times New Roman" w:cs="Times New Roman" w:eastAsia="Times New Roman" w:hAnsi="Times New Roman"/>
                <w:sz w:val="19"/>
                <w:szCs w:val="19"/>
                <w:color w:val="auto"/>
                <w:vertAlign w:val="subscript"/>
              </w:rPr>
              <w:t>%</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SOFR+ 576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14,351</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14,318</w:t>
            </w:r>
          </w:p>
        </w:tc>
        <w:tc>
          <w:tcPr>
            <w:tcW w:w="18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12,198</w:t>
            </w:r>
          </w:p>
        </w:tc>
        <w:tc>
          <w:tcPr>
            <w:tcW w:w="0" w:type="dxa"/>
            <w:vAlign w:val="bottom"/>
          </w:tcPr>
          <w:p>
            <w:pPr>
              <w:spacing w:after="0"/>
              <w:rPr>
                <w:sz w:val="1"/>
                <w:szCs w:val="1"/>
                <w:color w:val="auto"/>
              </w:rPr>
            </w:pPr>
          </w:p>
        </w:tc>
      </w:tr>
      <w:tr>
        <w:trPr>
          <w:trHeight w:val="144"/>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LLC-DIP</w:t>
            </w:r>
          </w:p>
        </w:tc>
        <w:tc>
          <w:tcPr>
            <w:tcW w:w="100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5"/>
              </w:rPr>
              <w:t>08/06/24</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14.21 %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SOFR+ 886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617</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570</w:t>
            </w:r>
          </w:p>
        </w:tc>
        <w:tc>
          <w:tcPr>
            <w:tcW w:w="18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617</w:t>
            </w:r>
          </w:p>
        </w:tc>
        <w:tc>
          <w:tcPr>
            <w:tcW w:w="0" w:type="dxa"/>
            <w:vAlign w:val="bottom"/>
          </w:tcPr>
          <w:p>
            <w:pPr>
              <w:spacing w:after="0"/>
              <w:rPr>
                <w:sz w:val="1"/>
                <w:szCs w:val="1"/>
                <w:color w:val="auto"/>
              </w:rPr>
            </w:pPr>
          </w:p>
        </w:tc>
      </w:tr>
      <w:tr>
        <w:trPr>
          <w:trHeight w:val="136"/>
        </w:trPr>
        <w:tc>
          <w:tcPr>
            <w:tcW w:w="2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100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5"/>
              </w:rPr>
              <w:t>06/21/25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10.78 %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3,942</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3,925</w:t>
            </w:r>
          </w:p>
        </w:tc>
        <w:tc>
          <w:tcPr>
            <w:tcW w:w="180" w:type="dxa"/>
            <w:vAlign w:val="bottom"/>
          </w:tcPr>
          <w:p>
            <w:pPr>
              <w:spacing w:after="0"/>
              <w:rPr>
                <w:sz w:val="11"/>
                <w:szCs w:val="11"/>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4" w:right="68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56"/>
        </w:trPr>
        <w:tc>
          <w:tcPr>
            <w:tcW w:w="2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80" w:type="dxa"/>
            <w:vAlign w:val="bottom"/>
          </w:tcPr>
          <w:p>
            <w:pPr>
              <w:jc w:val="right"/>
              <w:ind w:right="23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80" w:type="dxa"/>
            <w:vAlign w:val="bottom"/>
          </w:tcPr>
          <w:p>
            <w:pPr>
              <w:jc w:val="center"/>
              <w:ind w:right="50"/>
              <w:spacing w:after="0" w:line="145" w:lineRule="exact"/>
              <w:rPr>
                <w:sz w:val="20"/>
                <w:szCs w:val="20"/>
                <w:color w:val="auto"/>
              </w:rPr>
            </w:pPr>
            <w:r>
              <w:rPr>
                <w:rFonts w:ascii="Times New Roman" w:cs="Times New Roman" w:eastAsia="Times New Roman" w:hAnsi="Times New Roman"/>
                <w:sz w:val="13"/>
                <w:szCs w:val="13"/>
                <w:b w:val="1"/>
                <w:bCs w:val="1"/>
                <w:color w:val="auto"/>
                <w:w w:val="99"/>
              </w:rPr>
              <w:t>Spread Above</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2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8"/>
              </w:rPr>
              <w:t xml:space="preserve">Index </w:t>
            </w:r>
            <w:r>
              <w:rPr>
                <w:rFonts w:ascii="Times New Roman" w:cs="Times New Roman" w:eastAsia="Times New Roman" w:hAnsi="Times New Roman"/>
                <w:sz w:val="16"/>
                <w:szCs w:val="16"/>
                <w:b w:val="1"/>
                <w:bCs w:val="1"/>
                <w:color w:val="auto"/>
                <w:w w:val="98"/>
                <w:vertAlign w:val="superscript"/>
              </w:rPr>
              <w:t>1</w:t>
            </w:r>
          </w:p>
        </w:tc>
        <w:tc>
          <w:tcPr>
            <w:tcW w:w="840" w:type="dxa"/>
            <w:vAlign w:val="bottom"/>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Par</w:t>
            </w:r>
          </w:p>
        </w:tc>
        <w:tc>
          <w:tcPr>
            <w:tcW w:w="60" w:type="dxa"/>
            <w:vAlign w:val="bottom"/>
          </w:tcPr>
          <w:p>
            <w:pPr>
              <w:spacing w:after="0"/>
              <w:rPr>
                <w:sz w:val="16"/>
                <w:szCs w:val="16"/>
                <w:color w:val="auto"/>
              </w:rPr>
            </w:pP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6"/>
              </w:rPr>
              <w:t xml:space="preserve">Fair Value </w:t>
            </w:r>
            <w:r>
              <w:rPr>
                <w:rFonts w:ascii="Times New Roman" w:cs="Times New Roman" w:eastAsia="Times New Roman" w:hAnsi="Times New Roman"/>
                <w:sz w:val="16"/>
                <w:szCs w:val="16"/>
                <w:b w:val="1"/>
                <w:bCs w:val="1"/>
                <w:color w:val="auto"/>
                <w:w w:val="96"/>
                <w:vertAlign w:val="superscript"/>
              </w:rPr>
              <w:t>2</w:t>
            </w:r>
          </w:p>
        </w:tc>
        <w:tc>
          <w:tcPr>
            <w:tcW w:w="0" w:type="dxa"/>
            <w:vAlign w:val="bottom"/>
          </w:tcPr>
          <w:p>
            <w:pPr>
              <w:spacing w:after="0"/>
              <w:rPr>
                <w:sz w:val="1"/>
                <w:szCs w:val="1"/>
                <w:color w:val="auto"/>
              </w:rPr>
            </w:pPr>
          </w:p>
        </w:tc>
      </w:tr>
      <w:tr>
        <w:trPr>
          <w:trHeight w:val="144"/>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06/16/29</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11.02 %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SOFR+ 575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4,347</w:t>
            </w:r>
          </w:p>
        </w:tc>
        <w:tc>
          <w:tcPr>
            <w:tcW w:w="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4,276</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4,303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S101 Holdings Inc.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12/29/26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11.45 %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SOFR+ 615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4,218</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4,156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01/03/25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11.53 %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SOFR+ 620</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6,676</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6,660</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6,676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12/20/24</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11.92 %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SOFR+ 650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4,675</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4,675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06/13/29</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11.48 %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SOFR+ 615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14,738</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14,540</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14,259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12/18/27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12.49 %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SOFR+ 715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14,687</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14,518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12/02/26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11.71 %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SOFR+ 640</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11,387</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11,220</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11,274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05/17/28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9.96 %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SOFR+ 450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1,294</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11/23/28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11.33 %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SOFR+ 600</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19,564</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19,274</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19,564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07/17/25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12.48 %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SOFR+ 700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9,239</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03/01/28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10.98 %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SOFR+ 565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9,534</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9,314</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9,534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11/24/28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9.60 %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SOFR+ 425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3,554</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1040" w:type="dxa"/>
            <w:vAlign w:val="bottom"/>
            <w:shd w:val="clear" w:color="auto" w:fill="CCECFF"/>
          </w:tcPr>
          <w:p>
            <w:pPr>
              <w:spacing w:after="0"/>
              <w:rPr>
                <w:sz w:val="11"/>
                <w:szCs w:val="11"/>
                <w:color w:val="auto"/>
              </w:rPr>
            </w:pPr>
          </w:p>
        </w:tc>
        <w:tc>
          <w:tcPr>
            <w:tcW w:w="210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10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08/16/27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11.16 %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SOFR+ 575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15,844</w:t>
            </w:r>
          </w:p>
        </w:tc>
        <w:tc>
          <w:tcPr>
            <w:tcW w:w="60" w:type="dxa"/>
            <w:vAlign w:val="bottom"/>
            <w:shd w:val="clear" w:color="auto" w:fill="CCECFF"/>
          </w:tcPr>
          <w:p>
            <w:pPr>
              <w:spacing w:after="0"/>
              <w:rPr>
                <w:sz w:val="11"/>
                <w:szCs w:val="11"/>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15,624</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15,844</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01/23/29</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11.84 %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SOFR+ 650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9,975</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9,819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11/24/28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10.50 %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SOFR+ 515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2,668</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2,581</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2,659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03/13/31</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10.09 %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SOFR+ 475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2,993</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2,963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1040" w:type="dxa"/>
            <w:vAlign w:val="bottom"/>
            <w:vMerge w:val="restart"/>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07/27/26</w:t>
            </w:r>
          </w:p>
        </w:tc>
        <w:tc>
          <w:tcPr>
            <w:tcW w:w="210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vMerge w:val="restart"/>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11.98 %</w:t>
            </w:r>
          </w:p>
        </w:tc>
        <w:tc>
          <w:tcPr>
            <w:tcW w:w="1080" w:type="dxa"/>
            <w:vAlign w:val="bottom"/>
            <w:vMerge w:val="restart"/>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SOFR+ 665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11,933</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11,889</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11,933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980" w:type="dxa"/>
            <w:vAlign w:val="bottom"/>
            <w:vMerge w:val="continue"/>
            <w:shd w:val="clear" w:color="auto" w:fill="CCECFF"/>
          </w:tcPr>
          <w:p>
            <w:pPr>
              <w:spacing w:after="0"/>
              <w:rPr>
                <w:sz w:val="5"/>
                <w:szCs w:val="5"/>
                <w:color w:val="auto"/>
              </w:rPr>
            </w:pPr>
          </w:p>
        </w:tc>
        <w:tc>
          <w:tcPr>
            <w:tcW w:w="1040" w:type="dxa"/>
            <w:vAlign w:val="bottom"/>
            <w:vMerge w:val="continue"/>
            <w:shd w:val="clear" w:color="auto" w:fill="CCECFF"/>
          </w:tcPr>
          <w:p>
            <w:pPr>
              <w:spacing w:after="0"/>
              <w:rPr>
                <w:sz w:val="5"/>
                <w:szCs w:val="5"/>
                <w:color w:val="auto"/>
              </w:rPr>
            </w:pPr>
          </w:p>
        </w:tc>
        <w:tc>
          <w:tcPr>
            <w:tcW w:w="2100" w:type="dxa"/>
            <w:vAlign w:val="bottom"/>
            <w:vMerge w:val="continue"/>
            <w:shd w:val="clear" w:color="auto" w:fill="CCECFF"/>
          </w:tcPr>
          <w:p>
            <w:pPr>
              <w:spacing w:after="0"/>
              <w:rPr>
                <w:sz w:val="5"/>
                <w:szCs w:val="5"/>
                <w:color w:val="auto"/>
              </w:rPr>
            </w:pPr>
          </w:p>
        </w:tc>
        <w:tc>
          <w:tcPr>
            <w:tcW w:w="980" w:type="dxa"/>
            <w:vAlign w:val="bottom"/>
            <w:vMerge w:val="continue"/>
            <w:shd w:val="clear" w:color="auto" w:fill="CCECFF"/>
          </w:tcPr>
          <w:p>
            <w:pPr>
              <w:spacing w:after="0"/>
              <w:rPr>
                <w:sz w:val="5"/>
                <w:szCs w:val="5"/>
                <w:color w:val="auto"/>
              </w:rPr>
            </w:pPr>
          </w:p>
        </w:tc>
        <w:tc>
          <w:tcPr>
            <w:tcW w:w="1080" w:type="dxa"/>
            <w:vAlign w:val="bottom"/>
            <w:vMerge w:val="continue"/>
            <w:shd w:val="clear" w:color="auto" w:fill="CCECFF"/>
          </w:tcPr>
          <w:p>
            <w:pPr>
              <w:spacing w:after="0"/>
              <w:rPr>
                <w:sz w:val="5"/>
                <w:szCs w:val="5"/>
                <w:color w:val="auto"/>
              </w:rPr>
            </w:pPr>
          </w:p>
        </w:tc>
        <w:tc>
          <w:tcPr>
            <w:tcW w:w="840" w:type="dxa"/>
            <w:vAlign w:val="bottom"/>
            <w:shd w:val="clear" w:color="auto" w:fill="CCECFF"/>
          </w:tcPr>
          <w:p>
            <w:pPr>
              <w:spacing w:after="0"/>
              <w:rPr>
                <w:sz w:val="5"/>
                <w:szCs w:val="5"/>
                <w:color w:val="auto"/>
              </w:rPr>
            </w:pPr>
          </w:p>
        </w:tc>
        <w:tc>
          <w:tcPr>
            <w:tcW w:w="60" w:type="dxa"/>
            <w:vAlign w:val="bottom"/>
            <w:shd w:val="clear" w:color="auto" w:fill="CCECFF"/>
          </w:tcPr>
          <w:p>
            <w:pPr>
              <w:spacing w:after="0"/>
              <w:rPr>
                <w:sz w:val="5"/>
                <w:szCs w:val="5"/>
                <w:color w:val="auto"/>
              </w:rPr>
            </w:pPr>
          </w:p>
        </w:tc>
        <w:tc>
          <w:tcPr>
            <w:tcW w:w="340" w:type="dxa"/>
            <w:vAlign w:val="bottom"/>
            <w:shd w:val="clear" w:color="auto" w:fill="CCECFF"/>
          </w:tcPr>
          <w:p>
            <w:pPr>
              <w:spacing w:after="0"/>
              <w:rPr>
                <w:sz w:val="5"/>
                <w:szCs w:val="5"/>
                <w:color w:val="auto"/>
              </w:rPr>
            </w:pPr>
          </w:p>
        </w:tc>
        <w:tc>
          <w:tcPr>
            <w:tcW w:w="200" w:type="dxa"/>
            <w:vAlign w:val="bottom"/>
            <w:shd w:val="clear" w:color="auto" w:fill="CCECFF"/>
          </w:tcPr>
          <w:p>
            <w:pPr>
              <w:spacing w:after="0"/>
              <w:rPr>
                <w:sz w:val="5"/>
                <w:szCs w:val="5"/>
                <w:color w:val="auto"/>
              </w:rPr>
            </w:pPr>
          </w:p>
        </w:tc>
        <w:tc>
          <w:tcPr>
            <w:tcW w:w="80" w:type="dxa"/>
            <w:vAlign w:val="bottom"/>
            <w:shd w:val="clear" w:color="auto" w:fill="CCECFF"/>
          </w:tcPr>
          <w:p>
            <w:pPr>
              <w:spacing w:after="0"/>
              <w:rPr>
                <w:sz w:val="5"/>
                <w:szCs w:val="5"/>
                <w:color w:val="auto"/>
              </w:rPr>
            </w:pPr>
          </w:p>
        </w:tc>
        <w:tc>
          <w:tcPr>
            <w:tcW w:w="780" w:type="dxa"/>
            <w:vAlign w:val="bottom"/>
            <w:shd w:val="clear" w:color="auto" w:fill="CCECFF"/>
          </w:tcPr>
          <w:p>
            <w:pPr>
              <w:spacing w:after="0"/>
              <w:rPr>
                <w:sz w:val="5"/>
                <w:szCs w:val="5"/>
                <w:color w:val="auto"/>
              </w:rPr>
            </w:pPr>
          </w:p>
        </w:tc>
        <w:tc>
          <w:tcPr>
            <w:tcW w:w="8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08/31/27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11.48 %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SOFR+ 610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7,631</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7,552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US Parent, LLC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11/24/25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10.95 %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SOFR+ 550</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5,437</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5,369</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5,437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12/29/28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11.34 %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SOFR+ 600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14,952</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14,742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06/06/25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11.74 %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SOFR+ 625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3,628</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3,624</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3,628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04/03/28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10.95 %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SOFR+ 550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11,393</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11,305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06/15/26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11.76 %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SOFR+ 625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3,831</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3,780</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3,804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12/01/29</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11.33 %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SOFR+ 600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8,978</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8,843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10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02/27/27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11.08 %</w:t>
            </w:r>
          </w:p>
        </w:tc>
        <w:tc>
          <w:tcPr>
            <w:tcW w:w="108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0"/>
                <w:szCs w:val="10"/>
                <w:color w:val="auto"/>
              </w:rPr>
              <w:t>SOFR+ 575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19,305</w:t>
            </w: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19,162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19,305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12/31/24</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12.69 %</w:t>
            </w:r>
          </w:p>
        </w:tc>
        <w:tc>
          <w:tcPr>
            <w:tcW w:w="108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SOFR+ 725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19,736</w:t>
            </w: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19,645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9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210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108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78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930,70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926,103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- 803.6%</w:t>
            </w:r>
          </w:p>
        </w:tc>
        <w:tc>
          <w:tcPr>
            <w:tcW w:w="1040" w:type="dxa"/>
            <w:vAlign w:val="bottom"/>
            <w:shd w:val="clear" w:color="auto" w:fill="CCECFF"/>
          </w:tcPr>
          <w:p>
            <w:pPr>
              <w:spacing w:after="0"/>
              <w:rPr>
                <w:sz w:val="16"/>
                <w:szCs w:val="16"/>
                <w:color w:val="auto"/>
              </w:rPr>
            </w:pPr>
          </w:p>
        </w:tc>
        <w:tc>
          <w:tcPr>
            <w:tcW w:w="210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108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78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- 38.8%</w:t>
            </w:r>
          </w:p>
        </w:tc>
        <w:tc>
          <w:tcPr>
            <w:tcW w:w="10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1040" w:type="dxa"/>
            <w:vAlign w:val="bottom"/>
            <w:shd w:val="clear" w:color="auto" w:fill="CCECFF"/>
          </w:tcPr>
          <w:p>
            <w:pPr>
              <w:spacing w:after="0"/>
              <w:rPr>
                <w:sz w:val="16"/>
                <w:szCs w:val="16"/>
                <w:color w:val="auto"/>
              </w:rPr>
            </w:pPr>
          </w:p>
        </w:tc>
        <w:tc>
          <w:tcPr>
            <w:tcW w:w="210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108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44,765</w:t>
            </w:r>
          </w:p>
        </w:tc>
        <w:tc>
          <w:tcPr>
            <w:tcW w:w="2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44,765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0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44,765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44,765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980" w:type="dxa"/>
            <w:vAlign w:val="bottom"/>
            <w:shd w:val="clear" w:color="auto" w:fill="CCECFF"/>
          </w:tcPr>
          <w:p>
            <w:pPr>
              <w:spacing w:after="0"/>
              <w:rPr>
                <w:sz w:val="11"/>
                <w:szCs w:val="11"/>
                <w:color w:val="auto"/>
              </w:rPr>
            </w:pPr>
          </w:p>
        </w:tc>
        <w:tc>
          <w:tcPr>
            <w:tcW w:w="1040" w:type="dxa"/>
            <w:vAlign w:val="bottom"/>
            <w:shd w:val="clear" w:color="auto" w:fill="CCECFF"/>
          </w:tcPr>
          <w:p>
            <w:pPr>
              <w:spacing w:after="0"/>
              <w:rPr>
                <w:sz w:val="11"/>
                <w:szCs w:val="11"/>
                <w:color w:val="auto"/>
              </w:rPr>
            </w:pPr>
          </w:p>
        </w:tc>
        <w:tc>
          <w:tcPr>
            <w:tcW w:w="210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10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975,46</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98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- 842.5)%</w:t>
            </w:r>
          </w:p>
        </w:tc>
        <w:tc>
          <w:tcPr>
            <w:tcW w:w="1040" w:type="dxa"/>
            <w:vAlign w:val="bottom"/>
            <w:tcBorders>
              <w:bottom w:val="single" w:sz="8" w:color="CCECFF"/>
            </w:tcBorders>
            <w:shd w:val="clear" w:color="auto" w:fill="CCECFF"/>
          </w:tcPr>
          <w:p>
            <w:pPr>
              <w:spacing w:after="0"/>
              <w:rPr>
                <w:sz w:val="14"/>
                <w:szCs w:val="14"/>
                <w:color w:val="auto"/>
              </w:rPr>
            </w:pPr>
          </w:p>
        </w:tc>
        <w:tc>
          <w:tcPr>
            <w:tcW w:w="2100" w:type="dxa"/>
            <w:vAlign w:val="bottom"/>
            <w:tcBorders>
              <w:bottom w:val="single" w:sz="8" w:color="CCECFF"/>
            </w:tcBorders>
            <w:shd w:val="clear" w:color="auto" w:fill="CCECFF"/>
          </w:tcPr>
          <w:p>
            <w:pPr>
              <w:spacing w:after="0"/>
              <w:rPr>
                <w:sz w:val="14"/>
                <w:szCs w:val="14"/>
                <w:color w:val="auto"/>
              </w:rPr>
            </w:pPr>
          </w:p>
        </w:tc>
        <w:tc>
          <w:tcPr>
            <w:tcW w:w="980" w:type="dxa"/>
            <w:vAlign w:val="bottom"/>
            <w:tcBorders>
              <w:bottom w:val="single" w:sz="8" w:color="CCECFF"/>
            </w:tcBorders>
            <w:shd w:val="clear" w:color="auto" w:fill="CCECFF"/>
          </w:tcPr>
          <w:p>
            <w:pPr>
              <w:spacing w:after="0"/>
              <w:rPr>
                <w:sz w:val="14"/>
                <w:szCs w:val="14"/>
                <w:color w:val="auto"/>
              </w:rPr>
            </w:pPr>
          </w:p>
        </w:tc>
        <w:tc>
          <w:tcPr>
            <w:tcW w:w="1080" w:type="dxa"/>
            <w:vAlign w:val="bottom"/>
            <w:tcBorders>
              <w:bottom w:val="single" w:sz="8" w:color="CCECFF"/>
            </w:tcBorders>
            <w:shd w:val="clear" w:color="auto" w:fill="CCECFF"/>
          </w:tcPr>
          <w:p>
            <w:pPr>
              <w:spacing w:after="0"/>
              <w:rPr>
                <w:sz w:val="14"/>
                <w:szCs w:val="14"/>
                <w:color w:val="auto"/>
              </w:rPr>
            </w:pPr>
          </w:p>
        </w:tc>
        <w:tc>
          <w:tcPr>
            <w:tcW w:w="840" w:type="dxa"/>
            <w:vAlign w:val="bottom"/>
            <w:tcBorders>
              <w:bottom w:val="single" w:sz="8" w:color="CCECFF"/>
            </w:tcBorders>
            <w:shd w:val="clear" w:color="auto" w:fill="CCECFF"/>
          </w:tcPr>
          <w:p>
            <w:pPr>
              <w:spacing w:after="0"/>
              <w:rPr>
                <w:sz w:val="14"/>
                <w:szCs w:val="14"/>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200" w:type="dxa"/>
            <w:vAlign w:val="bottom"/>
            <w:tcBorders>
              <w:bottom w:val="single" w:sz="8" w:color="CCECFF"/>
            </w:tcBorders>
            <w:shd w:val="clear" w:color="auto" w:fill="CCECFF"/>
          </w:tcPr>
          <w:p>
            <w:pPr>
              <w:spacing w:after="0"/>
              <w:rPr>
                <w:sz w:val="14"/>
                <w:szCs w:val="14"/>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970,868</w:t>
            </w:r>
          </w:p>
        </w:tc>
        <w:tc>
          <w:tcPr>
            <w:tcW w:w="8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(716.9)%</w:t>
            </w:r>
          </w:p>
        </w:tc>
        <w:tc>
          <w:tcPr>
            <w:tcW w:w="10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(855,630 )</w:t>
            </w:r>
          </w:p>
        </w:tc>
        <w:tc>
          <w:tcPr>
            <w:tcW w:w="0" w:type="dxa"/>
            <w:vAlign w:val="bottom"/>
          </w:tcPr>
          <w:p>
            <w:pPr>
              <w:spacing w:after="0"/>
              <w:rPr>
                <w:sz w:val="1"/>
                <w:szCs w:val="1"/>
                <w:color w:val="auto"/>
              </w:rPr>
            </w:pPr>
          </w:p>
        </w:tc>
      </w:tr>
      <w:tr>
        <w:trPr>
          <w:trHeight w:val="188"/>
        </w:trPr>
        <w:tc>
          <w:tcPr>
            <w:tcW w:w="2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1040" w:type="dxa"/>
            <w:vAlign w:val="bottom"/>
            <w:tcBorders>
              <w:bottom w:val="single" w:sz="8" w:color="CCECFF"/>
            </w:tcBorders>
            <w:shd w:val="clear" w:color="auto" w:fill="CCECFF"/>
          </w:tcPr>
          <w:p>
            <w:pPr>
              <w:spacing w:after="0"/>
              <w:rPr>
                <w:sz w:val="16"/>
                <w:szCs w:val="16"/>
                <w:color w:val="auto"/>
              </w:rPr>
            </w:pPr>
          </w:p>
        </w:tc>
        <w:tc>
          <w:tcPr>
            <w:tcW w:w="2100" w:type="dxa"/>
            <w:vAlign w:val="bottom"/>
            <w:tcBorders>
              <w:bottom w:val="single" w:sz="8" w:color="CCECFF"/>
            </w:tcBorders>
            <w:shd w:val="clear" w:color="auto" w:fill="CCECFF"/>
          </w:tcPr>
          <w:p>
            <w:pPr>
              <w:spacing w:after="0"/>
              <w:rPr>
                <w:sz w:val="16"/>
                <w:szCs w:val="16"/>
                <w:color w:val="auto"/>
              </w:rPr>
            </w:pPr>
          </w:p>
        </w:tc>
        <w:tc>
          <w:tcPr>
            <w:tcW w:w="980" w:type="dxa"/>
            <w:vAlign w:val="bottom"/>
            <w:tcBorders>
              <w:bottom w:val="single" w:sz="8" w:color="CCECFF"/>
            </w:tcBorders>
            <w:shd w:val="clear" w:color="auto" w:fill="CCECFF"/>
          </w:tcPr>
          <w:p>
            <w:pPr>
              <w:spacing w:after="0"/>
              <w:rPr>
                <w:sz w:val="16"/>
                <w:szCs w:val="16"/>
                <w:color w:val="auto"/>
              </w:rPr>
            </w:pPr>
          </w:p>
        </w:tc>
        <w:tc>
          <w:tcPr>
            <w:tcW w:w="1080" w:type="dxa"/>
            <w:vAlign w:val="bottom"/>
            <w:tcBorders>
              <w:bottom w:val="single" w:sz="8" w:color="CCECFF"/>
            </w:tcBorders>
            <w:shd w:val="clear" w:color="auto" w:fill="CCECFF"/>
          </w:tcPr>
          <w:p>
            <w:pPr>
              <w:spacing w:after="0"/>
              <w:rPr>
                <w:sz w:val="16"/>
                <w:szCs w:val="16"/>
                <w:color w:val="auto"/>
              </w:rPr>
            </w:pPr>
          </w:p>
        </w:tc>
        <w:tc>
          <w:tcPr>
            <w:tcW w:w="840" w:type="dxa"/>
            <w:vAlign w:val="bottom"/>
            <w:tcBorders>
              <w:bottom w:val="single" w:sz="8" w:color="CCECFF"/>
            </w:tcBorders>
            <w:shd w:val="clear" w:color="auto" w:fill="CCECFF"/>
          </w:tcPr>
          <w:p>
            <w:pPr>
              <w:spacing w:after="0"/>
              <w:rPr>
                <w:sz w:val="16"/>
                <w:szCs w:val="16"/>
                <w:color w:val="auto"/>
              </w:rPr>
            </w:pPr>
          </w:p>
        </w:tc>
        <w:tc>
          <w:tcPr>
            <w:tcW w:w="60" w:type="dxa"/>
            <w:vAlign w:val="bottom"/>
            <w:tcBorders>
              <w:bottom w:val="single" w:sz="8" w:color="CCECFF"/>
            </w:tcBorders>
            <w:shd w:val="clear" w:color="auto" w:fill="CCECFF"/>
          </w:tcPr>
          <w:p>
            <w:pPr>
              <w:spacing w:after="0"/>
              <w:rPr>
                <w:sz w:val="16"/>
                <w:szCs w:val="16"/>
                <w:color w:val="auto"/>
              </w:rPr>
            </w:pPr>
          </w:p>
        </w:tc>
        <w:tc>
          <w:tcPr>
            <w:tcW w:w="340" w:type="dxa"/>
            <w:vAlign w:val="bottom"/>
            <w:tcBorders>
              <w:bottom w:val="single" w:sz="8" w:color="CCECFF"/>
            </w:tcBorders>
            <w:shd w:val="clear" w:color="auto" w:fill="CCECFF"/>
          </w:tcPr>
          <w:p>
            <w:pPr>
              <w:spacing w:after="0"/>
              <w:rPr>
                <w:sz w:val="16"/>
                <w:szCs w:val="16"/>
                <w:color w:val="auto"/>
              </w:rPr>
            </w:pPr>
          </w:p>
        </w:tc>
        <w:tc>
          <w:tcPr>
            <w:tcW w:w="20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115,238</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(“SOFR”) or Prime rate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218" w:lineRule="auto"/>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PSLF’s accounting policy.</w:t>
      </w:r>
    </w:p>
    <w:p>
      <w:pPr>
        <w:spacing w:after="0"/>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Non-income producing security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8" w:right="680" w:bottom="1440" w:gutter="0" w:footer="0" w:header="0"/>
        </w:sectPr>
      </w:pPr>
    </w:p>
    <w:bookmarkStart w:id="54" w:name="page55"/>
    <w:bookmarkEnd w:id="54"/>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September 30, 2023 ($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jc w:val="center"/>
              <w:ind w:right="17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40" w:type="dxa"/>
            <w:vAlign w:val="bottom"/>
          </w:tcPr>
          <w:p>
            <w:pPr>
              <w:jc w:val="right"/>
              <w:ind w:right="27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40" w:type="dxa"/>
            <w:vAlign w:val="bottom"/>
          </w:tcPr>
          <w:p>
            <w:pPr>
              <w:jc w:val="center"/>
              <w:ind w:right="171"/>
              <w:spacing w:after="0" w:line="145" w:lineRule="exact"/>
              <w:rPr>
                <w:sz w:val="20"/>
                <w:szCs w:val="20"/>
                <w:color w:val="auto"/>
              </w:rPr>
            </w:pPr>
            <w:r>
              <w:rPr>
                <w:rFonts w:ascii="Times New Roman" w:cs="Times New Roman" w:eastAsia="Times New Roman" w:hAnsi="Times New Roman"/>
                <w:sz w:val="13"/>
                <w:szCs w:val="13"/>
                <w:b w:val="1"/>
                <w:bCs w:val="1"/>
                <w:color w:val="auto"/>
                <w:w w:val="95"/>
              </w:rPr>
              <w:t>Above</w:t>
            </w: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86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08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94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40" w:type="dxa"/>
            <w:vAlign w:val="bottom"/>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w w:val="98"/>
              </w:rPr>
              <w:t xml:space="preserve">Index </w:t>
            </w:r>
            <w:r>
              <w:rPr>
                <w:rFonts w:ascii="Times New Roman" w:cs="Times New Roman" w:eastAsia="Times New Roman" w:hAnsi="Times New Roman"/>
                <w:sz w:val="16"/>
                <w:szCs w:val="16"/>
                <w:b w:val="1"/>
                <w:bCs w:val="1"/>
                <w:color w:val="auto"/>
                <w:w w:val="98"/>
                <w:vertAlign w:val="superscript"/>
              </w:rPr>
              <w:t>1</w:t>
            </w:r>
          </w:p>
        </w:tc>
        <w:tc>
          <w:tcPr>
            <w:tcW w:w="960" w:type="dxa"/>
            <w:vAlign w:val="bottom"/>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Par</w:t>
            </w:r>
          </w:p>
        </w:tc>
        <w:tc>
          <w:tcPr>
            <w:tcW w:w="240" w:type="dxa"/>
            <w:vAlign w:val="bottom"/>
          </w:tcPr>
          <w:p>
            <w:pPr>
              <w:spacing w:after="0"/>
              <w:rPr>
                <w:sz w:val="16"/>
                <w:szCs w:val="16"/>
                <w:color w:val="auto"/>
              </w:rPr>
            </w:pP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6"/>
                <w:szCs w:val="16"/>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w w:val="96"/>
              </w:rPr>
              <w:t xml:space="preserve">Fair Value </w:t>
            </w:r>
            <w:r>
              <w:rPr>
                <w:rFonts w:ascii="Times New Roman" w:cs="Times New Roman" w:eastAsia="Times New Roman" w:hAnsi="Times New Roman"/>
                <w:sz w:val="16"/>
                <w:szCs w:val="16"/>
                <w:b w:val="1"/>
                <w:bCs w:val="1"/>
                <w:color w:val="auto"/>
                <w:w w:val="96"/>
                <w:vertAlign w:val="superscript"/>
              </w:rPr>
              <w:t>2</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- 783.7%</w:t>
            </w:r>
          </w:p>
        </w:tc>
        <w:tc>
          <w:tcPr>
            <w:tcW w:w="86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12/22/28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11.84 %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14,925</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14,668</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05/07/26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11.65 %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4,888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4,888</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11/30/26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11.26 %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14,837</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14,528</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14,244</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06/10/25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11.79 %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13,958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13,869</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13,749</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05/23/24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12.04 %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14,354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14,319</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14,103</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07/21/27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11.22 %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10,882</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10,847</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10,665</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07/31/25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10.52 %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6,424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6,380</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6,408</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07/31/25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11.11 %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3,316</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3,299</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3,308</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 Term Loan 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07/31/25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10.76 %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7,531</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7,531</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7,512</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12/29/26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11.51 %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11,394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11,271</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11,166</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Applied Technical Services, LLC - Unfunded Term Loan </w:t>
            </w:r>
            <w:r>
              <w:rPr>
                <w:rFonts w:ascii="Times New Roman" w:cs="Times New Roman" w:eastAsia="Times New Roman" w:hAnsi="Times New Roman"/>
                <w:sz w:val="12"/>
                <w:szCs w:val="12"/>
                <w:color w:val="auto"/>
                <w:vertAlign w:val="superscript"/>
              </w:rPr>
              <w:t>3</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12/29/26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08/03/29</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11.62 %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11,820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11,642</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11,702</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07/01/29</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11.14 %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14,604</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13,811</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01/31/28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11.83 %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8,978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8,874</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8,933</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09/17/24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11.79 %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17,823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17,588</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17,556</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12/04/25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11.50 %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09/26/29</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10.67 %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836</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841</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06/14/28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11.39 %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17,281</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17,013</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17,281</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08/20/26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11.60 %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2,921</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2,901</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2,862</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07/13/27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11.16 %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8,808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8,792</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8,500</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08/16/27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10.90 %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2,575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2,550</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2,562</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08/31/27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11.24 %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10,882</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10,834</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10,882</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12/21/28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10.67 %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4,382</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3,959</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3,993</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11/03/25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11.77 %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SOFR+640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14,395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14,345</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14,222</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06/30/24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11.93 %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8,635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8,561</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8,505</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01/10/29</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11.64 %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6,219</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6,148</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6,125</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Electro Rent Corporation</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01/17/24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10.93 %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3,712</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3,665</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3,632</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05/29/29</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11.89 %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12,404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12,171</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12,193</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03/15/27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11.17 %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9,750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9,637</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9,555</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06/17/28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10.40 %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SOFR+475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1,470</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1,506</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02/23/28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12.43 %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SOFR+700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4,373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4,291</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4,307</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03/16/26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11.96 %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7,027</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7,008</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6,676</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08/10/27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10.99 %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1,925</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1,935</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12/31/26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10.93 %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6,423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6,423</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6,262</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11/23/28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11.32 %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19,717</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19,388</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19,717</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12/17/26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11.79 %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15,140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14,974</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15,110</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12/10/24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11.70 %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14,250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14,171</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14,036</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09/22/28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11.45 %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4,428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4,355</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4,362</w:t>
            </w:r>
          </w:p>
        </w:tc>
        <w:tc>
          <w:tcPr>
            <w:tcW w:w="0" w:type="dxa"/>
            <w:vAlign w:val="bottom"/>
          </w:tcPr>
          <w:p>
            <w:pPr>
              <w:spacing w:after="0"/>
              <w:rPr>
                <w:sz w:val="1"/>
                <w:szCs w:val="1"/>
                <w:color w:val="auto"/>
              </w:rPr>
            </w:pPr>
          </w:p>
        </w:tc>
      </w:tr>
      <w:tr>
        <w:trPr>
          <w:trHeight w:val="136"/>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860" w:type="dxa"/>
            <w:vAlign w:val="bottom"/>
            <w:vMerge w:val="restart"/>
          </w:tcPr>
          <w:p>
            <w:pPr>
              <w:jc w:val="center"/>
              <w:ind w:left="72"/>
              <w:spacing w:after="0"/>
              <w:rPr>
                <w:sz w:val="20"/>
                <w:szCs w:val="20"/>
                <w:color w:val="auto"/>
              </w:rPr>
            </w:pPr>
            <w:r>
              <w:rPr>
                <w:rFonts w:ascii="Times New Roman" w:cs="Times New Roman" w:eastAsia="Times New Roman" w:hAnsi="Times New Roman"/>
                <w:sz w:val="10"/>
                <w:szCs w:val="10"/>
                <w:color w:val="auto"/>
                <w:w w:val="95"/>
              </w:rPr>
              <w:t>11/15/27</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vMerge w:val="restart"/>
          </w:tcPr>
          <w:p>
            <w:pPr>
              <w:jc w:val="right"/>
              <w:ind w:right="51"/>
              <w:spacing w:after="0"/>
              <w:rPr>
                <w:sz w:val="20"/>
                <w:szCs w:val="20"/>
                <w:color w:val="auto"/>
              </w:rPr>
            </w:pPr>
            <w:r>
              <w:rPr>
                <w:rFonts w:ascii="Times New Roman" w:cs="Times New Roman" w:eastAsia="Times New Roman" w:hAnsi="Times New Roman"/>
                <w:sz w:val="10"/>
                <w:szCs w:val="10"/>
                <w:color w:val="auto"/>
              </w:rPr>
              <w:t>10.72 %</w:t>
            </w:r>
          </w:p>
        </w:tc>
        <w:tc>
          <w:tcPr>
            <w:tcW w:w="104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5,565</w:t>
            </w:r>
          </w:p>
        </w:tc>
        <w:tc>
          <w:tcPr>
            <w:tcW w:w="240" w:type="dxa"/>
            <w:vAlign w:val="bottom"/>
          </w:tcPr>
          <w:p>
            <w:pPr>
              <w:spacing w:after="0"/>
              <w:rPr>
                <w:sz w:val="11"/>
                <w:szCs w:val="11"/>
                <w:color w:val="auto"/>
              </w:rPr>
            </w:pPr>
          </w:p>
        </w:tc>
        <w:tc>
          <w:tcPr>
            <w:tcW w:w="6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5,481</w:t>
            </w:r>
          </w:p>
        </w:tc>
        <w:tc>
          <w:tcPr>
            <w:tcW w:w="180" w:type="dxa"/>
            <w:vAlign w:val="bottom"/>
          </w:tcPr>
          <w:p>
            <w:pPr>
              <w:spacing w:after="0"/>
              <w:rPr>
                <w:sz w:val="11"/>
                <w:szCs w:val="11"/>
                <w:color w:val="auto"/>
              </w:rPr>
            </w:pP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5,482</w:t>
            </w:r>
          </w:p>
        </w:tc>
        <w:tc>
          <w:tcPr>
            <w:tcW w:w="0" w:type="dxa"/>
            <w:vAlign w:val="bottom"/>
          </w:tcPr>
          <w:p>
            <w:pPr>
              <w:spacing w:after="0"/>
              <w:rPr>
                <w:sz w:val="1"/>
                <w:szCs w:val="1"/>
                <w:color w:val="auto"/>
              </w:rPr>
            </w:pPr>
          </w:p>
        </w:tc>
      </w:tr>
      <w:tr>
        <w:trPr>
          <w:trHeight w:val="112"/>
        </w:trPr>
        <w:tc>
          <w:tcPr>
            <w:tcW w:w="27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12/31/24</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12.50 %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SOFR+715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19,737</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19,410</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19,737</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12/28/28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12.24 %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SOFR+685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11,053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10,867</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11,053</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11/01/26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11.17 %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6,364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6,364</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6,364</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08/27/26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11.57 %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19,701</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19,639</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19,504</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12/20/23</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13.42 %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SOFR+800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12,061</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12,040</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12,061</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11/10/27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11.54 %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SOFR+615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16,920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16,641</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16,666</w:t>
            </w:r>
          </w:p>
        </w:tc>
        <w:tc>
          <w:tcPr>
            <w:tcW w:w="0" w:type="dxa"/>
            <w:vAlign w:val="bottom"/>
          </w:tcPr>
          <w:p>
            <w:pPr>
              <w:spacing w:after="0"/>
              <w:rPr>
                <w:sz w:val="1"/>
                <w:szCs w:val="1"/>
                <w:color w:val="auto"/>
              </w:rPr>
            </w:pPr>
          </w:p>
        </w:tc>
      </w:tr>
      <w:tr>
        <w:trPr>
          <w:trHeight w:val="137"/>
        </w:trPr>
        <w:tc>
          <w:tcPr>
            <w:tcW w:w="27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940" w:type="dxa"/>
            <w:vAlign w:val="bottom"/>
            <w:shd w:val="clear" w:color="auto" w:fill="CCECFF"/>
          </w:tcPr>
          <w:p>
            <w:pPr>
              <w:spacing w:after="0"/>
              <w:rPr>
                <w:sz w:val="11"/>
                <w:szCs w:val="11"/>
                <w:color w:val="auto"/>
              </w:rPr>
            </w:pPr>
          </w:p>
        </w:tc>
        <w:tc>
          <w:tcPr>
            <w:tcW w:w="10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10/31/24</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11.46 %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SOFR+565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4,658</w:t>
            </w:r>
          </w:p>
        </w:tc>
        <w:tc>
          <w:tcPr>
            <w:tcW w:w="24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4,631</w:t>
            </w:r>
          </w:p>
        </w:tc>
        <w:tc>
          <w:tcPr>
            <w:tcW w:w="1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4,603</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02/18/27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12.13 %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SOFR+700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19,723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19,565</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19,526</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02/03/26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10.67 %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12,218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12,056</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12,096</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01/31/30</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11.77 %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SOFR+665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6,318</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6,206</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6,192</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04/01/27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10.99 %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7,601</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7,153</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7,202</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07/31/28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10.63 %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SOFR+500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3,785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3,550</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2,805</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05/14/26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11.04 %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10,885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10,811</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10,776</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04/16/27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11.22 %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7,859</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7,780</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7,749</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12/10/27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10.58 %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2,958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2,911</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2,884</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10/01/27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11.04 %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5,975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5,860</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5,843</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08/19/26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10.93 %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7,429</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7,369</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7,280</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05/09/29</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11.97 %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SOFR+660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8,020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7,910</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8,020</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05/07/27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11.68 %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8,470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8,311</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8,470</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02/04/28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10.80 %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3,893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3,794</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05/18/26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12.90 %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SOFR+725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4,378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4,343</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4,301</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Pequod Merger Sub,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12/02/26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11.79 %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SOFR+640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11,474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11,267</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11,244</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11/09/27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12.42 %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SOFR+700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7,930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7,818</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7,137</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05/08/26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10.92 %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SOFR+565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2,551</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2,481</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2,436</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11/19/26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11.74 %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3,314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3,267</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3,264</w:t>
            </w:r>
          </w:p>
        </w:tc>
        <w:tc>
          <w:tcPr>
            <w:tcW w:w="0" w:type="dxa"/>
            <w:vAlign w:val="bottom"/>
          </w:tcPr>
          <w:p>
            <w:pPr>
              <w:spacing w:after="0"/>
              <w:rPr>
                <w:sz w:val="1"/>
                <w:szCs w:val="1"/>
                <w:color w:val="auto"/>
              </w:rPr>
            </w:pPr>
          </w:p>
        </w:tc>
      </w:tr>
      <w:tr>
        <w:trPr>
          <w:trHeight w:val="136"/>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860" w:type="dxa"/>
            <w:vAlign w:val="bottom"/>
            <w:vMerge w:val="restart"/>
          </w:tcPr>
          <w:p>
            <w:pPr>
              <w:jc w:val="center"/>
              <w:ind w:left="72"/>
              <w:spacing w:after="0"/>
              <w:rPr>
                <w:sz w:val="20"/>
                <w:szCs w:val="20"/>
                <w:color w:val="auto"/>
              </w:rPr>
            </w:pPr>
            <w:r>
              <w:rPr>
                <w:rFonts w:ascii="Times New Roman" w:cs="Times New Roman" w:eastAsia="Times New Roman" w:hAnsi="Times New Roman"/>
                <w:sz w:val="10"/>
                <w:szCs w:val="10"/>
                <w:color w:val="auto"/>
                <w:w w:val="95"/>
              </w:rPr>
              <w:t>03/31/25</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vMerge w:val="restart"/>
          </w:tcPr>
          <w:p>
            <w:pPr>
              <w:jc w:val="right"/>
              <w:ind w:right="51"/>
              <w:spacing w:after="0"/>
              <w:rPr>
                <w:sz w:val="20"/>
                <w:szCs w:val="20"/>
                <w:color w:val="auto"/>
              </w:rPr>
            </w:pPr>
            <w:r>
              <w:rPr>
                <w:rFonts w:ascii="Times New Roman" w:cs="Times New Roman" w:eastAsia="Times New Roman" w:hAnsi="Times New Roman"/>
                <w:sz w:val="10"/>
                <w:szCs w:val="10"/>
                <w:color w:val="auto"/>
              </w:rPr>
              <w:t>11.29 %</w:t>
            </w:r>
          </w:p>
        </w:tc>
        <w:tc>
          <w:tcPr>
            <w:tcW w:w="104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12,703</w:t>
            </w:r>
          </w:p>
        </w:tc>
        <w:tc>
          <w:tcPr>
            <w:tcW w:w="240" w:type="dxa"/>
            <w:vAlign w:val="bottom"/>
          </w:tcPr>
          <w:p>
            <w:pPr>
              <w:spacing w:after="0"/>
              <w:rPr>
                <w:sz w:val="11"/>
                <w:szCs w:val="11"/>
                <w:color w:val="auto"/>
              </w:rPr>
            </w:pPr>
          </w:p>
        </w:tc>
        <w:tc>
          <w:tcPr>
            <w:tcW w:w="6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12,641</w:t>
            </w:r>
          </w:p>
        </w:tc>
        <w:tc>
          <w:tcPr>
            <w:tcW w:w="180" w:type="dxa"/>
            <w:vAlign w:val="bottom"/>
          </w:tcPr>
          <w:p>
            <w:pPr>
              <w:spacing w:after="0"/>
              <w:rPr>
                <w:sz w:val="11"/>
                <w:szCs w:val="11"/>
                <w:color w:val="auto"/>
              </w:rPr>
            </w:pP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12,576</w:t>
            </w:r>
          </w:p>
        </w:tc>
        <w:tc>
          <w:tcPr>
            <w:tcW w:w="0" w:type="dxa"/>
            <w:vAlign w:val="bottom"/>
          </w:tcPr>
          <w:p>
            <w:pPr>
              <w:spacing w:after="0"/>
              <w:rPr>
                <w:sz w:val="1"/>
                <w:szCs w:val="1"/>
                <w:color w:val="auto"/>
              </w:rPr>
            </w:pPr>
          </w:p>
        </w:tc>
      </w:tr>
      <w:tr>
        <w:trPr>
          <w:trHeight w:val="88"/>
        </w:trPr>
        <w:tc>
          <w:tcPr>
            <w:tcW w:w="27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0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6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12/18/25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11.22 %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5,603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5,603</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5,603</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8"/>
              </w:rPr>
              <w:t>4/28/2028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11.54 %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5,000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4,937</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4,800</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8"/>
              </w:rPr>
              <w:t>1/29/2026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12.54 %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SOFR+700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9,750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9,655</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9,458</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12/20/2024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11.13 %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14,389</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14,332</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12,591</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8"/>
              </w:rPr>
              <w:t>6/20/2025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10.54 %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3,176</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3,162</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3,131</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8"/>
              </w:rPr>
              <w:t>3/10/2025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11.29 %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10,895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10,834</w:t>
            </w:r>
          </w:p>
        </w:tc>
        <w:tc>
          <w:tcPr>
            <w:tcW w:w="180" w:type="dxa"/>
            <w:vAlign w:val="bottom"/>
          </w:tcPr>
          <w:p>
            <w:pPr>
              <w:spacing w:after="0"/>
              <w:rPr>
                <w:sz w:val="12"/>
                <w:szCs w:val="12"/>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10,786</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8"/>
              </w:rPr>
              <w:t>6/16/2029</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4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11.52 %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3,749</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3,678</w:t>
            </w:r>
          </w:p>
        </w:tc>
        <w:tc>
          <w:tcPr>
            <w:tcW w:w="1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4" w:right="68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56"/>
        </w:trPr>
        <w:tc>
          <w:tcPr>
            <w:tcW w:w="2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5"/>
        </w:trPr>
        <w:tc>
          <w:tcPr>
            <w:tcW w:w="2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40" w:type="dxa"/>
            <w:vAlign w:val="bottom"/>
          </w:tcPr>
          <w:p>
            <w:pPr>
              <w:jc w:val="right"/>
              <w:ind w:right="270"/>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40" w:type="dxa"/>
            <w:vAlign w:val="bottom"/>
          </w:tcPr>
          <w:p>
            <w:pPr>
              <w:jc w:val="center"/>
              <w:ind w:right="169"/>
              <w:spacing w:after="0" w:line="145" w:lineRule="exact"/>
              <w:rPr>
                <w:sz w:val="20"/>
                <w:szCs w:val="20"/>
                <w:color w:val="auto"/>
              </w:rPr>
            </w:pPr>
            <w:r>
              <w:rPr>
                <w:rFonts w:ascii="Times New Roman" w:cs="Times New Roman" w:eastAsia="Times New Roman" w:hAnsi="Times New Roman"/>
                <w:sz w:val="13"/>
                <w:szCs w:val="13"/>
                <w:b w:val="1"/>
                <w:bCs w:val="1"/>
                <w:color w:val="auto"/>
                <w:w w:val="95"/>
              </w:rPr>
              <w:t>Above</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9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40" w:type="dxa"/>
            <w:vAlign w:val="bottom"/>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w w:val="98"/>
              </w:rPr>
              <w:t xml:space="preserve">Index </w:t>
            </w:r>
            <w:r>
              <w:rPr>
                <w:rFonts w:ascii="Times New Roman" w:cs="Times New Roman" w:eastAsia="Times New Roman" w:hAnsi="Times New Roman"/>
                <w:sz w:val="16"/>
                <w:szCs w:val="16"/>
                <w:b w:val="1"/>
                <w:bCs w:val="1"/>
                <w:color w:val="auto"/>
                <w:w w:val="98"/>
                <w:vertAlign w:val="superscript"/>
              </w:rPr>
              <w:t>1</w:t>
            </w:r>
          </w:p>
        </w:tc>
        <w:tc>
          <w:tcPr>
            <w:tcW w:w="1060" w:type="dxa"/>
            <w:vAlign w:val="bottom"/>
          </w:tcPr>
          <w:p>
            <w:pPr>
              <w:jc w:val="right"/>
              <w:ind w:right="551"/>
              <w:spacing w:after="0"/>
              <w:rPr>
                <w:sz w:val="20"/>
                <w:szCs w:val="20"/>
                <w:color w:val="auto"/>
              </w:rPr>
            </w:pPr>
            <w:r>
              <w:rPr>
                <w:rFonts w:ascii="Times New Roman" w:cs="Times New Roman" w:eastAsia="Times New Roman" w:hAnsi="Times New Roman"/>
                <w:sz w:val="13"/>
                <w:szCs w:val="13"/>
                <w:b w:val="1"/>
                <w:bCs w:val="1"/>
                <w:color w:val="auto"/>
              </w:rPr>
              <w:t>Par</w:t>
            </w:r>
          </w:p>
        </w:tc>
        <w:tc>
          <w:tcPr>
            <w:tcW w:w="140" w:type="dxa"/>
            <w:vAlign w:val="bottom"/>
          </w:tcPr>
          <w:p>
            <w:pPr>
              <w:spacing w:after="0"/>
              <w:rPr>
                <w:sz w:val="16"/>
                <w:szCs w:val="16"/>
                <w:color w:val="auto"/>
              </w:rPr>
            </w:pPr>
          </w:p>
        </w:tc>
        <w:tc>
          <w:tcPr>
            <w:tcW w:w="560" w:type="dxa"/>
            <w:vAlign w:val="bottom"/>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6"/>
              </w:rPr>
              <w:t xml:space="preserve">Fair Value </w:t>
            </w:r>
            <w:r>
              <w:rPr>
                <w:rFonts w:ascii="Times New Roman" w:cs="Times New Roman" w:eastAsia="Times New Roman" w:hAnsi="Times New Roman"/>
                <w:sz w:val="16"/>
                <w:szCs w:val="16"/>
                <w:b w:val="1"/>
                <w:bCs w:val="1"/>
                <w:color w:val="auto"/>
                <w:w w:val="96"/>
                <w:vertAlign w:val="superscript"/>
              </w:rPr>
              <w:t>2</w:t>
            </w:r>
          </w:p>
        </w:tc>
      </w:tr>
      <w:tr>
        <w:trPr>
          <w:trHeight w:val="144"/>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1/3/2025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11.59 %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106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6,859</w:t>
            </w:r>
          </w:p>
        </w:tc>
        <w:tc>
          <w:tcPr>
            <w:tcW w:w="1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6,815</w:t>
            </w:r>
          </w:p>
        </w:tc>
        <w:tc>
          <w:tcPr>
            <w:tcW w:w="2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6,825</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6"/>
              </w:rPr>
              <w:t>12/20/2024</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12.92 %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SOFR+750</w:t>
            </w: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4,872</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4,872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4,823</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90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8"/>
              </w:rPr>
              <w:t>6/13/2029</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11.54 %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SOFR+605</w:t>
            </w:r>
          </w:p>
        </w:tc>
        <w:tc>
          <w:tcPr>
            <w:tcW w:w="106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14,850</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14,633</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14,405</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5/3/2024</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12.04 %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11,201</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11,173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11,201</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90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8"/>
              </w:rPr>
              <w:t>5/17/2028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9.93 %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SOFR+450</w:t>
            </w:r>
          </w:p>
        </w:tc>
        <w:tc>
          <w:tcPr>
            <w:tcW w:w="106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1,300</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1,274</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1,272</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8"/>
              </w:rPr>
              <w:t>7/17/2025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Communications</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12.37 %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SOFR+700</w:t>
            </w: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9,239</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9,202</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11.04 %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106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9,607</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9,352</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9,396</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6"/>
              </w:rPr>
              <w:t>12/11/2026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10.67 %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12,099</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12,045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11,857</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90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6"/>
              </w:rPr>
              <w:t>11/24/2028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10.43 %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SOFR+475</w:t>
            </w:r>
          </w:p>
        </w:tc>
        <w:tc>
          <w:tcPr>
            <w:tcW w:w="106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3,572</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3,389</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3,559</w:t>
            </w:r>
          </w:p>
        </w:tc>
        <w:tc>
          <w:tcPr>
            <w:tcW w:w="80" w:type="dxa"/>
            <w:vAlign w:val="bottom"/>
            <w:shd w:val="clear" w:color="auto" w:fill="CCECFF"/>
          </w:tcPr>
          <w:p>
            <w:pPr>
              <w:spacing w:after="0"/>
              <w:rPr>
                <w:sz w:val="12"/>
                <w:szCs w:val="12"/>
                <w:color w:val="auto"/>
              </w:rPr>
            </w:pPr>
          </w:p>
        </w:tc>
      </w:tr>
      <w:tr>
        <w:trPr>
          <w:trHeight w:val="133"/>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9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8"/>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8"/>
              </w:rPr>
              <w:t>8/16/2027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11.49 %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15,966</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15,695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15,790</w:t>
            </w:r>
          </w:p>
        </w:tc>
        <w:tc>
          <w:tcPr>
            <w:tcW w:w="80" w:type="dxa"/>
            <w:vAlign w:val="bottom"/>
          </w:tcPr>
          <w:p>
            <w:pPr>
              <w:spacing w:after="0"/>
              <w:rPr>
                <w:sz w:val="11"/>
                <w:szCs w:val="1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90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6"/>
              </w:rPr>
              <w:t>11/24/2028</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10.75 %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SOFR+515</w:t>
            </w:r>
          </w:p>
        </w:tc>
        <w:tc>
          <w:tcPr>
            <w:tcW w:w="106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2,688</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2,584</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2,627</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8"/>
              </w:rPr>
              <w:t>7/18/2025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10.67 %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2,936</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2,927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2,931</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90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6"/>
              </w:rPr>
              <w:t>10/31/2025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12.04 %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106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11,095</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11,008</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10,929</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8"/>
              </w:rPr>
              <w:t>7/27/2026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12.79 %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SOFR+725</w:t>
            </w: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7,855</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7,872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7,823</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0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8"/>
              </w:rPr>
              <w:t>8/31/2027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11.70 %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SOFR+635</w:t>
            </w:r>
          </w:p>
        </w:tc>
        <w:tc>
          <w:tcPr>
            <w:tcW w:w="106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7,690</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7,596</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7,628</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6"/>
              </w:rPr>
              <w:t>11/24/2025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10.68 %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5,479</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5,479</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6/6/2025</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10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11.80 %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106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7,177</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7,161</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7,177</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4/3/2028</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10.90 %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11,393</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11,285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10,391</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90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8"/>
              </w:rPr>
              <w:t>6/15/2026</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11.79 %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106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3,860</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3,792</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3,780</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8"/>
              </w:rPr>
              <w:t>2/27/2026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10.54 %</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SOFR+515</w:t>
            </w: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11,386</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11,323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11,272</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3/1/2024</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12.67 %</w:t>
            </w:r>
          </w:p>
        </w:tc>
        <w:tc>
          <w:tcPr>
            <w:tcW w:w="1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SOFR+725</w:t>
            </w:r>
          </w:p>
        </w:tc>
        <w:tc>
          <w:tcPr>
            <w:tcW w:w="106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19,682</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19,582</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19,042</w:t>
            </w:r>
          </w:p>
        </w:tc>
        <w:tc>
          <w:tcPr>
            <w:tcW w:w="80" w:type="dxa"/>
            <w:vAlign w:val="bottom"/>
            <w:shd w:val="clear" w:color="auto" w:fill="CCECFF"/>
          </w:tcPr>
          <w:p>
            <w:pPr>
              <w:spacing w:after="0"/>
              <w:rPr>
                <w:sz w:val="12"/>
                <w:szCs w:val="12"/>
                <w:color w:val="auto"/>
              </w:rPr>
            </w:pPr>
          </w:p>
        </w:tc>
      </w:tr>
      <w:tr>
        <w:trPr>
          <w:trHeight w:val="144"/>
        </w:trPr>
        <w:tc>
          <w:tcPr>
            <w:tcW w:w="2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8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810,737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804,187</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- 783.7%</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- 57.6%</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80" w:type="dxa"/>
            <w:vAlign w:val="bottom"/>
          </w:tcPr>
          <w:p>
            <w:pPr>
              <w:spacing w:after="0"/>
              <w:rPr>
                <w:sz w:val="12"/>
                <w:szCs w:val="12"/>
                <w:color w:val="auto"/>
              </w:rPr>
            </w:pPr>
          </w:p>
        </w:tc>
      </w:tr>
      <w:tr>
        <w:trPr>
          <w:trHeight w:val="188"/>
        </w:trPr>
        <w:tc>
          <w:tcPr>
            <w:tcW w:w="2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- 841.3%</w:t>
            </w:r>
          </w:p>
        </w:tc>
        <w:tc>
          <w:tcPr>
            <w:tcW w:w="900" w:type="dxa"/>
            <w:vAlign w:val="bottom"/>
            <w:tcBorders>
              <w:bottom w:val="single" w:sz="8" w:color="CCECFF"/>
            </w:tcBorders>
            <w:shd w:val="clear" w:color="auto" w:fill="CCECFF"/>
          </w:tcPr>
          <w:p>
            <w:pPr>
              <w:spacing w:after="0"/>
              <w:rPr>
                <w:sz w:val="16"/>
                <w:szCs w:val="16"/>
                <w:color w:val="auto"/>
              </w:rPr>
            </w:pPr>
          </w:p>
        </w:tc>
        <w:tc>
          <w:tcPr>
            <w:tcW w:w="1880" w:type="dxa"/>
            <w:vAlign w:val="bottom"/>
            <w:tcBorders>
              <w:bottom w:val="single" w:sz="8" w:color="CCECFF"/>
            </w:tcBorders>
            <w:shd w:val="clear" w:color="auto" w:fill="CCECFF"/>
          </w:tcPr>
          <w:p>
            <w:pPr>
              <w:spacing w:after="0"/>
              <w:rPr>
                <w:sz w:val="16"/>
                <w:szCs w:val="16"/>
                <w:color w:val="auto"/>
              </w:rPr>
            </w:pPr>
          </w:p>
        </w:tc>
        <w:tc>
          <w:tcPr>
            <w:tcW w:w="1040" w:type="dxa"/>
            <w:vAlign w:val="bottom"/>
            <w:tcBorders>
              <w:bottom w:val="single" w:sz="8" w:color="CCECFF"/>
            </w:tcBorders>
            <w:shd w:val="clear" w:color="auto" w:fill="CCECFF"/>
          </w:tcPr>
          <w:p>
            <w:pPr>
              <w:spacing w:after="0"/>
              <w:rPr>
                <w:sz w:val="16"/>
                <w:szCs w:val="16"/>
                <w:color w:val="auto"/>
              </w:rPr>
            </w:pPr>
          </w:p>
        </w:tc>
        <w:tc>
          <w:tcPr>
            <w:tcW w:w="1040" w:type="dxa"/>
            <w:vAlign w:val="bottom"/>
            <w:tcBorders>
              <w:bottom w:val="single" w:sz="8" w:color="CCECFF"/>
            </w:tcBorders>
            <w:shd w:val="clear" w:color="auto" w:fill="CCECFF"/>
          </w:tcPr>
          <w:p>
            <w:pPr>
              <w:spacing w:after="0"/>
              <w:rPr>
                <w:sz w:val="16"/>
                <w:szCs w:val="16"/>
                <w:color w:val="auto"/>
              </w:rPr>
            </w:pPr>
          </w:p>
        </w:tc>
        <w:tc>
          <w:tcPr>
            <w:tcW w:w="106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auto"/>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869,833</w:t>
            </w:r>
          </w:p>
        </w:tc>
        <w:tc>
          <w:tcPr>
            <w:tcW w:w="18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863,283</w:t>
            </w:r>
          </w:p>
        </w:tc>
        <w:tc>
          <w:tcPr>
            <w:tcW w:w="80" w:type="dxa"/>
            <w:vAlign w:val="bottom"/>
            <w:tcBorders>
              <w:bottom w:val="single" w:sz="8" w:color="CCECFF"/>
            </w:tcBorders>
            <w:shd w:val="clear" w:color="auto" w:fill="CCECFF"/>
          </w:tcPr>
          <w:p>
            <w:pPr>
              <w:spacing w:after="0"/>
              <w:rPr>
                <w:sz w:val="16"/>
                <w:szCs w:val="16"/>
                <w:color w:val="auto"/>
              </w:rPr>
            </w:pPr>
          </w:p>
        </w:tc>
      </w:tr>
      <w:tr>
        <w:trPr>
          <w:trHeight w:val="116"/>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(741.3)%</w:t>
            </w:r>
          </w:p>
        </w:tc>
        <w:tc>
          <w:tcPr>
            <w:tcW w:w="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(760,665 )</w:t>
            </w:r>
          </w:p>
        </w:tc>
      </w:tr>
      <w:tr>
        <w:trPr>
          <w:trHeight w:val="188"/>
        </w:trPr>
        <w:tc>
          <w:tcPr>
            <w:tcW w:w="2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900" w:type="dxa"/>
            <w:vAlign w:val="bottom"/>
            <w:tcBorders>
              <w:bottom w:val="single" w:sz="8" w:color="CCECFF"/>
            </w:tcBorders>
            <w:shd w:val="clear" w:color="auto" w:fill="CCECFF"/>
          </w:tcPr>
          <w:p>
            <w:pPr>
              <w:spacing w:after="0"/>
              <w:rPr>
                <w:sz w:val="16"/>
                <w:szCs w:val="16"/>
                <w:color w:val="auto"/>
              </w:rPr>
            </w:pPr>
          </w:p>
        </w:tc>
        <w:tc>
          <w:tcPr>
            <w:tcW w:w="1880" w:type="dxa"/>
            <w:vAlign w:val="bottom"/>
            <w:tcBorders>
              <w:bottom w:val="single" w:sz="8" w:color="CCECFF"/>
            </w:tcBorders>
            <w:shd w:val="clear" w:color="auto" w:fill="CCECFF"/>
          </w:tcPr>
          <w:p>
            <w:pPr>
              <w:spacing w:after="0"/>
              <w:rPr>
                <w:sz w:val="16"/>
                <w:szCs w:val="16"/>
                <w:color w:val="auto"/>
              </w:rPr>
            </w:pPr>
          </w:p>
        </w:tc>
        <w:tc>
          <w:tcPr>
            <w:tcW w:w="1040" w:type="dxa"/>
            <w:vAlign w:val="bottom"/>
            <w:tcBorders>
              <w:bottom w:val="single" w:sz="8" w:color="CCECFF"/>
            </w:tcBorders>
            <w:shd w:val="clear" w:color="auto" w:fill="CCECFF"/>
          </w:tcPr>
          <w:p>
            <w:pPr>
              <w:spacing w:after="0"/>
              <w:rPr>
                <w:sz w:val="16"/>
                <w:szCs w:val="16"/>
                <w:color w:val="auto"/>
              </w:rPr>
            </w:pPr>
          </w:p>
        </w:tc>
        <w:tc>
          <w:tcPr>
            <w:tcW w:w="1040" w:type="dxa"/>
            <w:vAlign w:val="bottom"/>
            <w:tcBorders>
              <w:bottom w:val="single" w:sz="8" w:color="CCECFF"/>
            </w:tcBorders>
            <w:shd w:val="clear" w:color="auto" w:fill="CCECFF"/>
          </w:tcPr>
          <w:p>
            <w:pPr>
              <w:spacing w:after="0"/>
              <w:rPr>
                <w:sz w:val="16"/>
                <w:szCs w:val="16"/>
                <w:color w:val="auto"/>
              </w:rPr>
            </w:pPr>
          </w:p>
        </w:tc>
        <w:tc>
          <w:tcPr>
            <w:tcW w:w="106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CCECFF"/>
            </w:tcBorders>
            <w:shd w:val="clear" w:color="auto" w:fill="CCECFF"/>
          </w:tcPr>
          <w:p>
            <w:pPr>
              <w:spacing w:after="0"/>
              <w:rPr>
                <w:sz w:val="16"/>
                <w:szCs w:val="16"/>
                <w:color w:val="auto"/>
              </w:rPr>
            </w:pPr>
          </w:p>
        </w:tc>
        <w:tc>
          <w:tcPr>
            <w:tcW w:w="560" w:type="dxa"/>
            <w:vAlign w:val="bottom"/>
            <w:tcBorders>
              <w:bottom w:val="single" w:sz="8" w:color="CCECFF"/>
            </w:tcBorders>
            <w:shd w:val="clear" w:color="auto" w:fill="CCECFF"/>
          </w:tcPr>
          <w:p>
            <w:pPr>
              <w:spacing w:after="0"/>
              <w:rPr>
                <w:sz w:val="16"/>
                <w:szCs w:val="16"/>
                <w:color w:val="auto"/>
              </w:rPr>
            </w:pPr>
          </w:p>
        </w:tc>
        <w:tc>
          <w:tcPr>
            <w:tcW w:w="18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102,618</w:t>
            </w:r>
          </w:p>
        </w:tc>
        <w:tc>
          <w:tcPr>
            <w:tcW w:w="80" w:type="dxa"/>
            <w:vAlign w:val="bottom"/>
            <w:tcBorders>
              <w:bottom w:val="single" w:sz="8" w:color="CCECFF"/>
            </w:tcBorders>
            <w:shd w:val="clear" w:color="auto" w:fill="CCECFF"/>
          </w:tcPr>
          <w:p>
            <w:pPr>
              <w:spacing w:after="0"/>
              <w:rPr>
                <w:sz w:val="16"/>
                <w:szCs w:val="16"/>
                <w:color w:val="auto"/>
              </w:rPr>
            </w:pPr>
          </w:p>
        </w:tc>
      </w:tr>
    </w:tbl>
    <w:p>
      <w:pPr>
        <w:spacing w:after="0" w:line="24" w:lineRule="exact"/>
        <w:rPr>
          <w:sz w:val="20"/>
          <w:szCs w:val="20"/>
          <w:color w:val="auto"/>
        </w:rPr>
      </w:pPr>
    </w:p>
    <w:p>
      <w:pPr>
        <w:ind w:right="3080"/>
        <w:spacing w:after="0" w:line="236"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or Prime rate or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PSLF’s accounting policy.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assets and liabilities for PSLF,($ in thousands):</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June 30, 2024 (Unaudited)</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0" w:type="dxa"/>
            <w:vAlign w:val="bottom"/>
          </w:tcPr>
          <w:p>
            <w:pPr>
              <w:spacing w:after="0"/>
              <w:rPr>
                <w:sz w:val="1"/>
                <w:szCs w:val="1"/>
                <w:color w:val="auto"/>
              </w:rPr>
            </w:pPr>
          </w:p>
        </w:tc>
      </w:tr>
      <w:tr>
        <w:trPr>
          <w:trHeight w:val="184"/>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cost—$930,700 and $810,737, respectively)</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926,103</w:t>
            </w:r>
          </w:p>
        </w:tc>
        <w:tc>
          <w:tcPr>
            <w:tcW w:w="540" w:type="dxa"/>
            <w:vAlign w:val="bottom"/>
            <w:gridSpan w:val="2"/>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(cost—$44,765 and $59,096, respectively)</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44,765</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10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5,648</w:t>
            </w:r>
          </w:p>
        </w:tc>
        <w:tc>
          <w:tcPr>
            <w:tcW w:w="3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5,248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from affiliate</w:t>
            </w:r>
          </w:p>
        </w:tc>
        <w:tc>
          <w:tcPr>
            <w:tcW w:w="10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3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3,296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6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977,010</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872,763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shd w:val="clear" w:color="auto" w:fill="CCECFF"/>
          </w:tcPr>
          <w:p>
            <w:pPr>
              <w:spacing w:after="0"/>
              <w:rPr>
                <w:sz w:val="15"/>
                <w:szCs w:val="15"/>
                <w:color w:val="auto"/>
              </w:rPr>
            </w:pPr>
          </w:p>
        </w:tc>
        <w:tc>
          <w:tcPr>
            <w:tcW w:w="16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2034 Asset-backed debt, net (par—$246,000)</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244,575</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244,284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w:t>
            </w:r>
          </w:p>
        </w:tc>
        <w:tc>
          <w:tcPr>
            <w:tcW w:w="10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244,021</w:t>
            </w:r>
          </w:p>
        </w:tc>
        <w:tc>
          <w:tcPr>
            <w:tcW w:w="3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243,727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191,546</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100" w:type="dxa"/>
            <w:vAlign w:val="bottom"/>
            <w:shd w:val="clear" w:color="auto" w:fill="CCECFF"/>
          </w:tcPr>
          <w:p>
            <w:pPr>
              <w:spacing w:after="0"/>
              <w:rPr>
                <w:sz w:val="15"/>
                <w:szCs w:val="15"/>
                <w:color w:val="auto"/>
              </w:rPr>
            </w:pPr>
          </w:p>
        </w:tc>
        <w:tc>
          <w:tcPr>
            <w:tcW w:w="16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152,600</w:t>
            </w:r>
          </w:p>
        </w:tc>
        <w:tc>
          <w:tcPr>
            <w:tcW w:w="3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88,600</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66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640" w:type="dxa"/>
            <w:vAlign w:val="bottom"/>
            <w:vMerge w:val="continue"/>
            <w:shd w:val="clear" w:color="auto" w:fill="CCECFF"/>
          </w:tcPr>
          <w:p>
            <w:pPr>
              <w:spacing w:after="0"/>
              <w:rPr>
                <w:sz w:val="10"/>
                <w:szCs w:val="10"/>
                <w:color w:val="auto"/>
              </w:rPr>
            </w:pPr>
          </w:p>
        </w:tc>
        <w:tc>
          <w:tcPr>
            <w:tcW w:w="3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15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11,413</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Distribution payable to members</w:t>
            </w:r>
          </w:p>
        </w:tc>
        <w:tc>
          <w:tcPr>
            <w:tcW w:w="10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12,210</w:t>
            </w:r>
          </w:p>
        </w:tc>
        <w:tc>
          <w:tcPr>
            <w:tcW w:w="3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7,250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4,397</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0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3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to affiliate</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10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6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861,772</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770,145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66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Commitments and contingencies </w:t>
            </w:r>
            <w:r>
              <w:rPr>
                <w:rFonts w:ascii="Times New Roman" w:cs="Times New Roman" w:eastAsia="Times New Roman" w:hAnsi="Times New Roman"/>
                <w:sz w:val="16"/>
                <w:szCs w:val="16"/>
                <w:color w:val="auto"/>
                <w:vertAlign w:val="superscript"/>
              </w:rPr>
              <w:t>1</w:t>
            </w:r>
          </w:p>
        </w:tc>
        <w:tc>
          <w:tcPr>
            <w:tcW w:w="100" w:type="dxa"/>
            <w:vAlign w:val="bottom"/>
            <w:shd w:val="clear" w:color="auto" w:fill="CCECFF"/>
          </w:tcPr>
          <w:p>
            <w:pPr>
              <w:spacing w:after="0"/>
              <w:rPr>
                <w:sz w:val="15"/>
                <w:szCs w:val="15"/>
                <w:color w:val="auto"/>
              </w:rPr>
            </w:pPr>
          </w:p>
        </w:tc>
        <w:tc>
          <w:tcPr>
            <w:tcW w:w="16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6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115,238</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66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977,010</w:t>
            </w:r>
          </w:p>
        </w:tc>
        <w:tc>
          <w:tcPr>
            <w:tcW w:w="36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872,763</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As of June 30, 2024 and September 30, 2023, PSLF had zero and $0.5 million, respectively, of unfunded commitments to fund investments.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8" w:right="68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Below are the consolidated statements of operations for PSLF, ($ in thousands):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6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40" w:type="dxa"/>
            <w:vAlign w:val="bottom"/>
          </w:tcPr>
          <w:p>
            <w:pPr>
              <w:spacing w:after="0"/>
              <w:rPr>
                <w:sz w:val="24"/>
                <w:szCs w:val="24"/>
                <w:color w:val="auto"/>
              </w:rPr>
            </w:pPr>
          </w:p>
        </w:tc>
        <w:tc>
          <w:tcPr>
            <w:tcW w:w="2040" w:type="dxa"/>
            <w:vAlign w:val="bottom"/>
            <w:gridSpan w:val="5"/>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Nine Months Ended June 30,</w:t>
            </w:r>
          </w:p>
        </w:tc>
        <w:tc>
          <w:tcPr>
            <w:tcW w:w="0" w:type="dxa"/>
            <w:vAlign w:val="bottom"/>
          </w:tcPr>
          <w:p>
            <w:pPr>
              <w:spacing w:after="0"/>
              <w:rPr>
                <w:sz w:val="1"/>
                <w:szCs w:val="1"/>
                <w:color w:val="auto"/>
              </w:rPr>
            </w:pPr>
          </w:p>
        </w:tc>
      </w:tr>
      <w:tr>
        <w:trPr>
          <w:trHeight w:val="180"/>
        </w:trPr>
        <w:tc>
          <w:tcPr>
            <w:tcW w:w="6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28,866</w:t>
            </w: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22,848</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83,812</w:t>
            </w:r>
          </w:p>
        </w:tc>
        <w:tc>
          <w:tcPr>
            <w:tcW w:w="400" w:type="dxa"/>
            <w:vAlign w:val="bottom"/>
            <w:gridSpan w:val="2"/>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62,916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29,088</w:t>
            </w: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23,270</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84,508</w:t>
            </w: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64,186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expense on credit facility and asset-backed debt</w:t>
            </w: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13,635</w:t>
            </w: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9,798</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39,613</w:t>
            </w: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26,487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Administration fees</w:t>
            </w: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1,948</w:t>
            </w: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6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61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21,168</w:t>
            </w: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15,902</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60,647</w:t>
            </w: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43,828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23,861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20,358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1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(43 )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(22 )</w:t>
            </w:r>
          </w:p>
        </w:tc>
        <w:tc>
          <w:tcPr>
            <w:tcW w:w="0" w:type="dxa"/>
            <w:vAlign w:val="bottom"/>
          </w:tcPr>
          <w:p>
            <w:pPr>
              <w:spacing w:after="0"/>
              <w:rPr>
                <w:sz w:val="1"/>
                <w:szCs w:val="1"/>
                <w:color w:val="auto"/>
              </w:rPr>
            </w:pPr>
          </w:p>
        </w:tc>
      </w:tr>
      <w:tr>
        <w:trPr>
          <w:trHeight w:val="184"/>
        </w:trPr>
        <w:tc>
          <w:tcPr>
            <w:tcW w:w="6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4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(400 )</w:t>
            </w: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1,683</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1,935</w:t>
            </w:r>
          </w:p>
        </w:tc>
        <w:tc>
          <w:tcPr>
            <w:tcW w:w="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(3,934 )</w:t>
            </w:r>
          </w:p>
        </w:tc>
        <w:tc>
          <w:tcPr>
            <w:tcW w:w="0" w:type="dxa"/>
            <w:vAlign w:val="bottom"/>
          </w:tcPr>
          <w:p>
            <w:pPr>
              <w:spacing w:after="0"/>
              <w:rPr>
                <w:sz w:val="1"/>
                <w:szCs w:val="1"/>
                <w:color w:val="auto"/>
              </w:rPr>
            </w:pPr>
          </w:p>
        </w:tc>
      </w:tr>
      <w:tr>
        <w:trPr>
          <w:trHeight w:val="177"/>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14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(400 )</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(3,956 )</w:t>
            </w:r>
          </w:p>
        </w:tc>
        <w:tc>
          <w:tcPr>
            <w:tcW w:w="0" w:type="dxa"/>
            <w:vAlign w:val="bottom"/>
          </w:tcPr>
          <w:p>
            <w:pPr>
              <w:spacing w:after="0"/>
              <w:rPr>
                <w:sz w:val="1"/>
                <w:szCs w:val="1"/>
                <w:color w:val="auto"/>
              </w:rPr>
            </w:pPr>
          </w:p>
        </w:tc>
      </w:tr>
      <w:tr>
        <w:trPr>
          <w:trHeight w:val="220"/>
        </w:trPr>
        <w:tc>
          <w:tcPr>
            <w:tcW w:w="61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7,520</w:t>
            </w:r>
          </w:p>
        </w:tc>
        <w:tc>
          <w:tcPr>
            <w:tcW w:w="10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9,008</w:t>
            </w:r>
          </w:p>
        </w:tc>
        <w:tc>
          <w:tcPr>
            <w:tcW w:w="12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25,796</w:t>
            </w:r>
          </w:p>
        </w:tc>
        <w:tc>
          <w:tcPr>
            <w:tcW w:w="8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16,402</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00" w:hanging="94"/>
        <w:spacing w:after="0"/>
        <w:tabs>
          <w:tab w:leader="none" w:pos="100" w:val="left"/>
        </w:tabs>
        <w:numPr>
          <w:ilvl w:val="0"/>
          <w:numId w:val="1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No management or incentive fees are payable by PSLF.</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Distributions</w:t>
      </w:r>
    </w:p>
    <w:p>
      <w:pPr>
        <w:spacing w:after="0" w:line="167"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23" w:lineRule="exact"/>
        <w:rPr>
          <w:sz w:val="20"/>
          <w:szCs w:val="20"/>
          <w:color w:val="auto"/>
        </w:rPr>
      </w:pPr>
    </w:p>
    <w:p>
      <w:pPr>
        <w:ind w:right="140" w:firstLine="420"/>
        <w:spacing w:after="0" w:line="259"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 -term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30" w:lineRule="exact"/>
        <w:rPr>
          <w:sz w:val="20"/>
          <w:szCs w:val="20"/>
          <w:color w:val="auto"/>
        </w:rPr>
      </w:pPr>
    </w:p>
    <w:p>
      <w:pPr>
        <w:ind w:right="120" w:firstLine="420"/>
        <w:spacing w:after="0" w:line="259" w:lineRule="auto"/>
        <w:rPr>
          <w:sz w:val="20"/>
          <w:szCs w:val="20"/>
          <w:color w:val="auto"/>
        </w:rPr>
      </w:pPr>
      <w:r>
        <w:rPr>
          <w:rFonts w:ascii="Times New Roman" w:cs="Times New Roman" w:eastAsia="Times New Roman" w:hAnsi="Times New Roman"/>
          <w:sz w:val="13"/>
          <w:szCs w:val="13"/>
          <w:color w:val="auto"/>
        </w:rPr>
        <w:t>During the three and nine months ended June 30, 2024, we declared distributions of $0.22 and $0.64 per share, for total distributions of $14.4 million and $41.8 million. During the three and nine months ended June 30, 2023, we declared distributions of $0.20 and $0.55 per share, for total distributions of $13.0 million and $35.9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30"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Effective October 2023, we changed from a quarterly distribution to a monthly distribution. We intend to continue to make monthly distributions to our stockholders. Our monthly distributions, if any, are determined by our board of directors.</w:t>
      </w:r>
    </w:p>
    <w:p>
      <w:pPr>
        <w:spacing w:after="0" w:line="112" w:lineRule="exact"/>
        <w:rPr>
          <w:sz w:val="20"/>
          <w:szCs w:val="20"/>
          <w:color w:val="auto"/>
        </w:rPr>
      </w:pPr>
    </w:p>
    <w:p>
      <w:pPr>
        <w:ind w:right="500" w:firstLine="420"/>
        <w:spacing w:after="0" w:line="286" w:lineRule="auto"/>
        <w:rPr>
          <w:sz w:val="20"/>
          <w:szCs w:val="20"/>
          <w:color w:val="auto"/>
        </w:rPr>
      </w:pPr>
      <w:r>
        <w:rPr>
          <w:rFonts w:ascii="Times New Roman" w:cs="Times New Roman" w:eastAsia="Times New Roman" w:hAnsi="Times New Roman"/>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12"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Recent Accounting Pronouncements</w:t>
      </w:r>
    </w:p>
    <w:p>
      <w:pPr>
        <w:spacing w:after="0" w:line="167"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In March 2020, the FASB issued Accounting Standards Update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June 30, 2023. The FASB approved an (optional) two year extension to December 31, 2024, for transitioning away from LIBOR. The Company utilized the optional expedients and exceptions provided by ASU 2020-04 during the three and nine months ended June 30, 2024, the effect of which was not material to the consolidated financial statements and the notes thereto.</w:t>
      </w:r>
    </w:p>
    <w:p>
      <w:pPr>
        <w:spacing w:after="0" w:line="130"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310 -40,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14" w:right="640" w:bottom="1440" w:gutter="0" w:footer="0" w:header="0"/>
        </w:sectPr>
      </w:pPr>
    </w:p>
    <w:bookmarkStart w:id="57" w:name="page58"/>
    <w:bookmarkEnd w:id="57"/>
    <w:p>
      <w:pPr>
        <w:spacing w:after="0" w:line="31" w:lineRule="exact"/>
        <w:rPr>
          <w:sz w:val="20"/>
          <w:szCs w:val="20"/>
          <w:color w:val="auto"/>
        </w:rPr>
      </w:pPr>
    </w:p>
    <w:p>
      <w:pPr>
        <w:jc w:val="both"/>
        <w:ind w:right="80" w:firstLine="420"/>
        <w:spacing w:after="0" w:line="257" w:lineRule="auto"/>
        <w:rPr>
          <w:sz w:val="20"/>
          <w:szCs w:val="20"/>
          <w:color w:val="auto"/>
        </w:rPr>
      </w:pPr>
      <w:r>
        <w:rPr>
          <w:rFonts w:ascii="Times New Roman" w:cs="Times New Roman" w:eastAsia="Times New Roman" w:hAnsi="Times New Roman"/>
          <w:sz w:val="13"/>
          <w:szCs w:val="13"/>
          <w:color w:val="auto"/>
        </w:rPr>
        <w:t>In June 2022, the FASB issued ASU 2022-03, Fair Value Measurement (Topic 820): Fair Value Measurement of Equity Securities Subject to Contractual Sale Restrictions ("ASU 2022-03"), which changed the fair value measurement disclosure requirements of ASC Topic 820, Fair Value Measurements and Disclosures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32" w:lineRule="exact"/>
        <w:rPr>
          <w:sz w:val="20"/>
          <w:szCs w:val="20"/>
          <w:color w:val="auto"/>
        </w:rPr>
      </w:pPr>
    </w:p>
    <w:p>
      <w:pPr>
        <w:jc w:val="both"/>
        <w:ind w:right="420" w:firstLine="420"/>
        <w:spacing w:after="0" w:line="268" w:lineRule="auto"/>
        <w:rPr>
          <w:sz w:val="20"/>
          <w:szCs w:val="20"/>
          <w:color w:val="auto"/>
        </w:rPr>
      </w:pPr>
      <w:r>
        <w:rPr>
          <w:rFonts w:ascii="Times New Roman" w:cs="Times New Roman" w:eastAsia="Times New Roman" w:hAnsi="Times New Roman"/>
          <w:sz w:val="13"/>
          <w:szCs w:val="13"/>
          <w:color w:val="auto"/>
        </w:rPr>
        <w:t>In December 2023, the FASB issued ASU 2023 - 09 "Improvements to Income Tax Disclosures" ("ASU 2023 - 09"). ASU 2023 - 09 intends to improve the transparency of income tax disclosures. ASU 2023 - 09 is effective for fiscal years beginning after December 15, 2024 and is to be adopted on a prospective basis with the option to apply retrospectively. We are currently assessing the impact of this guidance, however, we do not expect a material impact to our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Share Repurchase Program</w:t>
      </w:r>
    </w:p>
    <w:p>
      <w:pPr>
        <w:spacing w:after="0" w:line="191"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3"/>
          <w:szCs w:val="13"/>
          <w:color w:val="auto"/>
        </w:rPr>
        <w:t>On February 9, 2022, we announced a share repurchase program which allows us to repurchase up to $25 million of our outstanding common shares in the open market at prices below our net asset value as reported in our then most recently published consolidated financial statements. The program expired on March 31, 2023. During the nine months ended June 30, 2023, we did not make any repurchases of our common shares.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Quantitative and Qualitative Disclosures About Market Risk</w:t>
      </w:r>
    </w:p>
    <w:p>
      <w:pPr>
        <w:spacing w:after="0" w:line="165"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We are subject to financial market risks, including changes in interest rates. As of June 30, 2024, our debt portfolio consisted of 96% variable-rate investments and 4% fixed rate investments. The variable- rate loans are usually based on a SOFR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30" w:lineRule="exact"/>
        <w:rPr>
          <w:sz w:val="20"/>
          <w:szCs w:val="20"/>
          <w:color w:val="auto"/>
        </w:rPr>
      </w:pPr>
    </w:p>
    <w:p>
      <w:pPr>
        <w:ind w:right="320" w:firstLine="420"/>
        <w:spacing w:after="0" w:line="286" w:lineRule="auto"/>
        <w:rPr>
          <w:sz w:val="20"/>
          <w:szCs w:val="20"/>
          <w:color w:val="auto"/>
        </w:rPr>
      </w:pPr>
      <w:r>
        <w:rPr>
          <w:rFonts w:ascii="Times New Roman" w:cs="Times New Roman" w:eastAsia="Times New Roman" w:hAnsi="Times New Roman"/>
          <w:sz w:val="13"/>
          <w:szCs w:val="13"/>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00" w:type="dxa"/>
            <w:vAlign w:val="bottom"/>
          </w:tcPr>
          <w:p>
            <w:pPr>
              <w:spacing w:after="0"/>
              <w:rPr>
                <w:sz w:val="13"/>
                <w:szCs w:val="13"/>
                <w:color w:val="auto"/>
              </w:rPr>
            </w:pPr>
          </w:p>
        </w:tc>
        <w:tc>
          <w:tcPr>
            <w:tcW w:w="3260" w:type="dxa"/>
            <w:vAlign w:val="bottom"/>
          </w:tcPr>
          <w:p>
            <w:pPr>
              <w:jc w:val="center"/>
              <w:ind w:left="1134"/>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80" w:type="dxa"/>
            <w:vAlign w:val="bottom"/>
          </w:tcPr>
          <w:p>
            <w:pPr>
              <w:jc w:val="center"/>
              <w:ind w:right="514"/>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c>
          <w:tcPr>
            <w:tcW w:w="0" w:type="dxa"/>
            <w:vAlign w:val="bottom"/>
          </w:tcPr>
          <w:p>
            <w:pPr>
              <w:spacing w:after="0"/>
              <w:rPr>
                <w:sz w:val="1"/>
                <w:szCs w:val="1"/>
                <w:color w:val="auto"/>
              </w:rPr>
            </w:pPr>
          </w:p>
        </w:tc>
      </w:tr>
      <w:tr>
        <w:trPr>
          <w:trHeight w:val="156"/>
        </w:trPr>
        <w:tc>
          <w:tcPr>
            <w:tcW w:w="3000" w:type="dxa"/>
            <w:vAlign w:val="bottom"/>
          </w:tcPr>
          <w:p>
            <w:pPr>
              <w:spacing w:after="0"/>
              <w:rPr>
                <w:sz w:val="13"/>
                <w:szCs w:val="13"/>
                <w:color w:val="auto"/>
              </w:rPr>
            </w:pPr>
          </w:p>
        </w:tc>
        <w:tc>
          <w:tcPr>
            <w:tcW w:w="3260" w:type="dxa"/>
            <w:vAlign w:val="bottom"/>
          </w:tcPr>
          <w:p>
            <w:pPr>
              <w:jc w:val="center"/>
              <w:ind w:left="1154"/>
              <w:spacing w:after="0"/>
              <w:rPr>
                <w:sz w:val="20"/>
                <w:szCs w:val="20"/>
                <w:color w:val="auto"/>
              </w:rPr>
            </w:pPr>
            <w:r>
              <w:rPr>
                <w:rFonts w:ascii="Times New Roman" w:cs="Times New Roman" w:eastAsia="Times New Roman" w:hAnsi="Times New Roman"/>
                <w:sz w:val="13"/>
                <w:szCs w:val="13"/>
                <w:b w:val="1"/>
                <w:bCs w:val="1"/>
                <w:color w:val="auto"/>
              </w:rPr>
              <w:t>Net of Interest Expense</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80" w:type="dxa"/>
            <w:vAlign w:val="bottom"/>
          </w:tcPr>
          <w:p>
            <w:pPr>
              <w:jc w:val="center"/>
              <w:ind w:right="514"/>
              <w:spacing w:after="0"/>
              <w:rPr>
                <w:sz w:val="20"/>
                <w:szCs w:val="20"/>
                <w:color w:val="auto"/>
              </w:rPr>
            </w:pPr>
            <w:r>
              <w:rPr>
                <w:rFonts w:ascii="Times New Roman" w:cs="Times New Roman" w:eastAsia="Times New Roman" w:hAnsi="Times New Roman"/>
                <w:sz w:val="13"/>
                <w:szCs w:val="13"/>
                <w:b w:val="1"/>
                <w:bCs w:val="1"/>
                <w:color w:val="auto"/>
              </w:rPr>
              <w:t>Net of Interest</w:t>
            </w:r>
          </w:p>
        </w:tc>
        <w:tc>
          <w:tcPr>
            <w:tcW w:w="0" w:type="dxa"/>
            <w:vAlign w:val="bottom"/>
          </w:tcPr>
          <w:p>
            <w:pPr>
              <w:spacing w:after="0"/>
              <w:rPr>
                <w:sz w:val="1"/>
                <w:szCs w:val="1"/>
                <w:color w:val="auto"/>
              </w:rPr>
            </w:pPr>
          </w:p>
        </w:tc>
      </w:tr>
      <w:tr>
        <w:trPr>
          <w:trHeight w:val="178"/>
        </w:trPr>
        <w:tc>
          <w:tcPr>
            <w:tcW w:w="3000" w:type="dxa"/>
            <w:vAlign w:val="bottom"/>
          </w:tcPr>
          <w:p>
            <w:pPr>
              <w:jc w:val="center"/>
              <w:ind w:left="334"/>
              <w:spacing w:after="0"/>
              <w:rPr>
                <w:sz w:val="20"/>
                <w:szCs w:val="20"/>
                <w:color w:val="auto"/>
              </w:rPr>
            </w:pPr>
            <w:r>
              <w:rPr>
                <w:rFonts w:ascii="Times New Roman" w:cs="Times New Roman" w:eastAsia="Times New Roman" w:hAnsi="Times New Roman"/>
                <w:sz w:val="13"/>
                <w:szCs w:val="13"/>
                <w:b w:val="1"/>
                <w:bCs w:val="1"/>
                <w:color w:val="auto"/>
              </w:rPr>
              <w:t>Change in Interest Rates</w:t>
            </w:r>
          </w:p>
        </w:tc>
        <w:tc>
          <w:tcPr>
            <w:tcW w:w="326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80" w:type="dxa"/>
            <w:vAlign w:val="bottom"/>
          </w:tcPr>
          <w:p>
            <w:pPr>
              <w:jc w:val="center"/>
              <w:ind w:right="514"/>
              <w:spacing w:after="0"/>
              <w:rPr>
                <w:sz w:val="20"/>
                <w:szCs w:val="20"/>
                <w:color w:val="auto"/>
              </w:rPr>
            </w:pPr>
            <w:r>
              <w:rPr>
                <w:rFonts w:ascii="Times New Roman" w:cs="Times New Roman" w:eastAsia="Times New Roman" w:hAnsi="Times New Roman"/>
                <w:sz w:val="13"/>
                <w:szCs w:val="13"/>
                <w:b w:val="1"/>
                <w:bCs w:val="1"/>
                <w:color w:val="auto"/>
              </w:rPr>
              <w:t>Expense Per Share</w:t>
            </w:r>
          </w:p>
        </w:tc>
        <w:tc>
          <w:tcPr>
            <w:tcW w:w="0" w:type="dxa"/>
            <w:vAlign w:val="bottom"/>
          </w:tcPr>
          <w:p>
            <w:pPr>
              <w:spacing w:after="0"/>
              <w:rPr>
                <w:sz w:val="1"/>
                <w:szCs w:val="1"/>
                <w:color w:val="auto"/>
              </w:rPr>
            </w:pPr>
          </w:p>
        </w:tc>
      </w:tr>
      <w:tr>
        <w:trPr>
          <w:trHeight w:val="184"/>
        </w:trPr>
        <w:tc>
          <w:tcPr>
            <w:tcW w:w="3000" w:type="dxa"/>
            <w:vAlign w:val="bottom"/>
            <w:shd w:val="clear" w:color="auto" w:fill="CCECFF"/>
          </w:tcPr>
          <w:p>
            <w:pPr>
              <w:jc w:val="center"/>
              <w:ind w:left="314"/>
              <w:spacing w:after="0"/>
              <w:rPr>
                <w:sz w:val="20"/>
                <w:szCs w:val="20"/>
                <w:color w:val="auto"/>
              </w:rPr>
            </w:pPr>
            <w:r>
              <w:rPr>
                <w:rFonts w:ascii="Times New Roman" w:cs="Times New Roman" w:eastAsia="Times New Roman" w:hAnsi="Times New Roman"/>
                <w:sz w:val="13"/>
                <w:szCs w:val="13"/>
                <w:color w:val="auto"/>
              </w:rPr>
              <w:t>Down 1%</w:t>
            </w:r>
          </w:p>
        </w:tc>
        <w:tc>
          <w:tcPr>
            <w:tcW w:w="3260" w:type="dxa"/>
            <w:vAlign w:val="bottom"/>
            <w:shd w:val="clear" w:color="auto" w:fill="CCECFF"/>
          </w:tcPr>
          <w:p>
            <w:pPr>
              <w:jc w:val="right"/>
              <w:ind w:right="251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(4,318 )</w:t>
            </w:r>
          </w:p>
        </w:tc>
        <w:tc>
          <w:tcPr>
            <w:tcW w:w="600" w:type="dxa"/>
            <w:vAlign w:val="bottom"/>
            <w:shd w:val="clear" w:color="auto" w:fill="CCECFF"/>
          </w:tcPr>
          <w:p>
            <w:pPr>
              <w:jc w:val="right"/>
              <w:ind w:right="334"/>
              <w:spacing w:after="0"/>
              <w:rPr>
                <w:sz w:val="20"/>
                <w:szCs w:val="20"/>
                <w:color w:val="auto"/>
              </w:rPr>
            </w:pPr>
            <w:r>
              <w:rPr>
                <w:rFonts w:ascii="Times New Roman" w:cs="Times New Roman" w:eastAsia="Times New Roman" w:hAnsi="Times New Roman"/>
                <w:sz w:val="13"/>
                <w:szCs w:val="13"/>
                <w:color w:val="auto"/>
              </w:rPr>
              <w:t>$</w:t>
            </w:r>
          </w:p>
        </w:tc>
        <w:tc>
          <w:tcPr>
            <w:tcW w:w="2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(0.07 )</w:t>
            </w:r>
          </w:p>
        </w:tc>
        <w:tc>
          <w:tcPr>
            <w:tcW w:w="0" w:type="dxa"/>
            <w:vAlign w:val="bottom"/>
          </w:tcPr>
          <w:p>
            <w:pPr>
              <w:spacing w:after="0"/>
              <w:rPr>
                <w:sz w:val="1"/>
                <w:szCs w:val="1"/>
                <w:color w:val="auto"/>
              </w:rPr>
            </w:pPr>
          </w:p>
        </w:tc>
      </w:tr>
      <w:tr>
        <w:trPr>
          <w:trHeight w:val="172"/>
        </w:trPr>
        <w:tc>
          <w:tcPr>
            <w:tcW w:w="300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Up 1%</w:t>
            </w:r>
          </w:p>
        </w:tc>
        <w:tc>
          <w:tcPr>
            <w:tcW w:w="3260" w:type="dxa"/>
            <w:vAlign w:val="bottom"/>
          </w:tcPr>
          <w:p>
            <w:pPr>
              <w:spacing w:after="0"/>
              <w:rPr>
                <w:sz w:val="14"/>
                <w:szCs w:val="14"/>
                <w:color w:val="auto"/>
              </w:rPr>
            </w:pPr>
          </w:p>
        </w:tc>
        <w:tc>
          <w:tcPr>
            <w:tcW w:w="82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auto"/>
              </w:rPr>
              <w:t>4,318</w:t>
            </w:r>
          </w:p>
        </w:tc>
        <w:tc>
          <w:tcPr>
            <w:tcW w:w="600" w:type="dxa"/>
            <w:vAlign w:val="bottom"/>
          </w:tcPr>
          <w:p>
            <w:pPr>
              <w:spacing w:after="0"/>
              <w:rPr>
                <w:sz w:val="14"/>
                <w:szCs w:val="14"/>
                <w:color w:val="auto"/>
              </w:rPr>
            </w:pPr>
          </w:p>
        </w:tc>
        <w:tc>
          <w:tcPr>
            <w:tcW w:w="2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0.07</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000" w:type="dxa"/>
            <w:vAlign w:val="bottom"/>
            <w:shd w:val="clear" w:color="auto" w:fill="CCECFF"/>
          </w:tcPr>
          <w:p>
            <w:pPr>
              <w:jc w:val="center"/>
              <w:ind w:left="314"/>
              <w:spacing w:after="0"/>
              <w:rPr>
                <w:sz w:val="20"/>
                <w:szCs w:val="20"/>
                <w:color w:val="auto"/>
              </w:rPr>
            </w:pPr>
            <w:r>
              <w:rPr>
                <w:rFonts w:ascii="Times New Roman" w:cs="Times New Roman" w:eastAsia="Times New Roman" w:hAnsi="Times New Roman"/>
                <w:sz w:val="13"/>
                <w:szCs w:val="13"/>
                <w:color w:val="auto"/>
              </w:rPr>
              <w:t>Up 2%</w:t>
            </w:r>
          </w:p>
        </w:tc>
        <w:tc>
          <w:tcPr>
            <w:tcW w:w="3260" w:type="dxa"/>
            <w:vAlign w:val="bottom"/>
            <w:shd w:val="clear" w:color="auto" w:fill="CCECFF"/>
          </w:tcPr>
          <w:p>
            <w:pPr>
              <w:spacing w:after="0"/>
              <w:rPr>
                <w:sz w:val="16"/>
                <w:szCs w:val="16"/>
                <w:color w:val="auto"/>
              </w:rPr>
            </w:pPr>
          </w:p>
        </w:tc>
        <w:tc>
          <w:tcPr>
            <w:tcW w:w="82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8,637</w:t>
            </w:r>
          </w:p>
        </w:tc>
        <w:tc>
          <w:tcPr>
            <w:tcW w:w="600" w:type="dxa"/>
            <w:vAlign w:val="bottom"/>
            <w:shd w:val="clear" w:color="auto" w:fill="CCECFF"/>
          </w:tcPr>
          <w:p>
            <w:pPr>
              <w:spacing w:after="0"/>
              <w:rPr>
                <w:sz w:val="16"/>
                <w:szCs w:val="16"/>
                <w:color w:val="auto"/>
              </w:rPr>
            </w:pPr>
          </w:p>
        </w:tc>
        <w:tc>
          <w:tcPr>
            <w:tcW w:w="28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0.13</w:t>
            </w:r>
          </w:p>
        </w:tc>
        <w:tc>
          <w:tcPr>
            <w:tcW w:w="0" w:type="dxa"/>
            <w:vAlign w:val="bottom"/>
          </w:tcPr>
          <w:p>
            <w:pPr>
              <w:spacing w:after="0"/>
              <w:rPr>
                <w:sz w:val="1"/>
                <w:szCs w:val="1"/>
                <w:color w:val="auto"/>
              </w:rPr>
            </w:pPr>
          </w:p>
        </w:tc>
      </w:tr>
      <w:tr>
        <w:trPr>
          <w:trHeight w:val="176"/>
        </w:trPr>
        <w:tc>
          <w:tcPr>
            <w:tcW w:w="300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Up 3%</w:t>
            </w:r>
          </w:p>
        </w:tc>
        <w:tc>
          <w:tcPr>
            <w:tcW w:w="3260" w:type="dxa"/>
            <w:vAlign w:val="bottom"/>
          </w:tcPr>
          <w:p>
            <w:pPr>
              <w:spacing w:after="0"/>
              <w:rPr>
                <w:sz w:val="15"/>
                <w:szCs w:val="15"/>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12,955</w:t>
            </w:r>
          </w:p>
        </w:tc>
        <w:tc>
          <w:tcPr>
            <w:tcW w:w="600" w:type="dxa"/>
            <w:vAlign w:val="bottom"/>
          </w:tcPr>
          <w:p>
            <w:pPr>
              <w:spacing w:after="0"/>
              <w:rPr>
                <w:sz w:val="15"/>
                <w:szCs w:val="15"/>
                <w:color w:val="auto"/>
              </w:rPr>
            </w:pPr>
          </w:p>
        </w:tc>
        <w:tc>
          <w:tcPr>
            <w:tcW w:w="2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0.20</w:t>
            </w:r>
          </w:p>
        </w:tc>
        <w:tc>
          <w:tcPr>
            <w:tcW w:w="0" w:type="dxa"/>
            <w:vAlign w:val="bottom"/>
          </w:tcPr>
          <w:p>
            <w:pPr>
              <w:spacing w:after="0"/>
              <w:rPr>
                <w:sz w:val="1"/>
                <w:szCs w:val="1"/>
                <w:color w:val="auto"/>
              </w:rPr>
            </w:pPr>
          </w:p>
        </w:tc>
      </w:tr>
      <w:tr>
        <w:trPr>
          <w:trHeight w:val="184"/>
        </w:trPr>
        <w:tc>
          <w:tcPr>
            <w:tcW w:w="3000" w:type="dxa"/>
            <w:vAlign w:val="bottom"/>
            <w:shd w:val="clear" w:color="auto" w:fill="CCECFF"/>
          </w:tcPr>
          <w:p>
            <w:pPr>
              <w:jc w:val="center"/>
              <w:ind w:left="314"/>
              <w:spacing w:after="0"/>
              <w:rPr>
                <w:sz w:val="20"/>
                <w:szCs w:val="20"/>
                <w:color w:val="auto"/>
              </w:rPr>
            </w:pPr>
            <w:r>
              <w:rPr>
                <w:rFonts w:ascii="Times New Roman" w:cs="Times New Roman" w:eastAsia="Times New Roman" w:hAnsi="Times New Roman"/>
                <w:sz w:val="13"/>
                <w:szCs w:val="13"/>
                <w:color w:val="auto"/>
              </w:rPr>
              <w:t>Up 4%</w:t>
            </w:r>
          </w:p>
        </w:tc>
        <w:tc>
          <w:tcPr>
            <w:tcW w:w="3260" w:type="dxa"/>
            <w:vAlign w:val="bottom"/>
            <w:shd w:val="clear" w:color="auto" w:fill="CCECFF"/>
          </w:tcPr>
          <w:p>
            <w:pPr>
              <w:spacing w:after="0"/>
              <w:rPr>
                <w:sz w:val="16"/>
                <w:szCs w:val="16"/>
                <w:color w:val="auto"/>
              </w:rPr>
            </w:pPr>
          </w:p>
        </w:tc>
        <w:tc>
          <w:tcPr>
            <w:tcW w:w="8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17,294</w:t>
            </w:r>
          </w:p>
        </w:tc>
        <w:tc>
          <w:tcPr>
            <w:tcW w:w="600" w:type="dxa"/>
            <w:vAlign w:val="bottom"/>
            <w:shd w:val="clear" w:color="auto" w:fill="CCECFF"/>
          </w:tcPr>
          <w:p>
            <w:pPr>
              <w:spacing w:after="0"/>
              <w:rPr>
                <w:sz w:val="16"/>
                <w:szCs w:val="16"/>
                <w:color w:val="auto"/>
              </w:rPr>
            </w:pPr>
          </w:p>
        </w:tc>
        <w:tc>
          <w:tcPr>
            <w:tcW w:w="28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0.26</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60" w:firstLine="420"/>
        <w:spacing w:after="0" w:line="268" w:lineRule="auto"/>
        <w:rPr>
          <w:sz w:val="20"/>
          <w:szCs w:val="20"/>
          <w:color w:val="auto"/>
        </w:rPr>
      </w:pPr>
      <w:r>
        <w:rPr>
          <w:rFonts w:ascii="Times New Roman" w:cs="Times New Roman" w:eastAsia="Times New Roman" w:hAnsi="Times New Roman"/>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23"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23"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We may hedge against interest rate and foreign currency fluctuations by using standard hedging instruments such as futures, options and forward contracts or our Truist Credit Facility subject to the requirements of the 1940 Act and applicable commodities laws. While hedging activities may insulate us against adverse changes in interest rates and foreign currencies, they may also limit our ability to participate in the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8" w:name="page59"/>
    <w:bookmarkEnd w:id="58"/>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Controls and Procedures</w:t>
      </w:r>
    </w:p>
    <w:p>
      <w:pPr>
        <w:spacing w:after="0" w:line="165"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As of the quarter ended June 30, 2024, we, including our Chief Executive Officer and Chief Financial Officer, evaluated the effectiveness of the design and operation of our disclosure controls and procedures (as defined in Rule 13a-15(e) of the Exchange Act). As disclosed in our Annual Report on Form 10-K for the fiscal year ended September 30, 2023, a material weakness was previously identified in connection with our internal control over financial reporting relating to the review of quarterly cash and investment reconciliations. Additionally, a material weakness was identified in the operation of our internal controls over financial reporting relating to our review of interest income and non-accrual classification of investments. We have taken steps to remediate these material weaknesses, which steps have included (i) enhancing existing controls to ensure the appropriate review of the quarterly cash and investment reconciliation and that it is adequately documented so as to provide evidence that the controls are operating effectively (ii) enhancing existing controls to ensure that our internal controls over financial reporting relating to our analysis of interest income and assessment of investments for classification as non-accrual investments are operating effectively and (iii) enhancing policies and procedures to demonstrate a commitment to improving our overall control environment.</w:t>
      </w:r>
    </w:p>
    <w:p>
      <w:pPr>
        <w:spacing w:after="0" w:line="134"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Taking the above efforts into consideration, our management, including the Chief Executive Officer and Chief Financial Officer, concluded that our disclosure controls and procedures for the quarter ended June 30, 2024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32" w:lineRule="exact"/>
        <w:rPr>
          <w:sz w:val="20"/>
          <w:szCs w:val="20"/>
          <w:color w:val="auto"/>
        </w:rPr>
      </w:pPr>
    </w:p>
    <w:p>
      <w:pPr>
        <w:ind w:right="420" w:firstLine="420"/>
        <w:spacing w:after="0" w:line="286" w:lineRule="auto"/>
        <w:rPr>
          <w:sz w:val="20"/>
          <w:szCs w:val="20"/>
          <w:color w:val="auto"/>
        </w:rPr>
      </w:pPr>
      <w:r>
        <w:rPr>
          <w:rFonts w:ascii="Times New Roman" w:cs="Times New Roman" w:eastAsia="Times New Roman" w:hAnsi="Times New Roman"/>
          <w:sz w:val="13"/>
          <w:szCs w:val="13"/>
          <w:color w:val="auto"/>
        </w:rPr>
        <w:t>Other than disclosed in this Item 4, there have been no changes in our internal control over financial reporting that occurred during the quarter ended June 30, 2024 that have materially affected, or are reasonably likely to materially affect, our internal control over financial reporting.</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b w:val="1"/>
          <w:bCs w:val="1"/>
          <w:color w:val="auto"/>
        </w:rPr>
        <w:t>PART II – OTHER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Legal Proceedings</w:t>
      </w:r>
    </w:p>
    <w:p>
      <w:pPr>
        <w:spacing w:after="0" w:line="165" w:lineRule="exact"/>
        <w:rPr>
          <w:sz w:val="20"/>
          <w:szCs w:val="20"/>
          <w:color w:val="auto"/>
        </w:rPr>
      </w:pPr>
    </w:p>
    <w:p>
      <w:pPr>
        <w:jc w:val="both"/>
        <w:ind w:right="80" w:firstLine="420"/>
        <w:spacing w:after="0" w:line="262" w:lineRule="auto"/>
        <w:rPr>
          <w:sz w:val="20"/>
          <w:szCs w:val="20"/>
          <w:color w:val="auto"/>
        </w:rPr>
      </w:pPr>
      <w:r>
        <w:rPr>
          <w:rFonts w:ascii="Times New Roman" w:cs="Times New Roman" w:eastAsia="Times New Roman" w:hAnsi="Times New Roman"/>
          <w:sz w:val="13"/>
          <w:szCs w:val="13"/>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165"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In addition to the other information set forth in this Report, you should consider carefully the factors discussed below, as well as in Part I “Item 1A. Risk Factors” in our Annual Report on Form 10-K for the fiscal year ended September 30, 2023, filed on December 8, 2023, which could materially affect our business, financial condition and/or operating results. The risks as in our Annual Report on Form 10-K, are not the only risks facing PennantPark Investment Corp. Additional risks and uncertainties not currently known to us or that we currently deem to be immaterial also may materially and adversely affect our business, financial condition and/or operating results.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2. Unregistered Sales of Equity Securities and Use of Proceeds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 unregistered securities were sold in the quarter ended June 30, 2024.</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Issuer Purchases of Equity Securities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Repurchases of our common stock under our share repurchase program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Approximate Dollar Value</w:t>
            </w: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Purchased as Part of Publicly</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of Shares that May Yet Be</w:t>
            </w: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214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Announced Plans or</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Purchased Under the Plans</w:t>
            </w:r>
          </w:p>
        </w:tc>
        <w:tc>
          <w:tcPr>
            <w:tcW w:w="0" w:type="dxa"/>
            <w:vAlign w:val="bottom"/>
          </w:tcPr>
          <w:p>
            <w:pPr>
              <w:spacing w:after="0"/>
              <w:rPr>
                <w:sz w:val="1"/>
                <w:szCs w:val="1"/>
                <w:color w:val="auto"/>
              </w:rPr>
            </w:pPr>
          </w:p>
        </w:tc>
      </w:tr>
      <w:tr>
        <w:trPr>
          <w:trHeight w:val="174"/>
        </w:trPr>
        <w:tc>
          <w:tcPr>
            <w:tcW w:w="2860" w:type="dxa"/>
            <w:vAlign w:val="bottom"/>
          </w:tcPr>
          <w:p>
            <w:pPr>
              <w:ind w:left="136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214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200" w:type="dxa"/>
            <w:vAlign w:val="bottom"/>
          </w:tcPr>
          <w:p>
            <w:pPr>
              <w:spacing w:after="0"/>
              <w:rPr>
                <w:sz w:val="15"/>
                <w:szCs w:val="15"/>
                <w:color w:val="auto"/>
              </w:rPr>
            </w:pPr>
          </w:p>
        </w:tc>
        <w:tc>
          <w:tcPr>
            <w:tcW w:w="16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Average Price per Share</w:t>
            </w: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xml:space="preserve">Programs </w:t>
            </w:r>
            <w:r>
              <w:rPr>
                <w:rFonts w:ascii="Times New Roman" w:cs="Times New Roman" w:eastAsia="Times New Roman" w:hAnsi="Times New Roman"/>
                <w:sz w:val="7"/>
                <w:szCs w:val="7"/>
                <w:b w:val="1"/>
                <w:bCs w:val="1"/>
                <w:color w:val="auto"/>
                <w:w w:val="99"/>
              </w:rPr>
              <w:t>(1)</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or Programs (in thousands)</w:t>
            </w:r>
          </w:p>
        </w:tc>
        <w:tc>
          <w:tcPr>
            <w:tcW w:w="0" w:type="dxa"/>
            <w:vAlign w:val="bottom"/>
          </w:tcPr>
          <w:p>
            <w:pPr>
              <w:spacing w:after="0"/>
              <w:rPr>
                <w:sz w:val="1"/>
                <w:szCs w:val="1"/>
                <w:color w:val="auto"/>
              </w:rPr>
            </w:pPr>
          </w:p>
        </w:tc>
      </w:tr>
      <w:tr>
        <w:trPr>
          <w:trHeight w:val="184"/>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January 1, 2022 through March 31, 2022</w:t>
            </w:r>
          </w:p>
        </w:tc>
        <w:tc>
          <w:tcPr>
            <w:tcW w:w="21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913,454</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7.72</w:t>
            </w:r>
          </w:p>
        </w:tc>
        <w:tc>
          <w:tcPr>
            <w:tcW w:w="1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913,454</w:t>
            </w:r>
          </w:p>
        </w:tc>
        <w:tc>
          <w:tcPr>
            <w:tcW w:w="76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17,944</w:t>
            </w:r>
          </w:p>
        </w:tc>
        <w:tc>
          <w:tcPr>
            <w:tcW w:w="0" w:type="dxa"/>
            <w:vAlign w:val="bottom"/>
          </w:tcPr>
          <w:p>
            <w:pPr>
              <w:spacing w:after="0"/>
              <w:rPr>
                <w:sz w:val="1"/>
                <w:szCs w:val="1"/>
                <w:color w:val="auto"/>
              </w:rPr>
            </w:pPr>
          </w:p>
        </w:tc>
      </w:tr>
      <w:tr>
        <w:trPr>
          <w:trHeight w:val="184"/>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April 1, 2022 through June 30, 2022</w:t>
            </w:r>
          </w:p>
        </w:tc>
        <w:tc>
          <w:tcPr>
            <w:tcW w:w="21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717,709</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6.91</w:t>
            </w:r>
          </w:p>
        </w:tc>
        <w:tc>
          <w:tcPr>
            <w:tcW w:w="19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1,631,163</w:t>
            </w:r>
          </w:p>
        </w:tc>
        <w:tc>
          <w:tcPr>
            <w:tcW w:w="760" w:type="dxa"/>
            <w:vAlign w:val="bottom"/>
            <w:shd w:val="clear" w:color="auto" w:fill="CCECFF"/>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12,986</w:t>
            </w:r>
          </w:p>
        </w:tc>
        <w:tc>
          <w:tcPr>
            <w:tcW w:w="0" w:type="dxa"/>
            <w:vAlign w:val="bottom"/>
          </w:tcPr>
          <w:p>
            <w:pPr>
              <w:spacing w:after="0"/>
              <w:rPr>
                <w:sz w:val="1"/>
                <w:szCs w:val="1"/>
                <w:color w:val="auto"/>
              </w:rPr>
            </w:pPr>
          </w:p>
        </w:tc>
      </w:tr>
      <w:tr>
        <w:trPr>
          <w:trHeight w:val="172"/>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July 1, 2022 through September 30, 2022</w:t>
            </w:r>
          </w:p>
        </w:tc>
        <w:tc>
          <w:tcPr>
            <w:tcW w:w="214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rPr>
              <w:t>189,442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rPr>
              <w:t>6.52</w:t>
            </w:r>
          </w:p>
        </w:tc>
        <w:tc>
          <w:tcPr>
            <w:tcW w:w="1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1,820,605</w:t>
            </w:r>
          </w:p>
        </w:tc>
        <w:tc>
          <w:tcPr>
            <w:tcW w:w="760" w:type="dxa"/>
            <w:vAlign w:val="bottom"/>
            <w:vMerge w:val="restart"/>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11,751</w:t>
            </w:r>
          </w:p>
        </w:tc>
        <w:tc>
          <w:tcPr>
            <w:tcW w:w="0" w:type="dxa"/>
            <w:vAlign w:val="bottom"/>
          </w:tcPr>
          <w:p>
            <w:pPr>
              <w:spacing w:after="0"/>
              <w:rPr>
                <w:sz w:val="1"/>
                <w:szCs w:val="1"/>
                <w:color w:val="auto"/>
              </w:rPr>
            </w:pPr>
          </w:p>
        </w:tc>
      </w:tr>
      <w:tr>
        <w:trPr>
          <w:trHeight w:val="124"/>
        </w:trPr>
        <w:tc>
          <w:tcPr>
            <w:tcW w:w="2860" w:type="dxa"/>
            <w:vAlign w:val="bottom"/>
          </w:tcPr>
          <w:p>
            <w:pPr>
              <w:spacing w:after="0"/>
              <w:rPr>
                <w:sz w:val="10"/>
                <w:szCs w:val="10"/>
                <w:color w:val="auto"/>
              </w:rPr>
            </w:pPr>
          </w:p>
        </w:tc>
        <w:tc>
          <w:tcPr>
            <w:tcW w:w="214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October 1, 2022 through December 31, 2022</w:t>
            </w:r>
          </w:p>
        </w:tc>
        <w:tc>
          <w:tcPr>
            <w:tcW w:w="21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1,820,605</w:t>
            </w:r>
          </w:p>
        </w:tc>
        <w:tc>
          <w:tcPr>
            <w:tcW w:w="760" w:type="dxa"/>
            <w:vAlign w:val="bottom"/>
            <w:shd w:val="clear" w:color="auto" w:fill="CCECFF"/>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11,751</w:t>
            </w: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January 1, 2023 through March 31, 2023</w:t>
            </w:r>
          </w:p>
        </w:tc>
        <w:tc>
          <w:tcPr>
            <w:tcW w:w="21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1,820,605</w:t>
            </w:r>
          </w:p>
        </w:tc>
        <w:tc>
          <w:tcPr>
            <w:tcW w:w="76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1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1,820,605</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7.28</w:t>
            </w:r>
          </w:p>
        </w:tc>
        <w:tc>
          <w:tcPr>
            <w:tcW w:w="1900" w:type="dxa"/>
            <w:vAlign w:val="bottom"/>
            <w:shd w:val="clear" w:color="auto" w:fill="CCECFF"/>
          </w:tcPr>
          <w:p>
            <w:pPr>
              <w:spacing w:after="0"/>
              <w:rPr>
                <w:sz w:val="16"/>
                <w:szCs w:val="16"/>
                <w:color w:val="auto"/>
              </w:rPr>
            </w:pPr>
          </w:p>
        </w:tc>
        <w:tc>
          <w:tcPr>
            <w:tcW w:w="760" w:type="dxa"/>
            <w:vAlign w:val="bottom"/>
            <w:shd w:val="clear" w:color="auto" w:fill="CCECFF"/>
          </w:tcPr>
          <w:p>
            <w:pPr>
              <w:spacing w:after="0"/>
              <w:rPr>
                <w:sz w:val="16"/>
                <w:szCs w:val="16"/>
                <w:color w:val="auto"/>
              </w:rPr>
            </w:pPr>
          </w:p>
        </w:tc>
        <w:tc>
          <w:tcPr>
            <w:tcW w:w="10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40" w:right="1820" w:hanging="322"/>
        <w:spacing w:after="0" w:line="268" w:lineRule="auto"/>
        <w:tabs>
          <w:tab w:leader="none" w:pos="340"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program expired on March 31, 2023 and we purchased 1.8 million shares of our common stock in open market transaction while the program was in effect for an aggregate cost (including transaction costs) of $13.2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Defaults Upon Senior Securities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None.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Mine Safety Disclosures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5. Other Information</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Amendment to Articles of Incorporation</w:t>
      </w:r>
    </w:p>
    <w:p>
      <w:pPr>
        <w:spacing w:after="0" w:line="163" w:lineRule="exact"/>
        <w:rPr>
          <w:sz w:val="20"/>
          <w:szCs w:val="20"/>
          <w:color w:val="auto"/>
        </w:rPr>
      </w:pPr>
    </w:p>
    <w:p>
      <w:pPr>
        <w:ind w:right="60" w:firstLine="420"/>
        <w:spacing w:after="0" w:line="286" w:lineRule="auto"/>
        <w:rPr>
          <w:sz w:val="20"/>
          <w:szCs w:val="20"/>
          <w:color w:val="auto"/>
        </w:rPr>
      </w:pPr>
      <w:r>
        <w:rPr>
          <w:rFonts w:ascii="Times New Roman" w:cs="Times New Roman" w:eastAsia="Times New Roman" w:hAnsi="Times New Roman"/>
          <w:sz w:val="13"/>
          <w:szCs w:val="13"/>
          <w:color w:val="auto"/>
        </w:rPr>
        <w:t>On August 7, 2024, we filed an amendment to our Articles of Incorporation with the State Department of Assessments and Taxation of Maryland to increase our authorized shares of common stock, par value $0.001 per share, from 100,000,000 shares of common stock to 200,000,000 shares of common stock.</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10b5-1 Disclosure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None of the officers or directors of the Company have adopted or terminated any Rule 10b5-1 trading arrangements applicable to them (if any) or the Company.</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b w:val="1"/>
          <w:bCs w:val="1"/>
          <w:color w:val="auto"/>
        </w:rPr>
        <w:t>Item 6. Exhibits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0480" w:type="dxa"/>
            <w:vAlign w:val="bottom"/>
            <w:gridSpan w:val="23"/>
          </w:tcPr>
          <w:p>
            <w:pPr>
              <w:ind w:left="400"/>
              <w:spacing w:after="0"/>
              <w:rPr>
                <w:sz w:val="20"/>
                <w:szCs w:val="20"/>
                <w:color w:val="auto"/>
              </w:rPr>
            </w:pPr>
            <w:r>
              <w:rPr>
                <w:rFonts w:ascii="Times New Roman" w:cs="Times New Roman" w:eastAsia="Times New Roman" w:hAnsi="Times New Roman"/>
                <w:sz w:val="13"/>
                <w:szCs w:val="13"/>
                <w:color w:val="auto"/>
              </w:rPr>
              <w:t>Unless specifically indicated otherwise, the following exhibits are incorporated by reference to exhibits previously filed with the SEC:</w:t>
            </w:r>
          </w:p>
        </w:tc>
      </w:tr>
      <w:tr>
        <w:trPr>
          <w:trHeight w:val="320"/>
        </w:trPr>
        <w:tc>
          <w:tcPr>
            <w:tcW w:w="1380" w:type="dxa"/>
            <w:vAlign w:val="bottom"/>
          </w:tcPr>
          <w:p>
            <w:pPr>
              <w:jc w:val="right"/>
              <w:ind w:right="1094"/>
              <w:spacing w:after="0"/>
              <w:rPr>
                <w:sz w:val="20"/>
                <w:szCs w:val="20"/>
                <w:color w:val="auto"/>
              </w:rPr>
            </w:pPr>
            <w:r>
              <w:rPr>
                <w:rFonts w:ascii="Times New Roman" w:cs="Times New Roman" w:eastAsia="Times New Roman" w:hAnsi="Times New Roman"/>
                <w:sz w:val="13"/>
                <w:szCs w:val="13"/>
                <w:color w:val="auto"/>
              </w:rPr>
              <w:t>3.1</w:t>
            </w:r>
          </w:p>
        </w:tc>
        <w:tc>
          <w:tcPr>
            <w:tcW w:w="9100" w:type="dxa"/>
            <w:vAlign w:val="bottom"/>
            <w:tcBorders>
              <w:bottom w:val="single" w:sz="8" w:color="0000FF"/>
            </w:tcBorders>
            <w:gridSpan w:val="22"/>
          </w:tcPr>
          <w:p>
            <w:pPr>
              <w:spacing w:after="0"/>
              <w:rPr>
                <w:rFonts w:ascii="Times New Roman" w:cs="Times New Roman" w:eastAsia="Times New Roman" w:hAnsi="Times New Roman"/>
                <w:sz w:val="13"/>
                <w:szCs w:val="13"/>
                <w:color w:val="0000FF"/>
              </w:rPr>
            </w:pPr>
            <w:hyperlink r:id="rId76">
              <w:r>
                <w:rPr>
                  <w:rFonts w:ascii="Times New Roman" w:cs="Times New Roman" w:eastAsia="Times New Roman" w:hAnsi="Times New Roman"/>
                  <w:sz w:val="13"/>
                  <w:szCs w:val="13"/>
                  <w:color w:val="0000FF"/>
                </w:rPr>
                <w:t>Articles of Incorporation (Incorporated by reference to Exhibit 99(a) to the Registrant’s Pre-Effective Amendment No. 3 to the Registration Statement on Form N-2/A (File</w:t>
              </w:r>
            </w:hyperlink>
          </w:p>
        </w:tc>
      </w:tr>
      <w:tr>
        <w:trPr>
          <w:trHeight w:val="136"/>
        </w:trPr>
        <w:tc>
          <w:tcPr>
            <w:tcW w:w="1380" w:type="dxa"/>
            <w:vAlign w:val="bottom"/>
          </w:tcPr>
          <w:p>
            <w:pPr>
              <w:spacing w:after="0"/>
              <w:rPr>
                <w:sz w:val="11"/>
                <w:szCs w:val="11"/>
                <w:color w:val="auto"/>
              </w:rPr>
            </w:pPr>
          </w:p>
        </w:tc>
        <w:tc>
          <w:tcPr>
            <w:tcW w:w="2200" w:type="dxa"/>
            <w:vAlign w:val="bottom"/>
            <w:tcBorders>
              <w:bottom w:val="single" w:sz="8" w:color="0000FF"/>
            </w:tcBorders>
            <w:gridSpan w:val="6"/>
          </w:tcPr>
          <w:p>
            <w:pPr>
              <w:spacing w:after="0" w:line="136" w:lineRule="exact"/>
              <w:rPr>
                <w:rFonts w:ascii="Times New Roman" w:cs="Times New Roman" w:eastAsia="Times New Roman" w:hAnsi="Times New Roman"/>
                <w:sz w:val="13"/>
                <w:szCs w:val="13"/>
                <w:color w:val="0000FF"/>
              </w:rPr>
            </w:pPr>
            <w:hyperlink r:id="rId76">
              <w:r>
                <w:rPr>
                  <w:rFonts w:ascii="Times New Roman" w:cs="Times New Roman" w:eastAsia="Times New Roman" w:hAnsi="Times New Roman"/>
                  <w:sz w:val="13"/>
                  <w:szCs w:val="13"/>
                  <w:color w:val="0000FF"/>
                </w:rPr>
                <w:t>No. 333-140092), filed on April 5, 2007).</w:t>
              </w:r>
            </w:hyperlink>
          </w:p>
        </w:tc>
        <w:tc>
          <w:tcPr>
            <w:tcW w:w="6900" w:type="dxa"/>
            <w:vAlign w:val="bottom"/>
            <w:gridSpan w:val="16"/>
          </w:tcPr>
          <w:p>
            <w:pPr>
              <w:spacing w:after="0"/>
              <w:rPr>
                <w:sz w:val="11"/>
                <w:szCs w:val="11"/>
                <w:color w:val="auto"/>
              </w:rPr>
            </w:pPr>
          </w:p>
        </w:tc>
      </w:tr>
      <w:tr>
        <w:trPr>
          <w:trHeight w:val="340"/>
        </w:trPr>
        <w:tc>
          <w:tcPr>
            <w:tcW w:w="138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rPr>
              <w:t>3.2*</w:t>
            </w:r>
          </w:p>
        </w:tc>
        <w:tc>
          <w:tcPr>
            <w:tcW w:w="3640" w:type="dxa"/>
            <w:vAlign w:val="bottom"/>
            <w:tcBorders>
              <w:bottom w:val="single" w:sz="8" w:color="0000FF"/>
            </w:tcBorders>
            <w:gridSpan w:val="9"/>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Articles of Amendment to Articles of Incorporation of the Registrant</w:t>
              </w:r>
            </w:hyperlink>
          </w:p>
        </w:tc>
        <w:tc>
          <w:tcPr>
            <w:tcW w:w="5460" w:type="dxa"/>
            <w:vAlign w:val="bottom"/>
            <w:gridSpan w:val="13"/>
          </w:tcPr>
          <w:p>
            <w:pPr>
              <w:spacing w:after="0"/>
              <w:rPr>
                <w:sz w:val="24"/>
                <w:szCs w:val="24"/>
                <w:color w:val="auto"/>
              </w:rPr>
            </w:pPr>
          </w:p>
        </w:tc>
      </w:tr>
      <w:tr>
        <w:trPr>
          <w:trHeight w:val="340"/>
        </w:trPr>
        <w:tc>
          <w:tcPr>
            <w:tcW w:w="1380" w:type="dxa"/>
            <w:vAlign w:val="bottom"/>
          </w:tcPr>
          <w:p>
            <w:pPr>
              <w:jc w:val="right"/>
              <w:ind w:right="1094"/>
              <w:spacing w:after="0"/>
              <w:rPr>
                <w:sz w:val="20"/>
                <w:szCs w:val="20"/>
                <w:color w:val="auto"/>
              </w:rPr>
            </w:pPr>
            <w:r>
              <w:rPr>
                <w:rFonts w:ascii="Times New Roman" w:cs="Times New Roman" w:eastAsia="Times New Roman" w:hAnsi="Times New Roman"/>
                <w:sz w:val="13"/>
                <w:szCs w:val="13"/>
                <w:color w:val="auto"/>
              </w:rPr>
              <w:t>3.3</w:t>
            </w:r>
          </w:p>
        </w:tc>
        <w:tc>
          <w:tcPr>
            <w:tcW w:w="9100" w:type="dxa"/>
            <w:vAlign w:val="bottom"/>
            <w:tcBorders>
              <w:bottom w:val="single" w:sz="8" w:color="0000FF"/>
            </w:tcBorders>
            <w:gridSpan w:val="22"/>
          </w:tcPr>
          <w:p>
            <w:pPr>
              <w:spacing w:after="0"/>
              <w:rPr>
                <w:rFonts w:ascii="Times New Roman" w:cs="Times New Roman" w:eastAsia="Times New Roman" w:hAnsi="Times New Roman"/>
                <w:sz w:val="13"/>
                <w:szCs w:val="13"/>
                <w:color w:val="0000FF"/>
              </w:rPr>
            </w:pPr>
            <w:hyperlink r:id="rId77">
              <w:r>
                <w:rPr>
                  <w:rFonts w:ascii="Times New Roman" w:cs="Times New Roman" w:eastAsia="Times New Roman" w:hAnsi="Times New Roman"/>
                  <w:sz w:val="13"/>
                  <w:szCs w:val="13"/>
                  <w:color w:val="0000FF"/>
                </w:rPr>
                <w:t>Second Amended and Restated Bylaws of the Registrant (Incorporated by reference to Exhibit 3.2 to the Registrant's Quarterly Report on Form 10-Q (File No. 814-00736),</w:t>
              </w:r>
            </w:hyperlink>
          </w:p>
        </w:tc>
      </w:tr>
      <w:tr>
        <w:trPr>
          <w:trHeight w:val="136"/>
        </w:trPr>
        <w:tc>
          <w:tcPr>
            <w:tcW w:w="1380" w:type="dxa"/>
            <w:vAlign w:val="bottom"/>
          </w:tcPr>
          <w:p>
            <w:pPr>
              <w:spacing w:after="0"/>
              <w:rPr>
                <w:sz w:val="11"/>
                <w:szCs w:val="11"/>
                <w:color w:val="auto"/>
              </w:rPr>
            </w:pPr>
          </w:p>
        </w:tc>
        <w:tc>
          <w:tcPr>
            <w:tcW w:w="1260" w:type="dxa"/>
            <w:vAlign w:val="bottom"/>
            <w:tcBorders>
              <w:bottom w:val="single" w:sz="8" w:color="0000FF"/>
            </w:tcBorders>
            <w:gridSpan w:val="4"/>
          </w:tcPr>
          <w:p>
            <w:pPr>
              <w:spacing w:after="0" w:line="136" w:lineRule="exact"/>
              <w:rPr>
                <w:rFonts w:ascii="Times New Roman" w:cs="Times New Roman" w:eastAsia="Times New Roman" w:hAnsi="Times New Roman"/>
                <w:sz w:val="13"/>
                <w:szCs w:val="13"/>
                <w:color w:val="0000FF"/>
              </w:rPr>
            </w:pPr>
            <w:hyperlink r:id="rId77">
              <w:r>
                <w:rPr>
                  <w:rFonts w:ascii="Times New Roman" w:cs="Times New Roman" w:eastAsia="Times New Roman" w:hAnsi="Times New Roman"/>
                  <w:sz w:val="13"/>
                  <w:szCs w:val="13"/>
                  <w:color w:val="0000FF"/>
                </w:rPr>
                <w:t>filed on May 11, 2020).</w:t>
              </w:r>
            </w:hyperlink>
          </w:p>
        </w:tc>
        <w:tc>
          <w:tcPr>
            <w:tcW w:w="7840" w:type="dxa"/>
            <w:vAlign w:val="bottom"/>
            <w:gridSpan w:val="18"/>
          </w:tcPr>
          <w:p>
            <w:pPr>
              <w:spacing w:after="0"/>
              <w:rPr>
                <w:sz w:val="11"/>
                <w:szCs w:val="11"/>
                <w:color w:val="auto"/>
              </w:rPr>
            </w:pPr>
          </w:p>
        </w:tc>
      </w:tr>
      <w:tr>
        <w:trPr>
          <w:trHeight w:val="340"/>
        </w:trPr>
        <w:tc>
          <w:tcPr>
            <w:tcW w:w="1380" w:type="dxa"/>
            <w:vAlign w:val="bottom"/>
          </w:tcPr>
          <w:p>
            <w:pPr>
              <w:jc w:val="right"/>
              <w:ind w:right="1094"/>
              <w:spacing w:after="0"/>
              <w:rPr>
                <w:sz w:val="20"/>
                <w:szCs w:val="20"/>
                <w:color w:val="auto"/>
              </w:rPr>
            </w:pPr>
            <w:r>
              <w:rPr>
                <w:rFonts w:ascii="Times New Roman" w:cs="Times New Roman" w:eastAsia="Times New Roman" w:hAnsi="Times New Roman"/>
                <w:sz w:val="13"/>
                <w:szCs w:val="13"/>
                <w:color w:val="auto"/>
              </w:rPr>
              <w:t>4.1</w:t>
            </w:r>
          </w:p>
        </w:tc>
        <w:tc>
          <w:tcPr>
            <w:tcW w:w="9100" w:type="dxa"/>
            <w:vAlign w:val="bottom"/>
            <w:gridSpan w:val="22"/>
          </w:tcPr>
          <w:p>
            <w:pPr>
              <w:spacing w:after="0"/>
              <w:rPr>
                <w:rFonts w:ascii="Times New Roman" w:cs="Times New Roman" w:eastAsia="Times New Roman" w:hAnsi="Times New Roman"/>
                <w:sz w:val="13"/>
                <w:szCs w:val="13"/>
                <w:color w:val="0000FF"/>
              </w:rPr>
            </w:pPr>
            <w:hyperlink r:id="rId78">
              <w:r>
                <w:rPr>
                  <w:rFonts w:ascii="Times New Roman" w:cs="Times New Roman" w:eastAsia="Times New Roman" w:hAnsi="Times New Roman"/>
                  <w:sz w:val="13"/>
                  <w:szCs w:val="13"/>
                  <w:color w:val="0000FF"/>
                </w:rPr>
                <w:t>Form of Share Certificate (Incorporated by reference to Exhibit 99(d)(1) to the Registrant’s Registration Statement on Form N-2 (File No. 333-150033), filed on April 2,</w:t>
              </w:r>
            </w:hyperlink>
          </w:p>
        </w:tc>
      </w:tr>
      <w:tr>
        <w:trPr>
          <w:trHeight w:val="136"/>
        </w:trPr>
        <w:tc>
          <w:tcPr>
            <w:tcW w:w="1380" w:type="dxa"/>
            <w:vAlign w:val="bottom"/>
          </w:tcPr>
          <w:p>
            <w:pPr>
              <w:spacing w:after="0"/>
              <w:rPr>
                <w:sz w:val="11"/>
                <w:szCs w:val="11"/>
                <w:color w:val="auto"/>
              </w:rPr>
            </w:pPr>
          </w:p>
        </w:tc>
        <w:tc>
          <w:tcPr>
            <w:tcW w:w="360" w:type="dxa"/>
            <w:vAlign w:val="bottom"/>
            <w:tcBorders>
              <w:top w:val="single" w:sz="8" w:color="0000FF"/>
              <w:bottom w:val="single" w:sz="8" w:color="0000FF"/>
            </w:tcBorders>
            <w:gridSpan w:val="3"/>
          </w:tcPr>
          <w:p>
            <w:pPr>
              <w:spacing w:after="0" w:line="136" w:lineRule="exact"/>
              <w:rPr>
                <w:rFonts w:ascii="Times New Roman" w:cs="Times New Roman" w:eastAsia="Times New Roman" w:hAnsi="Times New Roman"/>
                <w:sz w:val="13"/>
                <w:szCs w:val="13"/>
                <w:color w:val="0000FF"/>
              </w:rPr>
            </w:pPr>
            <w:hyperlink r:id="rId78">
              <w:r>
                <w:rPr>
                  <w:rFonts w:ascii="Times New Roman" w:cs="Times New Roman" w:eastAsia="Times New Roman" w:hAnsi="Times New Roman"/>
                  <w:sz w:val="13"/>
                  <w:szCs w:val="13"/>
                  <w:color w:val="0000FF"/>
                </w:rPr>
                <w:t>2008).</w:t>
              </w:r>
            </w:hyperlink>
          </w:p>
        </w:tc>
        <w:tc>
          <w:tcPr>
            <w:tcW w:w="90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16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9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84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40"/>
        </w:trPr>
        <w:tc>
          <w:tcPr>
            <w:tcW w:w="138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5"/>
              </w:rPr>
              <w:t>10.1*</w:t>
            </w:r>
          </w:p>
        </w:tc>
        <w:tc>
          <w:tcPr>
            <w:tcW w:w="8880" w:type="dxa"/>
            <w:vAlign w:val="bottom"/>
            <w:tcBorders>
              <w:bottom w:val="single" w:sz="8" w:color="0000FF"/>
            </w:tcBorders>
            <w:gridSpan w:val="17"/>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Fourth Amended and Restated Investment Advisory Management Agreement, dated as of May 20, 2024, between the Registrant and PennantPark Investment Advisers,</w:t>
              </w:r>
            </w:hyperlink>
          </w:p>
        </w:tc>
        <w:tc>
          <w:tcPr>
            <w:tcW w:w="220" w:type="dxa"/>
            <w:vAlign w:val="bottom"/>
            <w:gridSpan w:val="5"/>
          </w:tcPr>
          <w:p>
            <w:pPr>
              <w:spacing w:after="0"/>
              <w:rPr>
                <w:sz w:val="24"/>
                <w:szCs w:val="24"/>
                <w:color w:val="auto"/>
              </w:rPr>
            </w:pPr>
          </w:p>
        </w:tc>
      </w:tr>
      <w:tr>
        <w:trPr>
          <w:trHeight w:val="136"/>
        </w:trPr>
        <w:tc>
          <w:tcPr>
            <w:tcW w:w="1380" w:type="dxa"/>
            <w:vAlign w:val="bottom"/>
          </w:tcPr>
          <w:p>
            <w:pPr>
              <w:spacing w:after="0"/>
              <w:rPr>
                <w:sz w:val="11"/>
                <w:szCs w:val="11"/>
                <w:color w:val="auto"/>
              </w:rPr>
            </w:pPr>
          </w:p>
        </w:tc>
        <w:tc>
          <w:tcPr>
            <w:tcW w:w="9100" w:type="dxa"/>
            <w:vAlign w:val="bottom"/>
            <w:gridSpan w:val="22"/>
          </w:tcPr>
          <w:p>
            <w:pPr>
              <w:spacing w:after="0" w:line="136"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LLC.</w:t>
              </w:r>
            </w:hyperlink>
          </w:p>
        </w:tc>
      </w:tr>
      <w:tr>
        <w:trPr>
          <w:trHeight w:val="20"/>
        </w:trPr>
        <w:tc>
          <w:tcPr>
            <w:tcW w:w="13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38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5"/>
              </w:rPr>
              <w:t>10.2*</w:t>
            </w:r>
          </w:p>
        </w:tc>
        <w:tc>
          <w:tcPr>
            <w:tcW w:w="8080" w:type="dxa"/>
            <w:vAlign w:val="bottom"/>
            <w:tcBorders>
              <w:bottom w:val="single" w:sz="8" w:color="0000FF"/>
            </w:tcBorders>
            <w:gridSpan w:val="14"/>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Amended and Restated Administration Agreement, dated as of May 20, 2024, between the Registrant and PennantPark Investment Administration, LLC.</w:t>
              </w:r>
            </w:hyperlink>
          </w:p>
        </w:tc>
        <w:tc>
          <w:tcPr>
            <w:tcW w:w="1020" w:type="dxa"/>
            <w:vAlign w:val="bottom"/>
            <w:gridSpan w:val="8"/>
          </w:tcPr>
          <w:p>
            <w:pPr>
              <w:spacing w:after="0"/>
              <w:rPr>
                <w:sz w:val="24"/>
                <w:szCs w:val="24"/>
                <w:color w:val="auto"/>
              </w:rPr>
            </w:pPr>
          </w:p>
        </w:tc>
      </w:tr>
      <w:tr>
        <w:trPr>
          <w:trHeight w:val="340"/>
        </w:trPr>
        <w:tc>
          <w:tcPr>
            <w:tcW w:w="1380" w:type="dxa"/>
            <w:vAlign w:val="bottom"/>
          </w:tcPr>
          <w:p>
            <w:pPr>
              <w:jc w:val="right"/>
              <w:ind w:right="1094"/>
              <w:spacing w:after="0"/>
              <w:rPr>
                <w:sz w:val="20"/>
                <w:szCs w:val="20"/>
                <w:color w:val="auto"/>
              </w:rPr>
            </w:pPr>
            <w:r>
              <w:rPr>
                <w:rFonts w:ascii="Times New Roman" w:cs="Times New Roman" w:eastAsia="Times New Roman" w:hAnsi="Times New Roman"/>
                <w:sz w:val="13"/>
                <w:szCs w:val="13"/>
                <w:color w:val="auto"/>
                <w:w w:val="87"/>
              </w:rPr>
              <w:t>10.3</w:t>
            </w:r>
          </w:p>
        </w:tc>
        <w:tc>
          <w:tcPr>
            <w:tcW w:w="8740" w:type="dxa"/>
            <w:vAlign w:val="bottom"/>
            <w:tcBorders>
              <w:bottom w:val="single" w:sz="8" w:color="0000FF"/>
            </w:tcBorders>
            <w:gridSpan w:val="16"/>
          </w:tcPr>
          <w:p>
            <w:pPr>
              <w:spacing w:after="0"/>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Equity Distribution Agreement, dated as of June 4, 2024, by and among PennantPark Investment Corporation, PennantPark Investment Advisers, LLC, PennantPark</w:t>
              </w:r>
            </w:hyperlink>
          </w:p>
        </w:tc>
        <w:tc>
          <w:tcPr>
            <w:tcW w:w="360" w:type="dxa"/>
            <w:vAlign w:val="bottom"/>
            <w:gridSpan w:val="6"/>
          </w:tcPr>
          <w:p>
            <w:pPr>
              <w:spacing w:after="0"/>
              <w:rPr>
                <w:sz w:val="24"/>
                <w:szCs w:val="24"/>
                <w:color w:val="auto"/>
              </w:rPr>
            </w:pPr>
          </w:p>
        </w:tc>
      </w:tr>
      <w:tr>
        <w:trPr>
          <w:trHeight w:val="136"/>
        </w:trPr>
        <w:tc>
          <w:tcPr>
            <w:tcW w:w="1380" w:type="dxa"/>
            <w:vAlign w:val="bottom"/>
          </w:tcPr>
          <w:p>
            <w:pPr>
              <w:spacing w:after="0"/>
              <w:rPr>
                <w:sz w:val="11"/>
                <w:szCs w:val="11"/>
                <w:color w:val="auto"/>
              </w:rPr>
            </w:pPr>
          </w:p>
        </w:tc>
        <w:tc>
          <w:tcPr>
            <w:tcW w:w="8980" w:type="dxa"/>
            <w:vAlign w:val="bottom"/>
            <w:tcBorders>
              <w:bottom w:val="single" w:sz="8" w:color="0000FF"/>
            </w:tcBorders>
            <w:gridSpan w:val="19"/>
          </w:tcPr>
          <w:p>
            <w:pPr>
              <w:spacing w:after="0" w:line="136" w:lineRule="exact"/>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Investment Administration, LLC and Truist Securities, Inc., as the sales agent (Incorporated by reference to Ex. 1.1 to the Registrant’s Current Report on Form 8-K (File</w:t>
              </w:r>
            </w:hyperlink>
          </w:p>
        </w:tc>
        <w:tc>
          <w:tcPr>
            <w:tcW w:w="120" w:type="dxa"/>
            <w:vAlign w:val="bottom"/>
            <w:gridSpan w:val="3"/>
          </w:tcPr>
          <w:p>
            <w:pPr>
              <w:spacing w:after="0"/>
              <w:rPr>
                <w:sz w:val="11"/>
                <w:szCs w:val="11"/>
                <w:color w:val="auto"/>
              </w:rPr>
            </w:pPr>
          </w:p>
        </w:tc>
      </w:tr>
      <w:tr>
        <w:trPr>
          <w:trHeight w:val="136"/>
        </w:trPr>
        <w:tc>
          <w:tcPr>
            <w:tcW w:w="1380" w:type="dxa"/>
            <w:vAlign w:val="bottom"/>
          </w:tcPr>
          <w:p>
            <w:pPr>
              <w:spacing w:after="0"/>
              <w:rPr>
                <w:sz w:val="11"/>
                <w:szCs w:val="11"/>
                <w:color w:val="auto"/>
              </w:rPr>
            </w:pPr>
          </w:p>
        </w:tc>
        <w:tc>
          <w:tcPr>
            <w:tcW w:w="2100" w:type="dxa"/>
            <w:vAlign w:val="bottom"/>
            <w:tcBorders>
              <w:bottom w:val="single" w:sz="8" w:color="0000FF"/>
            </w:tcBorders>
            <w:gridSpan w:val="5"/>
          </w:tcPr>
          <w:p>
            <w:pPr>
              <w:spacing w:after="0" w:line="136" w:lineRule="exact"/>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No. 814-00736), filed on June 4, 2024).</w:t>
              </w:r>
            </w:hyperlink>
          </w:p>
        </w:tc>
        <w:tc>
          <w:tcPr>
            <w:tcW w:w="7000" w:type="dxa"/>
            <w:vAlign w:val="bottom"/>
            <w:gridSpan w:val="17"/>
          </w:tcPr>
          <w:p>
            <w:pPr>
              <w:spacing w:after="0"/>
              <w:rPr>
                <w:sz w:val="11"/>
                <w:szCs w:val="11"/>
                <w:color w:val="auto"/>
              </w:rPr>
            </w:pPr>
          </w:p>
        </w:tc>
      </w:tr>
      <w:tr>
        <w:trPr>
          <w:trHeight w:val="340"/>
        </w:trPr>
        <w:tc>
          <w:tcPr>
            <w:tcW w:w="1380" w:type="dxa"/>
            <w:vAlign w:val="bottom"/>
          </w:tcPr>
          <w:p>
            <w:pPr>
              <w:jc w:val="right"/>
              <w:ind w:right="1094"/>
              <w:spacing w:after="0"/>
              <w:rPr>
                <w:sz w:val="20"/>
                <w:szCs w:val="20"/>
                <w:color w:val="auto"/>
              </w:rPr>
            </w:pPr>
            <w:r>
              <w:rPr>
                <w:rFonts w:ascii="Times New Roman" w:cs="Times New Roman" w:eastAsia="Times New Roman" w:hAnsi="Times New Roman"/>
                <w:sz w:val="13"/>
                <w:szCs w:val="13"/>
                <w:color w:val="auto"/>
                <w:w w:val="87"/>
              </w:rPr>
              <w:t>10.4</w:t>
            </w:r>
          </w:p>
        </w:tc>
        <w:tc>
          <w:tcPr>
            <w:tcW w:w="8720" w:type="dxa"/>
            <w:vAlign w:val="bottom"/>
            <w:tcBorders>
              <w:bottom w:val="single" w:sz="8" w:color="0000FF"/>
            </w:tcBorders>
            <w:gridSpan w:val="15"/>
          </w:tcPr>
          <w:p>
            <w:pPr>
              <w:spacing w:after="0"/>
              <w:rPr>
                <w:rFonts w:ascii="Times New Roman" w:cs="Times New Roman" w:eastAsia="Times New Roman" w:hAnsi="Times New Roman"/>
                <w:sz w:val="13"/>
                <w:szCs w:val="13"/>
                <w:color w:val="0000FF"/>
              </w:rPr>
            </w:pPr>
            <w:hyperlink r:id="rId80">
              <w:r>
                <w:rPr>
                  <w:rFonts w:ascii="Times New Roman" w:cs="Times New Roman" w:eastAsia="Times New Roman" w:hAnsi="Times New Roman"/>
                  <w:sz w:val="13"/>
                  <w:szCs w:val="13"/>
                  <w:color w:val="0000FF"/>
                </w:rPr>
                <w:t>Equity Distribution Agreement, dated as of June 4, 2024 by and among PennantPark Investment Corporation, PennantPark Investment Advisers, LLC, PennantPark</w:t>
              </w:r>
            </w:hyperlink>
          </w:p>
        </w:tc>
        <w:tc>
          <w:tcPr>
            <w:tcW w:w="380" w:type="dxa"/>
            <w:vAlign w:val="bottom"/>
            <w:gridSpan w:val="7"/>
          </w:tcPr>
          <w:p>
            <w:pPr>
              <w:spacing w:after="0"/>
              <w:rPr>
                <w:sz w:val="24"/>
                <w:szCs w:val="24"/>
                <w:color w:val="auto"/>
              </w:rPr>
            </w:pPr>
          </w:p>
        </w:tc>
      </w:tr>
      <w:tr>
        <w:trPr>
          <w:trHeight w:val="136"/>
        </w:trPr>
        <w:tc>
          <w:tcPr>
            <w:tcW w:w="1380" w:type="dxa"/>
            <w:vAlign w:val="bottom"/>
          </w:tcPr>
          <w:p>
            <w:pPr>
              <w:spacing w:after="0"/>
              <w:rPr>
                <w:sz w:val="11"/>
                <w:szCs w:val="11"/>
                <w:color w:val="auto"/>
              </w:rPr>
            </w:pPr>
          </w:p>
        </w:tc>
        <w:tc>
          <w:tcPr>
            <w:tcW w:w="9100" w:type="dxa"/>
            <w:vAlign w:val="bottom"/>
            <w:gridSpan w:val="22"/>
          </w:tcPr>
          <w:p>
            <w:pPr>
              <w:spacing w:after="0" w:line="136" w:lineRule="exact"/>
              <w:rPr>
                <w:rFonts w:ascii="Times New Roman" w:cs="Times New Roman" w:eastAsia="Times New Roman" w:hAnsi="Times New Roman"/>
                <w:sz w:val="13"/>
                <w:szCs w:val="13"/>
                <w:color w:val="0000FF"/>
              </w:rPr>
            </w:pPr>
            <w:hyperlink r:id="rId80">
              <w:r>
                <w:rPr>
                  <w:rFonts w:ascii="Times New Roman" w:cs="Times New Roman" w:eastAsia="Times New Roman" w:hAnsi="Times New Roman"/>
                  <w:sz w:val="13"/>
                  <w:szCs w:val="13"/>
                  <w:color w:val="0000FF"/>
                </w:rPr>
                <w:t>Investment Administration, LLC and Keefe, Bruyette &amp; Woods, Inc., as the sales agent (Incorporated by reference to Ex. 1.2 to the Registrant’s Current Report on Form 8-</w:t>
              </w:r>
            </w:hyperlink>
          </w:p>
        </w:tc>
      </w:tr>
      <w:tr>
        <w:trPr>
          <w:trHeight w:val="136"/>
        </w:trPr>
        <w:tc>
          <w:tcPr>
            <w:tcW w:w="1380" w:type="dxa"/>
            <w:vAlign w:val="bottom"/>
          </w:tcPr>
          <w:p>
            <w:pPr>
              <w:spacing w:after="0"/>
              <w:rPr>
                <w:sz w:val="11"/>
                <w:szCs w:val="11"/>
                <w:color w:val="auto"/>
              </w:rPr>
            </w:pPr>
          </w:p>
        </w:tc>
        <w:tc>
          <w:tcPr>
            <w:tcW w:w="9080" w:type="dxa"/>
            <w:vAlign w:val="bottom"/>
            <w:tcBorders>
              <w:top w:val="single" w:sz="8" w:color="0000FF"/>
            </w:tcBorders>
            <w:gridSpan w:val="21"/>
          </w:tcPr>
          <w:p>
            <w:pPr>
              <w:spacing w:after="0" w:line="136" w:lineRule="exact"/>
              <w:rPr>
                <w:rFonts w:ascii="Times New Roman" w:cs="Times New Roman" w:eastAsia="Times New Roman" w:hAnsi="Times New Roman"/>
                <w:sz w:val="13"/>
                <w:szCs w:val="13"/>
                <w:color w:val="0000FF"/>
              </w:rPr>
            </w:pPr>
            <w:hyperlink r:id="rId80">
              <w:r>
                <w:rPr>
                  <w:rFonts w:ascii="Times New Roman" w:cs="Times New Roman" w:eastAsia="Times New Roman" w:hAnsi="Times New Roman"/>
                  <w:sz w:val="13"/>
                  <w:szCs w:val="13"/>
                  <w:color w:val="0000FF"/>
                </w:rPr>
                <w:t>K (File No. 814-00736), filed on June 4, 2024).</w:t>
              </w:r>
            </w:hyperlink>
          </w:p>
        </w:tc>
        <w:tc>
          <w:tcPr>
            <w:tcW w:w="20" w:type="dxa"/>
            <w:vAlign w:val="bottom"/>
          </w:tcPr>
          <w:p>
            <w:pPr>
              <w:spacing w:after="0"/>
              <w:rPr>
                <w:sz w:val="11"/>
                <w:szCs w:val="11"/>
                <w:color w:val="auto"/>
              </w:rPr>
            </w:pPr>
          </w:p>
        </w:tc>
      </w:tr>
      <w:tr>
        <w:trPr>
          <w:trHeight w:val="20"/>
        </w:trPr>
        <w:tc>
          <w:tcPr>
            <w:tcW w:w="13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40"/>
        </w:trPr>
        <w:tc>
          <w:tcPr>
            <w:tcW w:w="138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5"/>
              </w:rPr>
              <w:t>10.5*</w:t>
            </w:r>
          </w:p>
        </w:tc>
        <w:tc>
          <w:tcPr>
            <w:tcW w:w="8740" w:type="dxa"/>
            <w:vAlign w:val="bottom"/>
            <w:tcBorders>
              <w:bottom w:val="single" w:sz="8" w:color="0000FF"/>
            </w:tcBorders>
            <w:gridSpan w:val="16"/>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Sixth Amendment to Second Amended and Restated Senior Secured Revolving Credit Agreement, dated as of June 25, 2024, by and among PennantPark Investment</w:t>
              </w:r>
            </w:hyperlink>
          </w:p>
        </w:tc>
        <w:tc>
          <w:tcPr>
            <w:tcW w:w="360" w:type="dxa"/>
            <w:vAlign w:val="bottom"/>
            <w:gridSpan w:val="6"/>
          </w:tcPr>
          <w:p>
            <w:pPr>
              <w:spacing w:after="0"/>
              <w:rPr>
                <w:sz w:val="24"/>
                <w:szCs w:val="24"/>
                <w:color w:val="auto"/>
              </w:rPr>
            </w:pPr>
          </w:p>
        </w:tc>
      </w:tr>
      <w:tr>
        <w:trPr>
          <w:trHeight w:val="136"/>
        </w:trPr>
        <w:tc>
          <w:tcPr>
            <w:tcW w:w="1380" w:type="dxa"/>
            <w:vAlign w:val="bottom"/>
          </w:tcPr>
          <w:p>
            <w:pPr>
              <w:spacing w:after="0"/>
              <w:rPr>
                <w:sz w:val="11"/>
                <w:szCs w:val="11"/>
                <w:color w:val="auto"/>
              </w:rPr>
            </w:pPr>
          </w:p>
        </w:tc>
        <w:tc>
          <w:tcPr>
            <w:tcW w:w="2840" w:type="dxa"/>
            <w:vAlign w:val="bottom"/>
            <w:tcBorders>
              <w:bottom w:val="single" w:sz="8" w:color="0000FF"/>
            </w:tcBorders>
            <w:gridSpan w:val="8"/>
          </w:tcPr>
          <w:p>
            <w:pPr>
              <w:spacing w:after="0" w:line="136"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Corporation and Truist Bank, as administrative agent.</w:t>
              </w:r>
            </w:hyperlink>
          </w:p>
        </w:tc>
        <w:tc>
          <w:tcPr>
            <w:tcW w:w="6260" w:type="dxa"/>
            <w:vAlign w:val="bottom"/>
            <w:gridSpan w:val="14"/>
          </w:tcPr>
          <w:p>
            <w:pPr>
              <w:spacing w:after="0"/>
              <w:rPr>
                <w:sz w:val="11"/>
                <w:szCs w:val="11"/>
                <w:color w:val="auto"/>
              </w:rPr>
            </w:pPr>
          </w:p>
        </w:tc>
      </w:tr>
      <w:tr>
        <w:trPr>
          <w:trHeight w:val="340"/>
        </w:trPr>
        <w:tc>
          <w:tcPr>
            <w:tcW w:w="138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5"/>
              </w:rPr>
              <w:t>31.1*</w:t>
            </w:r>
          </w:p>
        </w:tc>
        <w:tc>
          <w:tcPr>
            <w:tcW w:w="6240" w:type="dxa"/>
            <w:vAlign w:val="bottom"/>
            <w:tcBorders>
              <w:bottom w:val="single" w:sz="8" w:color="0000FF"/>
            </w:tcBorders>
            <w:gridSpan w:val="13"/>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Rule 13a-14 of the Securities Exchange Act of 1934, as amended.</w:t>
              </w:r>
            </w:hyperlink>
          </w:p>
        </w:tc>
        <w:tc>
          <w:tcPr>
            <w:tcW w:w="2860" w:type="dxa"/>
            <w:vAlign w:val="bottom"/>
            <w:gridSpan w:val="9"/>
          </w:tcPr>
          <w:p>
            <w:pPr>
              <w:spacing w:after="0"/>
              <w:rPr>
                <w:sz w:val="24"/>
                <w:szCs w:val="24"/>
                <w:color w:val="auto"/>
              </w:rPr>
            </w:pPr>
          </w:p>
        </w:tc>
      </w:tr>
      <w:tr>
        <w:trPr>
          <w:trHeight w:val="340"/>
        </w:trPr>
        <w:tc>
          <w:tcPr>
            <w:tcW w:w="138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5"/>
              </w:rPr>
              <w:t>31.2*</w:t>
            </w:r>
          </w:p>
        </w:tc>
        <w:tc>
          <w:tcPr>
            <w:tcW w:w="6200" w:type="dxa"/>
            <w:vAlign w:val="bottom"/>
            <w:tcBorders>
              <w:bottom w:val="single" w:sz="8" w:color="0000FF"/>
            </w:tcBorders>
            <w:gridSpan w:val="12"/>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Rule 13a-14 of the Securities Exchange Act of 1934, as amended.</w:t>
              </w:r>
            </w:hyperlink>
          </w:p>
        </w:tc>
        <w:tc>
          <w:tcPr>
            <w:tcW w:w="2900" w:type="dxa"/>
            <w:vAlign w:val="bottom"/>
            <w:gridSpan w:val="10"/>
          </w:tcPr>
          <w:p>
            <w:pPr>
              <w:spacing w:after="0"/>
              <w:rPr>
                <w:sz w:val="24"/>
                <w:szCs w:val="24"/>
                <w:color w:val="auto"/>
              </w:rPr>
            </w:pPr>
          </w:p>
        </w:tc>
      </w:tr>
      <w:tr>
        <w:trPr>
          <w:trHeight w:val="340"/>
        </w:trPr>
        <w:tc>
          <w:tcPr>
            <w:tcW w:w="138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5"/>
              </w:rPr>
              <w:t>32.1*</w:t>
            </w:r>
          </w:p>
        </w:tc>
        <w:tc>
          <w:tcPr>
            <w:tcW w:w="5300" w:type="dxa"/>
            <w:vAlign w:val="bottom"/>
            <w:tcBorders>
              <w:bottom w:val="single" w:sz="8" w:color="0000FF"/>
            </w:tcBorders>
            <w:gridSpan w:val="11"/>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Section 906 of the Sarbanes-Oxley Act of 2002.</w:t>
              </w:r>
            </w:hyperlink>
          </w:p>
        </w:tc>
        <w:tc>
          <w:tcPr>
            <w:tcW w:w="3800" w:type="dxa"/>
            <w:vAlign w:val="bottom"/>
            <w:gridSpan w:val="11"/>
          </w:tcPr>
          <w:p>
            <w:pPr>
              <w:spacing w:after="0"/>
              <w:rPr>
                <w:sz w:val="24"/>
                <w:szCs w:val="24"/>
                <w:color w:val="auto"/>
              </w:rPr>
            </w:pPr>
          </w:p>
        </w:tc>
      </w:tr>
      <w:tr>
        <w:trPr>
          <w:trHeight w:val="340"/>
        </w:trPr>
        <w:tc>
          <w:tcPr>
            <w:tcW w:w="138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5"/>
              </w:rPr>
              <w:t>32.2*</w:t>
            </w:r>
          </w:p>
        </w:tc>
        <w:tc>
          <w:tcPr>
            <w:tcW w:w="9100" w:type="dxa"/>
            <w:vAlign w:val="bottom"/>
            <w:gridSpan w:val="22"/>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Section 906 of the Sarbanes-Oxley Act of 2002.</w:t>
              </w:r>
            </w:hyperlink>
          </w:p>
        </w:tc>
      </w:tr>
      <w:tr>
        <w:trPr>
          <w:trHeight w:val="20"/>
        </w:trPr>
        <w:tc>
          <w:tcPr>
            <w:tcW w:w="13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920" w:type="dxa"/>
            <w:vAlign w:val="bottom"/>
            <w:gridSpan w:val="8"/>
            <w:shd w:val="clear" w:color="auto" w:fill="0000FF"/>
          </w:tcPr>
          <w:p>
            <w:pPr>
              <w:spacing w:after="0" w:line="20" w:lineRule="exact"/>
              <w:rPr>
                <w:sz w:val="1"/>
                <w:szCs w:val="1"/>
                <w:color w:val="auto"/>
              </w:rPr>
            </w:pPr>
          </w:p>
        </w:tc>
        <w:tc>
          <w:tcPr>
            <w:tcW w:w="374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40"/>
        </w:trPr>
        <w:tc>
          <w:tcPr>
            <w:tcW w:w="1380" w:type="dxa"/>
            <w:vAlign w:val="bottom"/>
          </w:tcPr>
          <w:p>
            <w:pPr>
              <w:jc w:val="right"/>
              <w:ind w:right="1094"/>
              <w:spacing w:after="0"/>
              <w:rPr>
                <w:sz w:val="20"/>
                <w:szCs w:val="20"/>
                <w:color w:val="auto"/>
              </w:rPr>
            </w:pPr>
            <w:r>
              <w:rPr>
                <w:rFonts w:ascii="Times New Roman" w:cs="Times New Roman" w:eastAsia="Times New Roman" w:hAnsi="Times New Roman"/>
                <w:sz w:val="13"/>
                <w:szCs w:val="13"/>
                <w:color w:val="auto"/>
                <w:w w:val="87"/>
              </w:rPr>
              <w:t>99.1</w:t>
            </w:r>
          </w:p>
        </w:tc>
        <w:tc>
          <w:tcPr>
            <w:tcW w:w="9100" w:type="dxa"/>
            <w:vAlign w:val="bottom"/>
            <w:gridSpan w:val="22"/>
          </w:tcPr>
          <w:p>
            <w:pPr>
              <w:spacing w:after="0"/>
              <w:rPr>
                <w:rFonts w:ascii="Times New Roman" w:cs="Times New Roman" w:eastAsia="Times New Roman" w:hAnsi="Times New Roman"/>
                <w:sz w:val="13"/>
                <w:szCs w:val="13"/>
                <w:color w:val="0000FF"/>
              </w:rPr>
            </w:pPr>
            <w:hyperlink r:id="rId81">
              <w:r>
                <w:rPr>
                  <w:rFonts w:ascii="Times New Roman" w:cs="Times New Roman" w:eastAsia="Times New Roman" w:hAnsi="Times New Roman"/>
                  <w:sz w:val="13"/>
                  <w:szCs w:val="13"/>
                  <w:color w:val="0000FF"/>
                </w:rPr>
                <w:t>Privacy Policy of the Registrant (Incorporated by reference to Exhibit 99.1 to the Registrant’s Annual Report on Form 10-K (File No. 814-00736), filed on November 16,</w:t>
              </w:r>
            </w:hyperlink>
          </w:p>
        </w:tc>
      </w:tr>
      <w:tr>
        <w:trPr>
          <w:trHeight w:val="136"/>
        </w:trPr>
        <w:tc>
          <w:tcPr>
            <w:tcW w:w="1380" w:type="dxa"/>
            <w:vAlign w:val="bottom"/>
          </w:tcPr>
          <w:p>
            <w:pPr>
              <w:spacing w:after="0"/>
              <w:rPr>
                <w:sz w:val="11"/>
                <w:szCs w:val="11"/>
                <w:color w:val="auto"/>
              </w:rPr>
            </w:pPr>
          </w:p>
        </w:tc>
        <w:tc>
          <w:tcPr>
            <w:tcW w:w="340" w:type="dxa"/>
            <w:vAlign w:val="bottom"/>
            <w:tcBorders>
              <w:top w:val="single" w:sz="8" w:color="0000FF"/>
              <w:bottom w:val="single" w:sz="8" w:color="0000FF"/>
            </w:tcBorders>
            <w:gridSpan w:val="2"/>
          </w:tcPr>
          <w:p>
            <w:pPr>
              <w:spacing w:after="0" w:line="136" w:lineRule="exact"/>
              <w:rPr>
                <w:rFonts w:ascii="Times New Roman" w:cs="Times New Roman" w:eastAsia="Times New Roman" w:hAnsi="Times New Roman"/>
                <w:sz w:val="13"/>
                <w:szCs w:val="13"/>
                <w:color w:val="0000FF"/>
                <w:w w:val="95"/>
              </w:rPr>
            </w:pPr>
            <w:hyperlink r:id="rId81">
              <w:r>
                <w:rPr>
                  <w:rFonts w:ascii="Times New Roman" w:cs="Times New Roman" w:eastAsia="Times New Roman" w:hAnsi="Times New Roman"/>
                  <w:sz w:val="13"/>
                  <w:szCs w:val="13"/>
                  <w:color w:val="0000FF"/>
                  <w:w w:val="95"/>
                </w:rPr>
                <w:t>2011).</w:t>
              </w:r>
            </w:hyperlink>
          </w:p>
        </w:tc>
        <w:tc>
          <w:tcPr>
            <w:tcW w:w="20" w:type="dxa"/>
            <w:vAlign w:val="bottom"/>
            <w:tcBorders>
              <w:top w:val="single" w:sz="8" w:color="0000FF"/>
            </w:tcBorders>
          </w:tcPr>
          <w:p>
            <w:pPr>
              <w:spacing w:after="0"/>
              <w:rPr>
                <w:sz w:val="11"/>
                <w:szCs w:val="11"/>
                <w:color w:val="auto"/>
              </w:rPr>
            </w:pPr>
          </w:p>
        </w:tc>
        <w:tc>
          <w:tcPr>
            <w:tcW w:w="90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16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9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84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44"/>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101.INS*</w:t>
            </w:r>
          </w:p>
        </w:tc>
        <w:tc>
          <w:tcPr>
            <w:tcW w:w="910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Inline XBRL Instance Document-the instance document does not appear in the Interactive Data File as its XBRL tags are embedded within the Inline XBRL document</w:t>
            </w:r>
          </w:p>
        </w:tc>
      </w:tr>
      <w:tr>
        <w:trPr>
          <w:trHeight w:val="336"/>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101.SCH*</w:t>
            </w:r>
          </w:p>
        </w:tc>
        <w:tc>
          <w:tcPr>
            <w:tcW w:w="910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Inline XBRL Taxonomy Extension Schema With Embedded Linkbase Documents</w:t>
            </w:r>
          </w:p>
        </w:tc>
      </w:tr>
      <w:tr>
        <w:trPr>
          <w:trHeight w:val="336"/>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101.CAL*</w:t>
            </w:r>
          </w:p>
        </w:tc>
        <w:tc>
          <w:tcPr>
            <w:tcW w:w="910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r>
      <w:tr>
        <w:trPr>
          <w:trHeight w:val="336"/>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101.DEF*</w:t>
            </w:r>
          </w:p>
        </w:tc>
        <w:tc>
          <w:tcPr>
            <w:tcW w:w="910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r>
      <w:tr>
        <w:trPr>
          <w:trHeight w:val="336"/>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101.LAB*</w:t>
            </w:r>
          </w:p>
        </w:tc>
        <w:tc>
          <w:tcPr>
            <w:tcW w:w="910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r>
      <w:tr>
        <w:trPr>
          <w:trHeight w:val="336"/>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101.PRE*</w:t>
            </w:r>
          </w:p>
        </w:tc>
        <w:tc>
          <w:tcPr>
            <w:tcW w:w="910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r>
    </w:tbl>
    <w:p>
      <w:pPr>
        <w:spacing w:after="0" w:line="164" w:lineRule="exact"/>
        <w:rPr>
          <w:sz w:val="20"/>
          <w:szCs w:val="20"/>
          <w:color w:val="auto"/>
        </w:rPr>
      </w:pPr>
    </w:p>
    <w:p>
      <w:pPr>
        <w:ind w:left="1400" w:hanging="1382"/>
        <w:spacing w:after="0"/>
        <w:tabs>
          <w:tab w:leader="none" w:pos="1400"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formatted as Inline XBRL and contained in Exhibit 101</w:t>
      </w:r>
    </w:p>
    <w:p>
      <w:pPr>
        <w:spacing w:after="0" w:line="210"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Filed herewith.</w:t>
      </w:r>
    </w:p>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312" w:right="740" w:bottom="1440" w:gutter="0" w:footer="0" w:header="0"/>
        </w:sectPr>
      </w:pPr>
    </w:p>
    <w:bookmarkStart w:id="61" w:name="page62"/>
    <w:bookmarkEnd w:id="61"/>
    <w:p>
      <w:pPr>
        <w:jc w:val="center"/>
        <w:ind w:right="-27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77"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on Form 10-Q to be signed on its behalf by the undersigned, thereunto duly authorized.</w:t>
      </w:r>
    </w:p>
    <w:p>
      <w:pPr>
        <w:sectPr>
          <w:pgSz w:w="11900" w:h="16840" w:orient="portrait"/>
          <w:cols w:equalWidth="0" w:num="1">
            <w:col w:w="10300"/>
          </w:cols>
          <w:pgMar w:left="660" w:top="1312" w:right="9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Date: </w:t>
      </w:r>
      <w:r>
        <w:rPr>
          <w:rFonts w:ascii="Times New Roman" w:cs="Times New Roman" w:eastAsia="Times New Roman" w:hAnsi="Times New Roman"/>
          <w:sz w:val="14"/>
          <w:szCs w:val="14"/>
          <w:color w:val="auto"/>
        </w:rPr>
        <w:t>August 7, 2024</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Date: </w:t>
      </w:r>
      <w:r>
        <w:rPr>
          <w:rFonts w:ascii="Times New Roman" w:cs="Times New Roman" w:eastAsia="Times New Roman" w:hAnsi="Times New Roman"/>
          <w:sz w:val="14"/>
          <w:szCs w:val="14"/>
          <w:color w:val="auto"/>
        </w:rPr>
        <w:t>August 7, 2024</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PENNANTPARK INVESTMENT CORPORATION</w:t>
      </w:r>
    </w:p>
    <w:p>
      <w:pPr>
        <w:spacing w:after="0" w:line="235"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Arthur H. Penn</w:t>
      </w:r>
    </w:p>
    <w:p>
      <w:pPr>
        <w:spacing w:after="0" w:line="2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3"/>
          <w:szCs w:val="13"/>
          <w:b w:val="1"/>
          <w:bCs w:val="1"/>
          <w:color w:val="auto"/>
        </w:rPr>
        <w:t>Arthur H. Penn</w:t>
      </w:r>
    </w:p>
    <w:p>
      <w:pPr>
        <w:spacing w:after="0" w:line="31"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Chief Executive Officer and Chairman of the Board of Directors</w:t>
      </w:r>
    </w:p>
    <w:p>
      <w:pPr>
        <w:spacing w:after="0" w:line="2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3"/>
          <w:szCs w:val="13"/>
          <w:b w:val="1"/>
          <w:bCs w:val="1"/>
          <w:color w:val="auto"/>
        </w:rPr>
        <w:t>(Principal Executive Officer)</w:t>
      </w:r>
    </w:p>
    <w:p>
      <w:pPr>
        <w:spacing w:after="0" w:line="221"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Richard T. Allorto, Jr.</w:t>
      </w:r>
    </w:p>
    <w:p>
      <w:pPr>
        <w:spacing w:after="0" w:line="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3"/>
          <w:szCs w:val="13"/>
          <w:b w:val="1"/>
          <w:bCs w:val="1"/>
          <w:color w:val="auto"/>
        </w:rPr>
        <w:t>Richard T. Allorto, Jr.</w:t>
      </w:r>
    </w:p>
    <w:p>
      <w:pPr>
        <w:spacing w:after="0" w:line="3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Chief Financial Officer and Treasurer</w:t>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b w:val="1"/>
          <w:bCs w:val="1"/>
          <w:color w:val="auto"/>
        </w:rPr>
        <w:t>(Principal Financial and Accounting Officer)</w:t>
      </w:r>
    </w:p>
    <w:p>
      <w:pPr>
        <w:spacing w:after="0" w:line="200" w:lineRule="exact"/>
        <w:rPr>
          <w:sz w:val="20"/>
          <w:szCs w:val="20"/>
          <w:color w:val="auto"/>
        </w:rPr>
      </w:pPr>
    </w:p>
    <w:p>
      <w:pPr>
        <w:sectPr>
          <w:pgSz w:w="11900" w:h="16840" w:orient="portrait"/>
          <w:cols w:equalWidth="0" w:num="2">
            <w:col w:w="4480" w:space="720"/>
            <w:col w:w="5100"/>
          </w:cols>
          <w:pgMar w:left="660" w:top="1312" w:right="940" w:bottom="1440" w:gutter="0" w:footer="0" w:header="0"/>
          <w:type w:val="continuous"/>
        </w:sectPr>
      </w:pP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00"/>
          </w:cols>
          <w:pgMar w:left="660" w:top="1312" w:right="940" w:bottom="1440" w:gutter="0" w:footer="0" w:header="0"/>
          <w:type w:val="continuous"/>
        </w:sectPr>
      </w:pPr>
    </w:p>
    <w:bookmarkStart w:id="62" w:name="page63"/>
    <w:bookmarkEnd w:id="62"/>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PENNANTPARK INVESTMENT CORPORATION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ARTICLES OF AMENDMENT</w:t>
      </w:r>
    </w:p>
    <w:p>
      <w:pPr>
        <w:spacing w:after="0" w:line="2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PennantPark Investment Corporation, a Maryland corporation (the “Corporation”), hereby certifies to the State Department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Assessments and Taxation of Maryland that:</w:t>
      </w:r>
    </w:p>
    <w:p>
      <w:pPr>
        <w:spacing w:after="0" w:line="216" w:lineRule="exact"/>
        <w:rPr>
          <w:sz w:val="20"/>
          <w:szCs w:val="20"/>
          <w:color w:val="auto"/>
        </w:rPr>
      </w:pPr>
    </w:p>
    <w:p>
      <w:pPr>
        <w:ind w:right="160" w:firstLine="96"/>
        <w:spacing w:after="0" w:line="286" w:lineRule="auto"/>
        <w:rPr>
          <w:sz w:val="20"/>
          <w:szCs w:val="20"/>
          <w:color w:val="auto"/>
        </w:rPr>
      </w:pP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The charter of the Corporation (the “Charter”) is hereby amended by deleting therefrom the first two sentences of Section 5.1 of Article V and inserting in lieu thereof two new sentences to read as follows:</w:t>
      </w:r>
    </w:p>
    <w:p>
      <w:pPr>
        <w:spacing w:after="0" w:line="163" w:lineRule="exact"/>
        <w:rPr>
          <w:sz w:val="20"/>
          <w:szCs w:val="20"/>
          <w:color w:val="auto"/>
        </w:rPr>
      </w:pPr>
    </w:p>
    <w:p>
      <w:pPr>
        <w:ind w:left="1420" w:right="1160" w:firstLine="924"/>
        <w:spacing w:after="0" w:line="268" w:lineRule="auto"/>
        <w:rPr>
          <w:sz w:val="20"/>
          <w:szCs w:val="20"/>
          <w:color w:val="auto"/>
        </w:rPr>
      </w:pPr>
      <w:r>
        <w:rPr>
          <w:rFonts w:ascii="Times New Roman" w:cs="Times New Roman" w:eastAsia="Times New Roman" w:hAnsi="Times New Roman"/>
          <w:sz w:val="19"/>
          <w:szCs w:val="19"/>
          <w:color w:val="auto"/>
        </w:rPr>
        <w:t>“The Corporation has authority to issue 200 million shares of stock, initially consisting of 200 million shares of Common Stock, $.001 par value per share (“Common Stock”). The aggregate par value of all authorized shares of stock having par value is $200,000.”</w:t>
      </w:r>
    </w:p>
    <w:p>
      <w:pPr>
        <w:spacing w:after="0" w:line="180" w:lineRule="exact"/>
        <w:rPr>
          <w:sz w:val="20"/>
          <w:szCs w:val="20"/>
          <w:color w:val="auto"/>
        </w:rPr>
      </w:pPr>
    </w:p>
    <w:p>
      <w:pPr>
        <w:ind w:right="320" w:firstLine="96"/>
        <w:spacing w:after="0" w:line="268" w:lineRule="auto"/>
        <w:rPr>
          <w:sz w:val="20"/>
          <w:szCs w:val="20"/>
          <w:color w:val="auto"/>
        </w:rPr>
      </w:pP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The total number of shares of stock which the Corporation had authority to issue immediately prior to the foregoing amendment of the Charter was 100,000,000 shares of stock, consisting of 100,000,0000 shares of common stock, $.001 par value per share. The aggregate par value of all authorized shares of stock having par value was $100,000.</w:t>
      </w:r>
    </w:p>
    <w:p>
      <w:pPr>
        <w:spacing w:after="0" w:line="180" w:lineRule="exact"/>
        <w:rPr>
          <w:sz w:val="20"/>
          <w:szCs w:val="20"/>
          <w:color w:val="auto"/>
        </w:rPr>
      </w:pPr>
    </w:p>
    <w:p>
      <w:pPr>
        <w:jc w:val="both"/>
        <w:ind w:right="40" w:firstLine="96"/>
        <w:spacing w:after="0" w:line="268" w:lineRule="auto"/>
        <w:rPr>
          <w:sz w:val="20"/>
          <w:szCs w:val="20"/>
          <w:color w:val="auto"/>
        </w:rPr>
      </w:pP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The total number of shares of stock which the Corporation has authority to issue pursuant to the foregoing amendment of the Charter is 200,000,000 shares of stock, consisting of 200,000,000 shares of common stock, $.001 par value per share. The aggregate par value of all authorized shares of stock having par value is $200,000.</w:t>
      </w:r>
    </w:p>
    <w:p>
      <w:pPr>
        <w:spacing w:after="0" w:line="180" w:lineRule="exact"/>
        <w:rPr>
          <w:sz w:val="20"/>
          <w:szCs w:val="20"/>
          <w:color w:val="auto"/>
        </w:rPr>
      </w:pPr>
    </w:p>
    <w:p>
      <w:pPr>
        <w:ind w:right="660" w:firstLine="96"/>
        <w:spacing w:after="0" w:line="286" w:lineRule="auto"/>
        <w:rPr>
          <w:sz w:val="20"/>
          <w:szCs w:val="20"/>
          <w:color w:val="auto"/>
        </w:rPr>
      </w:pP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The information required by Section 2-607(b)(2)(i) of the Maryland General Corporation Law (the “MGCL”) is not changed by the foregoing amendment of the Charter.</w:t>
      </w:r>
    </w:p>
    <w:p>
      <w:pPr>
        <w:spacing w:after="0" w:line="163" w:lineRule="exact"/>
        <w:rPr>
          <w:sz w:val="20"/>
          <w:szCs w:val="20"/>
          <w:color w:val="auto"/>
        </w:rPr>
      </w:pPr>
    </w:p>
    <w:p>
      <w:pPr>
        <w:ind w:right="160" w:firstLine="96"/>
        <w:spacing w:after="0" w:line="268" w:lineRule="auto"/>
        <w:rPr>
          <w:sz w:val="20"/>
          <w:szCs w:val="20"/>
          <w:color w:val="auto"/>
        </w:rPr>
      </w:pP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The foregoing amendment of the Charter was approved by a majority of the entire Board of Directors of the Corporation as required by law and was limited to a change expressly authorized to be made without any action by the stockholders of the Corporation by the Charter and Section 2-105(a)(13) of the MGCL.</w:t>
      </w:r>
    </w:p>
    <w:p>
      <w:pPr>
        <w:spacing w:after="0" w:line="180" w:lineRule="exact"/>
        <w:rPr>
          <w:sz w:val="20"/>
          <w:szCs w:val="20"/>
          <w:color w:val="auto"/>
        </w:rPr>
      </w:pPr>
    </w:p>
    <w:p>
      <w:pPr>
        <w:ind w:right="120" w:firstLine="96"/>
        <w:spacing w:after="0" w:line="262" w:lineRule="auto"/>
        <w:rPr>
          <w:sz w:val="20"/>
          <w:szCs w:val="20"/>
          <w:color w:val="auto"/>
        </w:rPr>
      </w:pPr>
      <w:r>
        <w:rPr>
          <w:rFonts w:ascii="Times New Roman" w:cs="Times New Roman" w:eastAsia="Times New Roman" w:hAnsi="Times New Roman"/>
          <w:sz w:val="19"/>
          <w:szCs w:val="19"/>
          <w:color w:val="auto"/>
        </w:rPr>
        <w:t>The undersigned officer of the Corporation acknowledges these Articles of Amendment to be the corporate act of the Corporation and, as to all matters or facts required to be verified under oath, the undersigned officer acknowledges that, to the best of such officer’s knowledge, information and belief, these matters and facts are true in all material respects and that this statement is made under the penalties for perjury.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1121410</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63" w:name="page64"/>
    <w:bookmarkEnd w:id="63"/>
    <w:p>
      <w:pPr>
        <w:spacing w:after="0" w:line="200" w:lineRule="exact"/>
        <w:rPr>
          <w:sz w:val="20"/>
          <w:szCs w:val="20"/>
          <w:color w:val="auto"/>
        </w:rPr>
      </w:pPr>
    </w:p>
    <w:p>
      <w:pPr>
        <w:spacing w:after="0" w:line="297" w:lineRule="exact"/>
        <w:rPr>
          <w:sz w:val="20"/>
          <w:szCs w:val="20"/>
          <w:color w:val="auto"/>
        </w:rPr>
      </w:pPr>
    </w:p>
    <w:p>
      <w:pPr>
        <w:ind w:left="80" w:right="320" w:firstLine="96"/>
        <w:spacing w:after="0" w:line="288" w:lineRule="auto"/>
        <w:rPr>
          <w:sz w:val="20"/>
          <w:szCs w:val="20"/>
          <w:color w:val="auto"/>
        </w:rPr>
      </w:pPr>
      <w:r>
        <w:rPr>
          <w:rFonts w:ascii="Times New Roman" w:cs="Times New Roman" w:eastAsia="Times New Roman" w:hAnsi="Times New Roman"/>
          <w:sz w:val="19"/>
          <w:szCs w:val="19"/>
          <w:color w:val="auto"/>
        </w:rPr>
        <w:t>IN WITNESS WHEREOF, the Corporation has caused these Articles of Amendment to be executed in its name and on its behalf by its Chief Executive Officer and attested to by its Secretary on this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day of August,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u w:val="single" w:color="auto"/>
          <w:color w:val="auto"/>
        </w:rPr>
        <w:t>/s/ Thomas J. Friedmann</w:t>
      </w:r>
      <w:r>
        <w:rPr>
          <w:rFonts w:ascii="Times New Roman" w:cs="Times New Roman" w:eastAsia="Times New Roman" w:hAnsi="Times New Roman"/>
          <w:sz w:val="19"/>
          <w:szCs w:val="19"/>
          <w:color w:val="auto"/>
        </w:rPr>
        <w:t xml:space="preserve">  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1525905</wp:posOffset>
            </wp:positionH>
            <wp:positionV relativeFrom="paragraph">
              <wp:posOffset>-7620</wp:posOffset>
            </wp:positionV>
            <wp:extent cx="92202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922020" cy="7620"/>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Thomas J. Friedmann Arthur H. Penn</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Secretary Chief Executive Officer</w:t>
      </w:r>
    </w:p>
    <w:p>
      <w:pPr>
        <w:spacing w:after="0" w:line="3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672465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580" w:top="1440" w:right="1440" w:bottom="1440" w:gutter="0" w:footer="0" w:header="0"/>
        </w:sectPr>
      </w:pPr>
    </w:p>
    <w:bookmarkStart w:id="64" w:name="page65"/>
    <w:bookmarkEnd w:id="64"/>
    <w:p>
      <w:pPr>
        <w:ind w:left="9800"/>
        <w:spacing w:after="0"/>
        <w:rPr>
          <w:sz w:val="20"/>
          <w:szCs w:val="20"/>
          <w:color w:val="auto"/>
        </w:rPr>
      </w:pPr>
      <w:r>
        <w:rPr>
          <w:rFonts w:ascii="Times New Roman" w:cs="Times New Roman" w:eastAsia="Times New Roman" w:hAnsi="Times New Roman"/>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FOURTH AMENDED AND RESTATED</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INVESTMENT ADVISORY MANAGEMENT AGREEMENT</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BETWEEN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PENNANTPARK INVESTMENT CORPORATION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AND</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PENNANTPARK INVESTMENT ADVISERS, LLC</w:t>
      </w:r>
    </w:p>
    <w:p>
      <w:pPr>
        <w:spacing w:after="0" w:line="169"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FOURTH AMENDED AND RESTATED AGREEMENT (this “Agreement”) made this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May 2024, by and between PENNANTPARK INVESTMENT CORPORATION., a Maryland corporation (the “Corporation”), and PENNANTPARK INVESTMENT ADVISERS, LLC, a Delaware limited liability company (the “Adviser”).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Corporation operates as a closed-end management investment company;</w:t>
      </w:r>
    </w:p>
    <w:p>
      <w:pPr>
        <w:spacing w:after="0" w:line="16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WHEREAS, the Corporation has filed an election to be treated as a business development company under the Investment Company Act of 1940, as amended (the “1940 Act”);</w:t>
      </w:r>
    </w:p>
    <w:p>
      <w:pPr>
        <w:spacing w:after="0" w:line="10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WHEREAS, the Corporation and the Adviser are parties to that certain investment advisory management agreement dated April 7, 2011, as amended and restated on August 7, 2012, by and between the Corporation and the Adviser (the “Prior Agreement”);</w:t>
      </w:r>
    </w:p>
    <w:p>
      <w:pPr>
        <w:spacing w:after="0" w:line="10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WHEREAS, the Corporation and the Adviser desire to amend and restate the Prior Agreement to set forth the terms and conditions for the continued provision by the Adviser of investment advisory services to the Corporation; and</w:t>
      </w:r>
    </w:p>
    <w:p>
      <w:pPr>
        <w:spacing w:after="0" w:line="1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WHEREAS, the Corporation’s board of directors has determined that such amendment and restatement clarifies the intent of the Prior Agreement in a manner that is consistent with the Corporation’s public disclosures and is not detrimental to the Corporation.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premises and for other good and valuable consideration, the parties hereby agree as follows:</w:t>
      </w:r>
    </w:p>
    <w:p>
      <w:pPr>
        <w:spacing w:after="0" w:line="165" w:lineRule="exact"/>
        <w:rPr>
          <w:sz w:val="20"/>
          <w:szCs w:val="20"/>
          <w:color w:val="auto"/>
        </w:rPr>
      </w:pPr>
    </w:p>
    <w:p>
      <w:pPr>
        <w:ind w:left="180" w:hanging="174"/>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of the Adviser</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right="20" w:firstLine="6"/>
        <w:spacing w:after="0" w:line="254" w:lineRule="auto"/>
        <w:tabs>
          <w:tab w:leader="none" w:pos="2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hereby employs the Adviser to act as the investment adviser to the Corporation and to manage the investment and reinvestment of the assets of the Corporation, subject to the supervision of the Board of Directors of the Corporation, for the period and upon the terms herein set forth, (i) in accordance with the investment objective, policies and restrictions that are set forth in the Corporation’s registration statement, as the same may be amended from time to time, (ii) in accordance with the 1940 Act and (iii) during the term of this Agreement in accordance with all other applicable federal and state laws, rules and regulations, and the Corporation’s charter and by-laws. Without limiting the generality of the foregoing, the Adviser shall, during the term and subject to the provisions of this Agreement, (i) determine the composition of the portfolio of the Corporation, the nature and timing of the changes therein and the manner of implementing such changes; (ii) identify, evaluate and negotiate the structure of the investments made by the Corporation; (iii) close and monitor the Corporation’s investments; determine the securities and other assets that the Corporation will purchase, retain, or sell; perform due diligence on prospective portfolio companies; and (vi) provide the Corporation with such other investment advisory, research and related services as the Corporation may, from time to time,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768985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3" w:right="660" w:bottom="1440" w:gutter="0" w:footer="0" w:header="0"/>
        </w:sectPr>
      </w:pPr>
    </w:p>
    <w:bookmarkStart w:id="65" w:name="page66"/>
    <w:bookmarkEnd w:id="65"/>
    <w:p>
      <w:pPr>
        <w:spacing w:after="0" w:line="200" w:lineRule="exact"/>
        <w:rPr>
          <w:sz w:val="20"/>
          <w:szCs w:val="20"/>
          <w:color w:val="auto"/>
        </w:rPr>
      </w:pPr>
    </w:p>
    <w:p>
      <w:pPr>
        <w:spacing w:after="0" w:line="2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require for the investment of its funds. The Adviser shall have the power and authority on behalf of the Corporation to effectuate its investment decisions for the Corporation, including the execution and delivery of all documents relating to the Corporation’s investments and the placing of orders for other purchase or sale transactions on behalf of the Corporation. In the event that the Corporation determines to acquire debt financing, the Adviser will arrange for such financing on the Corporation’s behalf, subject to the oversight and approval of the Corporation’s Board of Directors. If it is necessary for the Adviser to make investments on behalf of the Corporation through a special purpose vehicle, the Adviser shall have authority to create or arrange for the creation of such special purpose vehicle and to make such investments through such special purpose vehicle in accordance with the 1940 Act.</w:t>
      </w:r>
    </w:p>
    <w:p>
      <w:pPr>
        <w:spacing w:after="0" w:line="189" w:lineRule="exact"/>
        <w:rPr>
          <w:sz w:val="20"/>
          <w:szCs w:val="20"/>
          <w:color w:val="auto"/>
        </w:rPr>
      </w:pPr>
    </w:p>
    <w:p>
      <w:pPr>
        <w:ind w:right="160" w:firstLine="6"/>
        <w:spacing w:after="0" w:line="28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hereby accepts such employment and agrees during the term hereof to render the services described herein for the compensation provided herein.</w:t>
      </w:r>
    </w:p>
    <w:p>
      <w:pPr>
        <w:spacing w:after="0" w:line="101" w:lineRule="exact"/>
        <w:rPr>
          <w:rFonts w:ascii="Times New Roman" w:cs="Times New Roman" w:eastAsia="Times New Roman" w:hAnsi="Times New Roman"/>
          <w:sz w:val="18"/>
          <w:szCs w:val="18"/>
          <w:color w:val="auto"/>
        </w:rPr>
      </w:pPr>
    </w:p>
    <w:p>
      <w:pPr>
        <w:ind w:right="20" w:firstLine="6"/>
        <w:spacing w:after="0" w:line="255" w:lineRule="auto"/>
        <w:tabs>
          <w:tab w:leader="none" w:pos="2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requirements of the 1940 Act, the Adviser is hereby authorized to enter into one or more sub-advisory agreements with other investment advisers (each, a “Sub-Adviser”) pursuant to which the Adviser may obtain the services of the Sub-Adviser(s) to assist the Adviser in fulfilling its responsibilities hereunder. Specifically, the Adviser may retain a Sub-Adviser to recommend specific securities or other investments based upon the Corporation’s investment objective and policies, and work, along with the Adviser, in structuring, negotiating, arranging or effecting the acquisition or disposition of such investments and monitoring investments on behalf of the Corporation, subject to the oversight of the Adviser and the Corporation. The Adviser, and not the Corporation, shall be responsible for any compensation payable to any Sub-Adviser. Any sub-advisory agreement entered into by the Adviser shall be in accordance with the requirements of the 1940 Act and other applicable federal and state law.</w:t>
      </w:r>
    </w:p>
    <w:p>
      <w:pPr>
        <w:spacing w:after="0" w:line="125" w:lineRule="exact"/>
        <w:rPr>
          <w:rFonts w:ascii="Times New Roman" w:cs="Times New Roman" w:eastAsia="Times New Roman" w:hAnsi="Times New Roman"/>
          <w:sz w:val="18"/>
          <w:szCs w:val="18"/>
          <w:color w:val="auto"/>
        </w:rPr>
      </w:pPr>
    </w:p>
    <w:p>
      <w:pPr>
        <w:ind w:right="100" w:firstLine="6"/>
        <w:spacing w:after="0" w:line="28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shall for all purposes herein provided be deemed to be an independent contractor and, except as expressly provided or authorized herein, shall have no authority to act for or represent the Corporation in any way or otherwise be deemed an agent of the Corporation.</w:t>
      </w:r>
    </w:p>
    <w:p>
      <w:pPr>
        <w:spacing w:after="0" w:line="101" w:lineRule="exact"/>
        <w:rPr>
          <w:rFonts w:ascii="Times New Roman" w:cs="Times New Roman" w:eastAsia="Times New Roman" w:hAnsi="Times New Roman"/>
          <w:sz w:val="18"/>
          <w:szCs w:val="18"/>
          <w:color w:val="auto"/>
        </w:rPr>
      </w:pPr>
    </w:p>
    <w:p>
      <w:pPr>
        <w:ind w:right="20" w:firstLine="6"/>
        <w:spacing w:after="0" w:line="256" w:lineRule="auto"/>
        <w:tabs>
          <w:tab w:leader="none" w:pos="2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shall keep and preserve, in the manner and for the period that would be applicable to investment companies registered under the 1940 Act any books and records relevant to the provision of its investment advisory services to the Corporation and shall specifically maintain all books and records with respect to the Corporation’s portfolio transactions and shall render to the Corporation’s Board of Directors such periodic and special reports as the Board may reasonably request. The Adviser agrees that all records that it maintains for the Corporation are the property of the Corporation and will surrender promptly to the Corporation any such records upon the Corporation’s request, provided that the Adviser may retain a copy of such records.</w:t>
      </w:r>
    </w:p>
    <w:p>
      <w:pPr>
        <w:spacing w:after="0" w:line="128" w:lineRule="exact"/>
        <w:rPr>
          <w:sz w:val="20"/>
          <w:szCs w:val="20"/>
          <w:color w:val="auto"/>
        </w:rPr>
      </w:pPr>
    </w:p>
    <w:p>
      <w:pPr>
        <w:ind w:firstLine="6"/>
        <w:spacing w:after="0" w:line="253"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Corporation’s Responsibilities and Expenses Payable by the Corporation</w:t>
      </w:r>
      <w:r>
        <w:rPr>
          <w:rFonts w:ascii="Times New Roman" w:cs="Times New Roman" w:eastAsia="Times New Roman" w:hAnsi="Times New Roman"/>
          <w:sz w:val="18"/>
          <w:szCs w:val="18"/>
          <w:color w:val="auto"/>
        </w:rPr>
        <w:t>. All investment professionals of the Adviser and their respective staffs, when and to the extent engaged in providing investment advisory and management services hereunder, and the compensation and routine overhead expenses of such personnel allocable to such services, will be provided and paid for by the Adviser and not by the Corporation. The Corporation will bear all other costs and expenses of its operations and transactions, including (without limitation) those relating to: organization and offering; calculating the Corporation’s net asset value (including the cost and expenses of any independent valuation firm); expenses incurred by the Adviser payable to third parties, including agents, consultants or other advisors, in monitoring financial and legal affairs for the Corporation and in monitoring the Corporation’s investments and performing due diligence (including related legal expenses) on its prospective portfolio companies; interest payable on debt, if any, incurred to finance the Corporation’s investments and expenses related to unsuccessful portfolio acquisition efforts; offerings of the Corporation’s common stock and other securities; investment advisory and management fees; administration fees payable under the Administration Agreement (the “Administration Agreement”) between the Corporation and PennantPark Investment Administration, LLC (the “Administrator”), the Corporation’s administrator; fees payable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772795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6" w:name="page67"/>
    <w:bookmarkEnd w:id="66"/>
    <w:p>
      <w:pPr>
        <w:spacing w:after="0" w:line="200" w:lineRule="exact"/>
        <w:rPr>
          <w:sz w:val="20"/>
          <w:szCs w:val="20"/>
          <w:color w:val="auto"/>
        </w:rPr>
      </w:pPr>
    </w:p>
    <w:p>
      <w:pPr>
        <w:spacing w:after="0" w:line="2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third parties, including agents, consultants or other advisors, relating to, or associated with, evaluating and making investments, including costs associated with meeting potential financial sponsors;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Securities and Exchange Commission; costs of any reports, proxy statements or other notices to stockholders, including printing costs; costs associated with individual or group stockholders; the Corporation’s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and all other expenses incurred by the Corporation or the Administrator in connection with administering the Corporation’s business, including payments under the Administration Agreement between the Corporation and the Administrator based upon the Corporation’s allocable portion of the Administrator’s overhead in performing its obligations under the Administration Agreement, including rent and the allocable portion of the cost of the Corporation’s chief compliance officer and chief financial officer and their respective staffs.</w:t>
      </w:r>
    </w:p>
    <w:p>
      <w:pPr>
        <w:spacing w:after="0" w:line="193" w:lineRule="exact"/>
        <w:rPr>
          <w:sz w:val="20"/>
          <w:szCs w:val="20"/>
          <w:color w:val="auto"/>
        </w:rPr>
      </w:pPr>
    </w:p>
    <w:p>
      <w:pPr>
        <w:ind w:firstLine="6"/>
        <w:spacing w:after="0" w:line="258"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of the Adviser</w:t>
      </w:r>
      <w:r>
        <w:rPr>
          <w:rFonts w:ascii="Times New Roman" w:cs="Times New Roman" w:eastAsia="Times New Roman" w:hAnsi="Times New Roman"/>
          <w:sz w:val="18"/>
          <w:szCs w:val="18"/>
          <w:color w:val="auto"/>
        </w:rPr>
        <w:t>. The Corporation agrees to pay, and the Adviser agrees to accept, as compensation for the services provided by the Adviser hereunder, a base management fee (“Base Management Fee”) and an incentive fee (“Incentive Fee”) as hereinafter set forth. The Corporation shall make any payments due hereunder to the Adviser or to the Adviser’s designee as the Adviser may otherwise direct. To the extent permitted by applicable law, the Adviser may elect, or adopt a deferred compensation plan pursuant to which it may elect, to defer all or a portion of its fees hereunder for a specified period of time.</w:t>
      </w:r>
    </w:p>
    <w:p>
      <w:pPr>
        <w:spacing w:after="0" w:line="124" w:lineRule="exact"/>
        <w:rPr>
          <w:sz w:val="20"/>
          <w:szCs w:val="20"/>
          <w:color w:val="auto"/>
        </w:rPr>
      </w:pPr>
    </w:p>
    <w:p>
      <w:pPr>
        <w:ind w:right="180" w:firstLine="6"/>
        <w:spacing w:after="0" w:line="255" w:lineRule="auto"/>
        <w:tabs>
          <w:tab w:leader="none" w:pos="2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Management Fee shall be calculated at an annual rate of 1.00% of the Corporation’s “average adjusted gross assets,” which equals the Corporation’s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For services rendered under this Agreement, the Base Management Fee will be payable quarterly in arrears. The Base Management Fee will be calculated based on the average adjusted gross assets at the end of the two most recently completed calendar quarters, and appropriately adjusted for any share issuances or repurchases during the current calendar quarter. Base Management Fees for any partial month or quarter will be appropriately pro-rated.</w:t>
      </w:r>
    </w:p>
    <w:p>
      <w:pPr>
        <w:spacing w:after="0" w:line="129"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Fee shall consist of two parts, as follows:</w:t>
      </w:r>
    </w:p>
    <w:p>
      <w:pPr>
        <w:spacing w:after="0" w:line="165" w:lineRule="exact"/>
        <w:rPr>
          <w:rFonts w:ascii="Times New Roman" w:cs="Times New Roman" w:eastAsia="Times New Roman" w:hAnsi="Times New Roman"/>
          <w:sz w:val="18"/>
          <w:szCs w:val="18"/>
          <w:color w:val="auto"/>
        </w:rPr>
      </w:pPr>
    </w:p>
    <w:p>
      <w:pPr>
        <w:ind w:left="700" w:right="40" w:firstLine="2"/>
        <w:spacing w:after="0" w:line="254" w:lineRule="auto"/>
        <w:tabs>
          <w:tab w:leader="none" w:pos="91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part will be calculated and payable quarterly in arrears based on the Corporation’s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structuring, prepayment penalties, diligence and consulting fees or other fees that the Corporation receives from portfolio companies, accrued during the calendar quarter, minus the Corporation’s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original issue discount, debt instruments with payment-in-kind interest and zero coupon securities), accrued income that the Corporation has not yet received in cash. Pre-Incentive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768985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7" w:name="page68"/>
    <w:bookmarkEnd w:id="67"/>
    <w:p>
      <w:pPr>
        <w:spacing w:after="0" w:line="200" w:lineRule="exact"/>
        <w:rPr>
          <w:sz w:val="20"/>
          <w:szCs w:val="20"/>
          <w:color w:val="auto"/>
        </w:rPr>
      </w:pPr>
    </w:p>
    <w:p>
      <w:pPr>
        <w:spacing w:after="0" w:line="226" w:lineRule="exact"/>
        <w:rPr>
          <w:sz w:val="20"/>
          <w:szCs w:val="20"/>
          <w:color w:val="auto"/>
        </w:rPr>
      </w:pPr>
    </w:p>
    <w:p>
      <w:pPr>
        <w:ind w:left="694"/>
        <w:spacing w:after="0" w:line="252" w:lineRule="auto"/>
        <w:rPr>
          <w:sz w:val="20"/>
          <w:szCs w:val="20"/>
          <w:color w:val="auto"/>
        </w:rPr>
      </w:pPr>
      <w:r>
        <w:rPr>
          <w:rFonts w:ascii="Times New Roman" w:cs="Times New Roman" w:eastAsia="Times New Roman" w:hAnsi="Times New Roman"/>
          <w:sz w:val="18"/>
          <w:szCs w:val="18"/>
          <w:color w:val="auto"/>
        </w:rPr>
        <w:t>net investment income does not include any realized capital gains, computed net of all realized capital losses or unrealized capital appreciation or depreciation. Pre-Incentive Fee net investment income, expressed as a percentage of the value of the Corporation’s net assets at the end of the immediately preceding calendar quarter, will be compared to a “hurdle rate” of 1.75% per quarter (7.00% annualized). The Corporation’s net investment income used to calculate this part of the Incentive Fee is also included in the amount of its gross assets used to calculate the 1.00% Base Management Fee. The Corporation will pay the Adviser an Incentive Fee with respect to the Corporation’s pre-Incentive Fee net investment income in each calendar quarter as follows: (1) no Incentive Fee in any calendar quarter in which the Corporation’s pre-Incentive Fee net investment income does not exceed the hurdle rate of 1.75%; (2) 50% of the Corporation’s pre-Incentive Fee net investment income with respect to that portion of such pre-Incentive Fee net investment income, if any, that exceeds the hurdle rate but is less than 2.9167% in any calendar quarter (11.67% annualized) (this portion of the pre-Incentive Fee net investment income (which exceeds the hurdle but is less than 2.9167%) is referred to herein as the “catch-up,” which is meant to provide the Adviser with 20% of the Corporation’s pre-Incentive Fee net investment income, as if a hurdle did not apply, if this net investment income exceeds 2.9167% in any calendar quarter); and (3) 20% of the amount of the Corporation’s pre-Incentive Fee net investment income, if any, that exceeds 2.9167% in any calendar quarter. These calculations will be appropriately pro-rated for any period of less than three months and adjusted for any share issuances or repurchases during the relevant quarter.</w:t>
      </w:r>
    </w:p>
    <w:p>
      <w:pPr>
        <w:spacing w:after="0" w:line="138" w:lineRule="exact"/>
        <w:rPr>
          <w:sz w:val="20"/>
          <w:szCs w:val="20"/>
          <w:color w:val="auto"/>
        </w:rPr>
      </w:pPr>
    </w:p>
    <w:p>
      <w:pPr>
        <w:ind w:left="694" w:right="20" w:firstLine="2"/>
        <w:spacing w:after="0" w:line="256" w:lineRule="auto"/>
        <w:tabs>
          <w:tab w:leader="none" w:pos="95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part of the Incentive Fee (the “Capital Gains Fee”) will be determined and payable in arrears as of the end of each calendar year (or upon termination of this Agreement as set forth below), commencing with December 31, 2011, and will equal 20.0% of the Corporation’s realized capital gains, if any, on a cumulative basis from inception through the end of each calendar year, computed net of all realized capital losses and unrealized capital depreciation on a cumulative basis, less the aggregate amount of any previously paid Capital Gains Fees. In the event that this Agreement shall terminate as of a date that is not a calendar year end, the termination date shall be treated as though it were a calendar year end for purposes of calculating and paying a Capital Gains Fee.</w:t>
      </w:r>
    </w:p>
    <w:p>
      <w:pPr>
        <w:spacing w:after="0" w:line="187" w:lineRule="exact"/>
        <w:rPr>
          <w:rFonts w:ascii="Times New Roman" w:cs="Times New Roman" w:eastAsia="Times New Roman" w:hAnsi="Times New Roman"/>
          <w:sz w:val="18"/>
          <w:szCs w:val="18"/>
          <w:color w:val="auto"/>
        </w:rPr>
      </w:pPr>
    </w:p>
    <w:p>
      <w:pPr>
        <w:ind w:left="-6" w:right="120" w:firstLine="6"/>
        <w:spacing w:after="0" w:line="266" w:lineRule="auto"/>
        <w:tabs>
          <w:tab w:leader="none" w:pos="1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Adviser</w:t>
      </w:r>
      <w:r>
        <w:rPr>
          <w:rFonts w:ascii="Times New Roman" w:cs="Times New Roman" w:eastAsia="Times New Roman" w:hAnsi="Times New Roman"/>
          <w:sz w:val="18"/>
          <w:szCs w:val="18"/>
          <w:color w:val="auto"/>
        </w:rPr>
        <w:t>. The Adviser covenants that it is registered as an investment adviser under the Advisers Act. The Adviser agrees that its activities will at all times be in compliance in all material respects with all applicable federal and state laws governing its operations and investments.</w:t>
      </w:r>
    </w:p>
    <w:p>
      <w:pPr>
        <w:spacing w:after="0" w:line="116" w:lineRule="exact"/>
        <w:rPr>
          <w:rFonts w:ascii="Times New Roman" w:cs="Times New Roman" w:eastAsia="Times New Roman" w:hAnsi="Times New Roman"/>
          <w:sz w:val="18"/>
          <w:szCs w:val="18"/>
          <w:color w:val="auto"/>
        </w:rPr>
      </w:pPr>
    </w:p>
    <w:p>
      <w:pPr>
        <w:ind w:left="-6" w:right="100" w:firstLine="6"/>
        <w:spacing w:after="0" w:line="255" w:lineRule="auto"/>
        <w:tabs>
          <w:tab w:leader="none" w:pos="1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Excess Brokerage Commissions</w:t>
      </w:r>
      <w:r>
        <w:rPr>
          <w:rFonts w:ascii="Times New Roman" w:cs="Times New Roman" w:eastAsia="Times New Roman" w:hAnsi="Times New Roman"/>
          <w:sz w:val="18"/>
          <w:szCs w:val="18"/>
          <w:color w:val="auto"/>
        </w:rPr>
        <w:t>. The Adviser is hereby authorized, to the fullest extent now or hereafter permitted by law, to cause the Corporation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Corporation’s portfolio, and constitutes the best net results for the Corporation.</w:t>
      </w:r>
    </w:p>
    <w:p>
      <w:pPr>
        <w:spacing w:after="0" w:line="125" w:lineRule="exact"/>
        <w:rPr>
          <w:rFonts w:ascii="Times New Roman" w:cs="Times New Roman" w:eastAsia="Times New Roman" w:hAnsi="Times New Roman"/>
          <w:sz w:val="18"/>
          <w:szCs w:val="18"/>
          <w:color w:val="auto"/>
        </w:rPr>
      </w:pPr>
    </w:p>
    <w:p>
      <w:pPr>
        <w:ind w:left="-6" w:right="20" w:firstLine="6"/>
        <w:spacing w:after="0" w:line="266" w:lineRule="auto"/>
        <w:tabs>
          <w:tab w:leader="none" w:pos="1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the Employment of the Adviser</w:t>
      </w:r>
      <w:r>
        <w:rPr>
          <w:rFonts w:ascii="Times New Roman" w:cs="Times New Roman" w:eastAsia="Times New Roman" w:hAnsi="Times New Roman"/>
          <w:sz w:val="18"/>
          <w:szCs w:val="18"/>
          <w:color w:val="auto"/>
        </w:rPr>
        <w:t>. The services of the Adviser to the Corporation are not exclusive, and the Adviser may engage in any other business or render similar or different services to others including, without limitation, the direct or indirect sponsorship or management of other investment based accounts or commingled pools of capital, however structured, having investment objectives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762635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94"/>
          </w:cols>
          <w:pgMar w:left="666" w:top="1440" w:right="640" w:bottom="1440" w:gutter="0" w:footer="0" w:header="0"/>
        </w:sectPr>
      </w:pPr>
    </w:p>
    <w:bookmarkStart w:id="68" w:name="page69"/>
    <w:bookmarkEnd w:id="68"/>
    <w:p>
      <w:pPr>
        <w:spacing w:after="0" w:line="200" w:lineRule="exact"/>
        <w:rPr>
          <w:sz w:val="20"/>
          <w:szCs w:val="20"/>
          <w:color w:val="auto"/>
        </w:rPr>
      </w:pPr>
    </w:p>
    <w:p>
      <w:pPr>
        <w:spacing w:after="0" w:line="2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those of the Corporation, so long as its services to the Corporation hereunder are not impaired thereby,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Corporation’s portfolio companies, subject to applicable law). So long as this Agreement or any extension, renewal or amendment remains in effect, the Adviser shall be the only investment adviser for the Corporation, subject to the Adviser’s right to enter into sub-advisory agreements. The Adviser assumes no responsibility under this Agreement other than to render the services called for hereunder. It is understood that directors, officers, employees and stockholders of the Corporation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Corporation as stockholders or otherwise.</w:t>
      </w:r>
    </w:p>
    <w:p>
      <w:pPr>
        <w:spacing w:after="0" w:line="126" w:lineRule="exact"/>
        <w:rPr>
          <w:sz w:val="20"/>
          <w:szCs w:val="20"/>
          <w:color w:val="auto"/>
        </w:rPr>
      </w:pPr>
    </w:p>
    <w:p>
      <w:pPr>
        <w:ind w:firstLine="6"/>
        <w:spacing w:after="0" w:line="258"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of Dual Directors, Officers and/or Employees</w:t>
      </w:r>
      <w:r>
        <w:rPr>
          <w:rFonts w:ascii="Times New Roman" w:cs="Times New Roman" w:eastAsia="Times New Roman" w:hAnsi="Times New Roman"/>
          <w:sz w:val="18"/>
          <w:szCs w:val="18"/>
          <w:color w:val="auto"/>
        </w:rPr>
        <w:t>. If any person who is a manager, partner, officer or employee of the Adviser or the Administrator is or becomes a director, officer and/or employee of the Corporation and acts as such in any business of the Corporation, then such manager, partner, officer and/or employee of the Adviser or the Administrator shall be deemed to be acting in such capacity solely for the Corporation, and not as a manager, partner, officer or employee of the Adviser or the Administrator or under the control or direction of the Adviser or the Administrator, even if paid by the Adviser or the Administrator.</w:t>
      </w:r>
    </w:p>
    <w:p>
      <w:pPr>
        <w:spacing w:after="0" w:line="123" w:lineRule="exact"/>
        <w:rPr>
          <w:rFonts w:ascii="Times New Roman" w:cs="Times New Roman" w:eastAsia="Times New Roman" w:hAnsi="Times New Roman"/>
          <w:sz w:val="18"/>
          <w:szCs w:val="18"/>
          <w:color w:val="auto"/>
        </w:rPr>
      </w:pPr>
    </w:p>
    <w:p>
      <w:pPr>
        <w:ind w:firstLine="6"/>
        <w:spacing w:after="0" w:line="25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 of the Adviser; Indemnification</w:t>
      </w:r>
      <w:r>
        <w:rPr>
          <w:rFonts w:ascii="Times New Roman" w:cs="Times New Roman" w:eastAsia="Times New Roman" w:hAnsi="Times New Roman"/>
          <w:sz w:val="18"/>
          <w:szCs w:val="18"/>
          <w:color w:val="auto"/>
        </w:rPr>
        <w:t>. The Adviser (and its officers, managers, partners, agents, employees, controlling persons, members and any other person or entity affiliated with the Adviser, including without limitation its general partner and the Administrator) shall not be liable to the Corporation for any action taken or omitted to be taken by the Adviser in connection with the performance of any of its duties or obligations under this Agreement or otherwise as an investment adviser of the Corporation, except to the extent specified in Section 36(b) of the 1940 Act concerning loss resulting from a breach of fiduciary duty (as the same is finally determined by judicial proceedings) with respect to the receipt of compensation for services, and the Corporation shall indemnify, defend and protect the Adviser (and its officers, managers, partners, agents, employees, controlling persons, members and any other person or entity affiliated with the Adviser, including without limitation its general partner and the Administrator,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Adviser’s duties or obligations under this Agreement or otherwise as an investment adviser of the Corporation. Notwithstanding the preceding sentence of this Paragraph 8 to the contrary, nothing contained herein shall protect or be deemed to protect the Indemnified Parties against or 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Adviser’s duties or by reason of the reckless disregard of the Adviser’s duties and obligations under this Agreement (as the same shall be determined in accordance with the 1940 Act and any interpretations or guidance by the Securities and Exchange Commission or its staff thereunder).</w:t>
      </w:r>
    </w:p>
    <w:p>
      <w:pPr>
        <w:spacing w:after="0" w:line="133" w:lineRule="exact"/>
        <w:rPr>
          <w:rFonts w:ascii="Times New Roman" w:cs="Times New Roman" w:eastAsia="Times New Roman" w:hAnsi="Times New Roman"/>
          <w:sz w:val="18"/>
          <w:szCs w:val="18"/>
          <w:color w:val="auto"/>
        </w:rPr>
      </w:pPr>
    </w:p>
    <w:p>
      <w:pPr>
        <w:ind w:right="760" w:firstLine="6"/>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Duration and Termination of Agreement</w:t>
      </w:r>
      <w:r>
        <w:rPr>
          <w:rFonts w:ascii="Times New Roman" w:cs="Times New Roman" w:eastAsia="Times New Roman" w:hAnsi="Times New Roman"/>
          <w:sz w:val="18"/>
          <w:szCs w:val="18"/>
          <w:color w:val="auto"/>
        </w:rPr>
        <w:t>. This Agreement shall become effective as of the first date above written. This Agreement shall continue automatically for successive annual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753110</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9" w:name="page70"/>
    <w:bookmarkEnd w:id="69"/>
    <w:p>
      <w:pPr>
        <w:spacing w:after="0" w:line="200" w:lineRule="exact"/>
        <w:rPr>
          <w:sz w:val="20"/>
          <w:szCs w:val="20"/>
          <w:color w:val="auto"/>
        </w:rPr>
      </w:pPr>
    </w:p>
    <w:p>
      <w:pPr>
        <w:spacing w:after="0" w:line="2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provided that such continuance is specifically approved at least annually by (a) the vote of the Corporation’s Board of Directors, or by the vote of a majority of the outstanding voting securities of the Corporation and (b) the vote of a majority of the Corporation’s directors who are not parties to this Agreement or “interested persons” (as such term is defined in Section 2(a)(19) of the 1940 Act) of any such party, in accordance with the requirements of the 1940 Act. This Agreement may be terminated at any time, without the payment of any penalty, upon 60 days’ written notice, by the vote of a majority of the outstanding voting securities of the Corporation, or by the vote of the Corporation’s Directors or by the Adviser. This Agreement will automatically terminate in the event of its “assignment” (as such term is defined for purposes of Section 15(a)(4) of the 1940 Act). The provisions of Paragraph 8 of this Agreement shall remain in full force and effect, and the Adviser shall remain entitled to the benefits thereof, notwithstanding any termination of this Agreement. Further, notwithstanding the termination or expiration of this Agreement as aforesaid, the Adviser shall be entitled to any amounts owed under Section 3 through the date of termination or expiration and Section 8 shall continue in force and effect and apply to the Adviser and its representatives as and to the extent applicable.</w:t>
      </w:r>
    </w:p>
    <w:p>
      <w:pPr>
        <w:spacing w:after="0" w:line="126" w:lineRule="exact"/>
        <w:rPr>
          <w:sz w:val="20"/>
          <w:szCs w:val="20"/>
          <w:color w:val="auto"/>
        </w:rPr>
      </w:pPr>
    </w:p>
    <w:p>
      <w:pPr>
        <w:ind w:right="180" w:firstLine="6"/>
        <w:spacing w:after="0" w:line="282" w:lineRule="auto"/>
        <w:tabs>
          <w:tab w:leader="none" w:pos="2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under this Agreement shall be given in writing, addressed and delivered or mailed, postage prepaid, to the other party at its principal office.</w:t>
      </w:r>
    </w:p>
    <w:p>
      <w:pPr>
        <w:spacing w:after="0" w:line="101" w:lineRule="exact"/>
        <w:rPr>
          <w:rFonts w:ascii="Times New Roman" w:cs="Times New Roman" w:eastAsia="Times New Roman" w:hAnsi="Times New Roman"/>
          <w:sz w:val="18"/>
          <w:szCs w:val="18"/>
          <w:color w:val="auto"/>
        </w:rPr>
      </w:pPr>
    </w:p>
    <w:p>
      <w:pPr>
        <w:ind w:right="220" w:firstLine="6"/>
        <w:spacing w:after="0" w:line="282" w:lineRule="auto"/>
        <w:tabs>
          <w:tab w:leader="none" w:pos="2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by mutual consent, but the consent of the Corporation must be obtained in conformity with the requirements of the 1940 Act.</w:t>
      </w:r>
    </w:p>
    <w:p>
      <w:pPr>
        <w:spacing w:after="0" w:line="101" w:lineRule="exact"/>
        <w:rPr>
          <w:rFonts w:ascii="Times New Roman" w:cs="Times New Roman" w:eastAsia="Times New Roman" w:hAnsi="Times New Roman"/>
          <w:sz w:val="18"/>
          <w:szCs w:val="18"/>
          <w:color w:val="auto"/>
        </w:rPr>
      </w:pPr>
    </w:p>
    <w:p>
      <w:pPr>
        <w:ind w:right="120" w:firstLine="6"/>
        <w:spacing w:after="0" w:line="261" w:lineRule="auto"/>
        <w:tabs>
          <w:tab w:leader="none" w:pos="2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This Agreement contains the entire agreement of the parties and supersedes all prior agreements, understandings and arrangements with respect to the subject matter hereof. This Agreement shall be construed in accordance with the laws of the State of New York and the applicable provisions of the 1940 Act. To the extent the applicable laws of the State of New York, or any of the provisions herein, conflict with the provisions of the 1940 Act, the latter shall control.</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909320</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0" w:name="page71"/>
    <w:bookmarkEnd w:id="70"/>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on the date above written.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29" w:lineRule="exact"/>
        <w:rPr>
          <w:sz w:val="20"/>
          <w:szCs w:val="20"/>
          <w:color w:val="auto"/>
        </w:rPr>
      </w:pPr>
    </w:p>
    <w:p>
      <w:pPr>
        <w:ind w:left="6340"/>
        <w:spacing w:after="0"/>
        <w:tabs>
          <w:tab w:leader="none" w:pos="6800" w:val="left"/>
        </w:tabs>
        <w:rPr>
          <w:sz w:val="20"/>
          <w:szCs w:val="20"/>
          <w:color w:val="auto"/>
        </w:rPr>
      </w:pPr>
      <w:r>
        <w:rPr>
          <w:rFonts w:ascii="Times New Roman" w:cs="Times New Roman" w:eastAsia="Times New Roman" w:hAnsi="Times New Roman"/>
          <w:sz w:val="18"/>
          <w:szCs w:val="18"/>
          <w:color w:val="auto"/>
        </w:rPr>
        <w:t>By:</w:t>
        <w:tab/>
        <w:t>/s/Arthur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13335</wp:posOffset>
            </wp:positionV>
            <wp:extent cx="238569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2385695" cy="7620"/>
                    </a:xfrm>
                    <a:prstGeom prst="rect">
                      <a:avLst/>
                    </a:prstGeom>
                    <a:noFill/>
                  </pic:spPr>
                </pic:pic>
              </a:graphicData>
            </a:graphic>
          </wp:anchor>
        </w:drawing>
      </w:r>
    </w:p>
    <w:p>
      <w:pPr>
        <w:spacing w:after="0" w:line="1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Nam</w:t>
      </w:r>
    </w:p>
    <w:p>
      <w:pPr>
        <w:spacing w:after="0" w:line="27" w:lineRule="exact"/>
        <w:rPr>
          <w:sz w:val="20"/>
          <w:szCs w:val="20"/>
          <w:color w:val="auto"/>
        </w:rPr>
      </w:pPr>
    </w:p>
    <w:p>
      <w:pPr>
        <w:ind w:left="6340"/>
        <w:spacing w:after="0"/>
        <w:tabs>
          <w:tab w:leader="none" w:pos="680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8"/>
          <w:szCs w:val="18"/>
          <w:color w:val="auto"/>
        </w:rPr>
        <w:t>Arthur Penn</w:t>
      </w:r>
    </w:p>
    <w:p>
      <w:pPr>
        <w:spacing w:after="0" w:line="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Title: Chief Executive Officer and Chairman of the Board</w:t>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of Directors</w:t>
      </w:r>
    </w:p>
    <w:p>
      <w:pPr>
        <w:spacing w:after="0" w:line="20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color w:val="auto"/>
        </w:rPr>
        <w:t>PENNANTPARK INVESTMENT ADVISERS, LLC</w:t>
      </w:r>
    </w:p>
    <w:p>
      <w:pPr>
        <w:spacing w:after="0" w:line="229" w:lineRule="exact"/>
        <w:rPr>
          <w:sz w:val="20"/>
          <w:szCs w:val="20"/>
          <w:color w:val="auto"/>
        </w:rPr>
      </w:pPr>
    </w:p>
    <w:p>
      <w:pPr>
        <w:ind w:left="6340"/>
        <w:spacing w:after="0"/>
        <w:tabs>
          <w:tab w:leader="none" w:pos="6800" w:val="left"/>
        </w:tabs>
        <w:rPr>
          <w:sz w:val="20"/>
          <w:szCs w:val="20"/>
          <w:color w:val="auto"/>
        </w:rPr>
      </w:pPr>
      <w:r>
        <w:rPr>
          <w:rFonts w:ascii="Times New Roman" w:cs="Times New Roman" w:eastAsia="Times New Roman" w:hAnsi="Times New Roman"/>
          <w:sz w:val="18"/>
          <w:szCs w:val="18"/>
          <w:color w:val="auto"/>
        </w:rPr>
        <w:t>By:</w:t>
        <w:tab/>
        <w:t>/s/Arthur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13335</wp:posOffset>
            </wp:positionV>
            <wp:extent cx="238569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2385695" cy="7620"/>
                    </a:xfrm>
                    <a:prstGeom prst="rect">
                      <a:avLst/>
                    </a:prstGeom>
                    <a:noFill/>
                  </pic:spPr>
                </pic:pic>
              </a:graphicData>
            </a:graphic>
          </wp:anchor>
        </w:drawing>
      </w:r>
    </w:p>
    <w:p>
      <w:pPr>
        <w:spacing w:after="0" w:line="1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Nam</w:t>
      </w:r>
    </w:p>
    <w:p>
      <w:pPr>
        <w:spacing w:after="0" w:line="27" w:lineRule="exact"/>
        <w:rPr>
          <w:sz w:val="20"/>
          <w:szCs w:val="20"/>
          <w:color w:val="auto"/>
        </w:rPr>
      </w:pPr>
    </w:p>
    <w:p>
      <w:pPr>
        <w:ind w:left="6340"/>
        <w:spacing w:after="0"/>
        <w:tabs>
          <w:tab w:leader="none" w:pos="680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8"/>
          <w:szCs w:val="18"/>
          <w:color w:val="auto"/>
        </w:rPr>
        <w:t>Arthur Penn</w:t>
      </w:r>
    </w:p>
    <w:p>
      <w:pPr>
        <w:spacing w:after="0" w:line="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895985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71" w:name="page72"/>
    <w:bookmarkEnd w:id="71"/>
    <w:p>
      <w:pPr>
        <w:ind w:left="9800"/>
        <w:spacing w:after="0"/>
        <w:rPr>
          <w:sz w:val="20"/>
          <w:szCs w:val="20"/>
          <w:color w:val="auto"/>
        </w:rPr>
      </w:pPr>
      <w:r>
        <w:rPr>
          <w:rFonts w:ascii="Times New Roman" w:cs="Times New Roman" w:eastAsia="Times New Roman" w:hAnsi="Times New Roman"/>
          <w:sz w:val="14"/>
          <w:szCs w:val="14"/>
          <w:color w:val="auto"/>
        </w:rPr>
        <w:t>Exhibit 10.2</w:t>
      </w: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ADMINISTRATION AGREEMENT</w:t>
      </w:r>
    </w:p>
    <w:p>
      <w:pPr>
        <w:spacing w:after="0" w:line="20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AGREEMENT (this “Agreement”) made as of May 20, 2024 by and between PennantPark Investment Corporation, a Maryland corporation (hereinafter referred to as the “Corporation”), and PennantPark Investment Administration, LLC, a Delaware limited liability company, (hereinafter referred to as the “Administrator”).</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p>
    <w:p>
      <w:pPr>
        <w:spacing w:after="0" w:line="20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WHEREAS, the Corporation is a closed-end non-diversified management investment company that has filed a notice with the Securities and Exchange Commission that it intends to elect to treated as a business development company under the Investment Company Act of 1940, as amended (hereinafter referred to as the “1940 Act”);</w:t>
      </w:r>
    </w:p>
    <w:p>
      <w:pPr>
        <w:spacing w:after="0" w:line="15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WHEREAS, the Corporation has engaged the Administrator to provide administrative services to the Corporation under that Administration Agreement, most recently re-approved by the Board of Directors of the Corporation in February 2022; and</w:t>
      </w:r>
    </w:p>
    <w:p>
      <w:pPr>
        <w:spacing w:after="0" w:line="13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WHEREAS, the Corporation and the Administrator wish to make certain amendments to the Administration Agreement, as reflected in this Agreement.</w:t>
      </w:r>
    </w:p>
    <w:p>
      <w:pPr>
        <w:spacing w:after="0" w:line="9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covenants hereinafter contained and for other good and valuable consideration, the receipt and adequacy of which is hereby acknowledged, the Corporation and the Administrator hereby agree as follows:</w:t>
      </w:r>
    </w:p>
    <w:p>
      <w:pPr>
        <w:spacing w:after="0" w:line="186" w:lineRule="exact"/>
        <w:rPr>
          <w:sz w:val="20"/>
          <w:szCs w:val="20"/>
          <w:color w:val="auto"/>
        </w:rPr>
      </w:pPr>
    </w:p>
    <w:p>
      <w:pPr>
        <w:ind w:left="420" w:hanging="414"/>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of the Administrator</w:t>
      </w:r>
    </w:p>
    <w:p>
      <w:pPr>
        <w:spacing w:after="0" w:line="201" w:lineRule="exact"/>
        <w:rPr>
          <w:sz w:val="20"/>
          <w:szCs w:val="20"/>
          <w:color w:val="auto"/>
        </w:rPr>
      </w:pPr>
    </w:p>
    <w:p>
      <w:pPr>
        <w:ind w:right="20" w:firstLine="6"/>
        <w:spacing w:after="0" w:line="255" w:lineRule="auto"/>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of Administrator</w:t>
      </w:r>
      <w:r>
        <w:rPr>
          <w:rFonts w:ascii="Times New Roman" w:cs="Times New Roman" w:eastAsia="Times New Roman" w:hAnsi="Times New Roman"/>
          <w:sz w:val="18"/>
          <w:szCs w:val="18"/>
          <w:color w:val="auto"/>
        </w:rPr>
        <w:t>. The Corporation hereby employs the Administrator to act as administrator of the Corporation, and to furnish, or arrange for others to furnish, the administrative services, personnel and facilities described below, subject to review by and the overall control of the Board of Directors of the Corporation, for the period and on the terms and conditions set forth in this Agreement. The Administrator hereby accepts such employment and agrees during such period to render, or arrange for the rendering of, such services and to assume the obligations herein set forth subject to the reimbursement of costs and expenses provided for below. The Administrator and such others shall for all purposes herein be deemed to be independent contractors and shall, unless otherwise expressly provided or authorized herein, have no authority to act for or represent the Corporation in any way or otherwise be deemed agents of the Corporation.</w:t>
      </w:r>
    </w:p>
    <w:p>
      <w:pPr>
        <w:spacing w:after="0" w:line="165" w:lineRule="exact"/>
        <w:rPr>
          <w:rFonts w:ascii="Times New Roman" w:cs="Times New Roman" w:eastAsia="Times New Roman" w:hAnsi="Times New Roman"/>
          <w:sz w:val="18"/>
          <w:szCs w:val="18"/>
          <w:color w:val="auto"/>
        </w:rPr>
      </w:pPr>
    </w:p>
    <w:p>
      <w:pPr>
        <w:ind w:firstLine="6"/>
        <w:spacing w:after="0" w:line="254" w:lineRule="auto"/>
        <w:tabs>
          <w:tab w:leader="none" w:pos="2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The Administrator shall perform (or oversee, or arrange for, the performance of) the administrative services necessary for the operation of the Corporation. Without limiting the generality of the foregoing, the Administrator shall provide the Corporation with office facilities, equipment, clerical, bookkeeping and record keeping services at such facilities and such other services as the Administrator, subject to review by the Board of Directors of the Corporation, shall from time to time determine to be necessary or useful to perform its obligations under this Agreement. The Administrator shall also, on behalf of the Corporation, conduct relations with custodians, depositories, transfer agents, dividend disbursing agents, other stockholder servicing agents, accountants, attorneys, underwriters, brokers and dealers, corporate fiduciaries, insurers, banks and such other persons in any such other capacity deemed to be necessary or desirable. The Administrator shall make reports to the Directors of its performance of obligations hereunder and furnish advice and recommendations with respect to such other aspects of the business and affairs of the Corporation as it shall determine to be desirable; provided that nothing herein shall be construed to require the Administrator to, and the Administrator shall not, provide any advice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768985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3" w:right="660" w:bottom="1440" w:gutter="0" w:footer="0" w:header="0"/>
        </w:sectPr>
      </w:pPr>
    </w:p>
    <w:bookmarkStart w:id="72" w:name="page73"/>
    <w:bookmarkEnd w:id="72"/>
    <w:p>
      <w:pPr>
        <w:spacing w:after="0" w:line="200" w:lineRule="exact"/>
        <w:rPr>
          <w:sz w:val="20"/>
          <w:szCs w:val="20"/>
          <w:color w:val="auto"/>
        </w:rPr>
      </w:pPr>
    </w:p>
    <w:p>
      <w:pPr>
        <w:spacing w:after="0" w:line="2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recommendation relating to the securities and other assets that the Corporation should purchase, retain or sell or any other investment advisory services to the Corporation. The Administrator shall be responsible for the financial and other records that the Corporation is required to maintain and shall prepare reports to stockholders, and reports and other materials filed with the Securities and Exchange Commission (the “SEC”). The Administrator will provide on the Corporation’s behalf significant managerial assistance to those portfolio companies to which the Corporation is required to provide such assistance. In addition, the Administrator will assist the Corporation in determining and publishing the Corporation’s net asset value, overseeing the preparation and filing of the Corporation’s tax returns, and the printing and dissemination of reports to stockholders of the Corporation, and generally overseeing the payment of the Corporation’s expenses and the performance of administrative and professional services rendered to the Corporation by others.</w:t>
      </w:r>
    </w:p>
    <w:p>
      <w:pPr>
        <w:spacing w:after="0" w:line="209" w:lineRule="exact"/>
        <w:rPr>
          <w:sz w:val="20"/>
          <w:szCs w:val="20"/>
          <w:color w:val="auto"/>
        </w:rPr>
      </w:pPr>
    </w:p>
    <w:p>
      <w:pPr>
        <w:ind w:left="420" w:hanging="414"/>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Records</w:t>
      </w:r>
    </w:p>
    <w:p>
      <w:pPr>
        <w:spacing w:after="0" w:line="2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Administrator agrees to maintain and keep all books, accounts and other records of the Corporation that relate to activities performed by the Administrator hereunder and, if required by the 1940 Act, will maintain and keep such books, accounts and records in accordance with that Act. In compliance with the requirements of Rule 31a-3 under the 1940 Act, the Administrator agrees that all records which it maintains for the Corporation shall at all times remain the property of the Corporation, shall be readily accessible during normal business hours, and shall be promptly surrendered upon the termination of the Agreement or otherwise on written request. The Administrator further agrees that all records which it maintains for the Corporation pursuant to Rule 31a-1 under the 1940 Act will be preserved for the periods prescribed by Rule 31a-2 under the 1940 Act unless any such records are earlier surrendered as provided above. Records shall be surrendered in usable machine-readable form. The Administrator shall have the right to retain copies of such records subject to observance of its confidentiality obligations under this Agreement.</w:t>
      </w:r>
    </w:p>
    <w:p>
      <w:pPr>
        <w:spacing w:after="0" w:line="213" w:lineRule="exact"/>
        <w:rPr>
          <w:sz w:val="20"/>
          <w:szCs w:val="20"/>
          <w:color w:val="auto"/>
        </w:rPr>
      </w:pPr>
    </w:p>
    <w:p>
      <w:pPr>
        <w:ind w:left="420" w:hanging="414"/>
        <w:spacing w:after="0"/>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p>
    <w:p>
      <w:pPr>
        <w:spacing w:after="0" w:line="20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parties hereto agree that each shall treat confidentially the terms and conditions of this Agreement and all information provided by each party to the other regarding its business and operations. All confidential information provided by a party hereto, including nonpublic personal information pursuant to Regulation S-P of the SEC, shall be used by any other party hereto solely for the purpose of rendering services pursuant to this Agreement and, except as may be required in carrying out this Agreement, shall not be disclosed to any third party, without the prior consent of such providing party. The foregoing shall not be applicable to any information that is publicly available when provided or thereafter becomes publicly available other than through a breach of this Agreement, or that is required to be disclosed by any regulatory authority, any authority or legal counsel of the parties hereto, by judicial or administrative process or otherwise by applicable law or regulation.</w:t>
      </w:r>
    </w:p>
    <w:p>
      <w:pPr>
        <w:spacing w:after="0" w:line="213" w:lineRule="exact"/>
        <w:rPr>
          <w:sz w:val="20"/>
          <w:szCs w:val="20"/>
          <w:color w:val="auto"/>
        </w:rPr>
      </w:pPr>
    </w:p>
    <w:p>
      <w:pPr>
        <w:ind w:left="460" w:hanging="454"/>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Allocation of Costs and Expenses</w:t>
      </w:r>
    </w:p>
    <w:p>
      <w:pPr>
        <w:spacing w:after="0" w:line="201" w:lineRule="exact"/>
        <w:rPr>
          <w:sz w:val="20"/>
          <w:szCs w:val="20"/>
          <w:color w:val="auto"/>
        </w:rPr>
      </w:pPr>
    </w:p>
    <w:p>
      <w:pPr>
        <w:jc w:val="both"/>
        <w:ind w:right="360"/>
        <w:spacing w:after="0" w:line="281" w:lineRule="auto"/>
        <w:rPr>
          <w:sz w:val="20"/>
          <w:szCs w:val="20"/>
          <w:color w:val="auto"/>
        </w:rPr>
      </w:pPr>
      <w:r>
        <w:rPr>
          <w:rFonts w:ascii="Times New Roman" w:cs="Times New Roman" w:eastAsia="Times New Roman" w:hAnsi="Times New Roman"/>
          <w:sz w:val="17"/>
          <w:szCs w:val="17"/>
          <w:color w:val="auto"/>
        </w:rPr>
        <w:t>In full consideration of the provision of the services of the Administrator, the Corporation shall reimburse the Administrator for the costs and expenses incurred by the Administrator in performing its obligations and providing personnel and facilities hereunder. If requested to perform significant managerial assistance to portfolio companies of the Corporation, the Administrator will be paid an additional amount based on the services provided, which shall not exceed the amount the Corporation receives from the portfolio companies for providing this assistance.</w:t>
      </w:r>
    </w:p>
    <w:p>
      <w:pPr>
        <w:spacing w:after="0" w:line="14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Corporation will bear all costs and expenses that are incurred in its operation and transactions and not specifically assumed by the Corporation’s investment adviser (the “Adviser”), pursuant to that certain Second Amended and Restated Investment Advisory Management Agreement, dated as of February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762635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3" w:name="page74"/>
    <w:bookmarkEnd w:id="73"/>
    <w:p>
      <w:pPr>
        <w:spacing w:after="0" w:line="200" w:lineRule="exact"/>
        <w:rPr>
          <w:sz w:val="20"/>
          <w:szCs w:val="20"/>
          <w:color w:val="auto"/>
        </w:rPr>
      </w:pPr>
    </w:p>
    <w:p>
      <w:pPr>
        <w:spacing w:after="0" w:line="2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2016, by and between the Corporation and the Adviser. Costs and expenses to be borne by the Corporation include, but are not limited to, those relating to: organization and offering; calculating the Corporation’s net asset value (including the cost and expenses of any independent valuation firm); expenses incurred by the Adviser payable to third parties, including agents, consultants or other advisors, in monitoring financial and legal affairs for the Corporation and in monitoring the Corporation’s investments and performing due diligence (including related legal expenses) on its prospective portfolio companies and expenses related to unsuccessful portfolio acquisition efforts; interest payable on debt, if any, incurred to finance the Corporation’s investments; offerings of the Corporation’s common stock and other securities; investment advisory and management fees; administration fees payable under this Agreement; fees payable to third parties, including agents, consultants or other advisors, relating to, or associated with, evaluating and making investments, including costs associated with meeting potential financial sponsors;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 costs of any reports, proxy statements or other notices to stockholders, including printing costs; costs associated with individual or groups of stockholders; the Corporation’s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legal costs; and all other expenses incurred by the Corporation or the Administrator in connection with administering the Corporation’s business, including payments under this Agreement based upon the Corporation’s allocable portion of the Administrator’s overhead in performing its obligations under this Agreement, including rent and the allocable portion of the cost of the Corporation’s chief compliance officer and chief financial officer and their respective staffs. For the avoidance of doubt, the costs and expenses to be borne by the Corporation set forth above include the costs and expenses allocable with respect to the provision of in-house legal, tax, or other professional advice and/or services to the Corporation, including performing due diligence on its prospective portfolio companies, as deemed appropriate by the Administrator, where such in-house personnel perform services that would be paid by the Corporation if outside service providers provided the same services, subject to the Board of Directors’ oversight.</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At its election, the Administrator may elect to receive payment under this Agreement in the form of a percentage of assets under management by the Corporation, rather than based on the sum of the actual expenses accrued. Such percentage shall be in an amount mutually agreed by the Administrator and the Corporation.</w:t>
      </w:r>
    </w:p>
    <w:p>
      <w:pPr>
        <w:spacing w:after="0" w:line="200" w:lineRule="exact"/>
        <w:rPr>
          <w:sz w:val="20"/>
          <w:szCs w:val="20"/>
          <w:color w:val="auto"/>
        </w:rPr>
      </w:pPr>
    </w:p>
    <w:p>
      <w:pPr>
        <w:ind w:left="380" w:hanging="374"/>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 of the Administrator; Indemnification</w:t>
      </w:r>
    </w:p>
    <w:p>
      <w:pPr>
        <w:spacing w:after="0" w:line="20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Administrator (and its officers, managers, partners, agents, employees, controlling persons, members, and any other person or entity affiliated with the Administrator, including without limitation its sole member) shall not be liable to the Corporation for any action taken or omitted to be taken by the Administrator in connection with the performance of any of its duties or obligations under this Agreement or otherwise as administrator for the Corporation, and the Corporation shall indemnify, defend and protect the Administrator (and its officers, managers, partners, agents, employees, controlling persons, members, and any other person or entity affiliated with the Administrator, including without limitation the Adviser,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Administrator’s duties or obligations under this Agreement or otherwise as administrator for the Corporation. Notwithstanding the preceding sentence of this Paragraph 5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772795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4" w:name="page75"/>
    <w:bookmarkEnd w:id="74"/>
    <w:p>
      <w:pPr>
        <w:spacing w:after="0" w:line="200" w:lineRule="exact"/>
        <w:rPr>
          <w:sz w:val="20"/>
          <w:szCs w:val="20"/>
          <w:color w:val="auto"/>
        </w:rPr>
      </w:pPr>
    </w:p>
    <w:p>
      <w:pPr>
        <w:spacing w:after="0" w:line="2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contrary, nothing contained herein shall protect or be deemed to protect the Indemnified Parties against or 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Administrator’s duties or by reason of the reckless disregard of the Administrator’s duties and obligations under this Agreement (to the extent applicable, as the same shall be determined in accordance with the 1940 Act and any interpretations or guidance by the SEC or its staff thereunder).</w:t>
      </w:r>
    </w:p>
    <w:p>
      <w:pPr>
        <w:spacing w:after="0" w:line="208" w:lineRule="exact"/>
        <w:rPr>
          <w:sz w:val="20"/>
          <w:szCs w:val="20"/>
          <w:color w:val="auto"/>
        </w:rPr>
      </w:pPr>
    </w:p>
    <w:p>
      <w:pPr>
        <w:ind w:left="420" w:hanging="414"/>
        <w:spacing w:after="0"/>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Activities of the Administrator</w:t>
      </w:r>
    </w:p>
    <w:p>
      <w:pPr>
        <w:spacing w:after="0" w:line="20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services of the Administrator to the Corporation are not to be deemed to be exclusive, and the Administrator and each affiliate is free to render services to others. It is understood that directors, officers, employees and stockholders of the Corporation are or may become interested in the Administrator and its affiliates, as directors, officers, members, managers, employees, partners, stockholders or otherwise, and that the Administrator and directors, officers, members, managers, employees, partners and stockholders of the Administrator and its affiliates are or may become similarly interested in the Corporation as stockholders or otherwise.</w:t>
      </w:r>
    </w:p>
    <w:p>
      <w:pPr>
        <w:spacing w:after="0" w:line="208" w:lineRule="exact"/>
        <w:rPr>
          <w:sz w:val="20"/>
          <w:szCs w:val="20"/>
          <w:color w:val="auto"/>
        </w:rPr>
      </w:pPr>
    </w:p>
    <w:p>
      <w:pPr>
        <w:ind w:left="420" w:hanging="414"/>
        <w:spacing w:after="0"/>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and Termination of this Agreement</w:t>
      </w:r>
    </w:p>
    <w:p>
      <w:pPr>
        <w:spacing w:after="0" w:line="2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Agreement shall become effective as of the date hereof, and shall remain in force with respect to the Corporation for two years thereafter, and thereafter continue from year to year, but only so long as such continuance is specifically approved at least annually by (i) the Board of Directors of the Corporation and (ii) a majority of those directors who are not parties to this Agreement or “interested persons” (as defined in the 1940 Act) of any such party.</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This Agreement may be terminated at any time, without the payment of any penalty, by vote of the directors of the Corporation, or by the Administrator, upon 60 days’ written notice to the other party. This Agreement may not be assigned by a party without the consent of the other party.</w:t>
      </w:r>
    </w:p>
    <w:p>
      <w:pPr>
        <w:spacing w:after="0" w:line="200" w:lineRule="exact"/>
        <w:rPr>
          <w:sz w:val="20"/>
          <w:szCs w:val="20"/>
          <w:color w:val="auto"/>
        </w:rPr>
      </w:pPr>
    </w:p>
    <w:p>
      <w:pPr>
        <w:ind w:left="420" w:hanging="414"/>
        <w:spacing w:after="0"/>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of this Agreement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may be amended pursuant to a written instrument by mutual consent of the parties.</w:t>
      </w:r>
    </w:p>
    <w:p>
      <w:pPr>
        <w:spacing w:after="0" w:line="249" w:lineRule="exact"/>
        <w:rPr>
          <w:sz w:val="20"/>
          <w:szCs w:val="20"/>
          <w:color w:val="auto"/>
        </w:rPr>
      </w:pPr>
    </w:p>
    <w:p>
      <w:pPr>
        <w:ind w:left="420" w:hanging="414"/>
        <w:spacing w:after="0"/>
        <w:tabs>
          <w:tab w:leader="none" w:pos="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p>
    <w:p>
      <w:pPr>
        <w:spacing w:after="0" w:line="20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Agreement shall be construed in accordance with laws of the State of New York and the applicable provisions of the 1940 Act, if any. To the extent that the applicable laws of the State of New York, or any of the provisions herein, conflict with the applicable provisions of the 1940 Act, if any, the latter shall control.</w:t>
      </w:r>
    </w:p>
    <w:p>
      <w:pPr>
        <w:spacing w:after="0" w:line="200" w:lineRule="exact"/>
        <w:rPr>
          <w:sz w:val="20"/>
          <w:szCs w:val="20"/>
          <w:color w:val="auto"/>
        </w:rPr>
      </w:pPr>
    </w:p>
    <w:p>
      <w:pPr>
        <w:ind w:left="420" w:hanging="414"/>
        <w:spacing w:after="0"/>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p>
    <w:p>
      <w:pPr>
        <w:spacing w:after="0" w:line="20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Agreement contains the entire agreement of the parties and supercedes all prior agreements, understandings and arrangements with respect to the subject matter hereof.</w:t>
      </w:r>
    </w:p>
    <w:p>
      <w:pPr>
        <w:spacing w:after="0" w:line="186" w:lineRule="exact"/>
        <w:rPr>
          <w:sz w:val="20"/>
          <w:szCs w:val="20"/>
          <w:color w:val="auto"/>
        </w:rPr>
      </w:pPr>
    </w:p>
    <w:p>
      <w:pPr>
        <w:ind w:left="420" w:hanging="414"/>
        <w:spacing w:after="0"/>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p>
    <w:p>
      <w:pPr>
        <w:spacing w:after="0" w:line="20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Any notice under this Agreement shall be given in writing, addressed and delivered or mailed, postage prepaid, to the other party at its principal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753110</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5" w:name="page76"/>
    <w:bookmarkEnd w:id="75"/>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1045210</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76" w:name="page77"/>
    <w:bookmarkEnd w:id="76"/>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and delivered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00" w:lineRule="exact"/>
        <w:rPr>
          <w:sz w:val="20"/>
          <w:szCs w:val="20"/>
          <w:color w:val="auto"/>
        </w:rPr>
      </w:pPr>
    </w:p>
    <w:p>
      <w:pPr>
        <w:spacing w:after="0" w:line="24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/s/Arthur H. Penn</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PENNANTPARK INVESTMENT ADMINISTRATION, LLC</w:t>
      </w:r>
    </w:p>
    <w:p>
      <w:pPr>
        <w:spacing w:after="0" w:line="200" w:lineRule="exact"/>
        <w:rPr>
          <w:sz w:val="20"/>
          <w:szCs w:val="20"/>
          <w:color w:val="auto"/>
        </w:rPr>
      </w:pPr>
    </w:p>
    <w:p>
      <w:pPr>
        <w:spacing w:after="0" w:line="24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/s/Arthur H. Penn</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895985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SIXTH AMENDMENT TO SECOND AMENDED AND RESTATED SENIOR SECURED REVOLVING CREDIT AGREEMENT</w:t>
      </w:r>
    </w:p>
    <w:p>
      <w:pPr>
        <w:spacing w:after="0" w:line="286" w:lineRule="exact"/>
        <w:rPr>
          <w:sz w:val="20"/>
          <w:szCs w:val="20"/>
          <w:color w:val="auto"/>
        </w:rPr>
      </w:pPr>
    </w:p>
    <w:p>
      <w:pPr>
        <w:ind w:right="120" w:firstLine="48"/>
        <w:spacing w:after="0" w:line="259" w:lineRule="auto"/>
        <w:rPr>
          <w:sz w:val="20"/>
          <w:szCs w:val="20"/>
          <w:color w:val="auto"/>
        </w:rPr>
      </w:pPr>
      <w:r>
        <w:rPr>
          <w:rFonts w:ascii="Times New Roman" w:cs="Times New Roman" w:eastAsia="Times New Roman" w:hAnsi="Times New Roman"/>
          <w:sz w:val="19"/>
          <w:szCs w:val="19"/>
          <w:color w:val="auto"/>
        </w:rPr>
        <w:t xml:space="preserve">This SIXTH AMENDMENT TO SECOND AMENDED AND RESTATED SENIOR SECURED REVOLVING CREDIT AGREEMENT, dated as of June 25, 2024 (this “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xml:space="preserve">”), to the Existing Credit Agreement (capitalized terms used herein and not otherwise defined shall have the meanings given to such terms in </w:t>
      </w:r>
      <w:r>
        <w:rPr>
          <w:rFonts w:ascii="Times New Roman" w:cs="Times New Roman" w:eastAsia="Times New Roman" w:hAnsi="Times New Roman"/>
          <w:sz w:val="19"/>
          <w:szCs w:val="19"/>
          <w:u w:val="single" w:color="auto"/>
          <w:color w:val="auto"/>
        </w:rPr>
        <w:t>Article 1</w:t>
      </w:r>
      <w:r>
        <w:rPr>
          <w:rFonts w:ascii="Times New Roman" w:cs="Times New Roman" w:eastAsia="Times New Roman" w:hAnsi="Times New Roman"/>
          <w:sz w:val="19"/>
          <w:szCs w:val="19"/>
          <w:color w:val="auto"/>
        </w:rPr>
        <w:t>) is among PENNANTPARK INVESTMENT CORPORATION, a Maryland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and TRUIST BANK, as Administrative Agent (the “</w:t>
      </w:r>
      <w:r>
        <w:rPr>
          <w:rFonts w:ascii="Times New Roman" w:cs="Times New Roman" w:eastAsia="Times New Roman" w:hAnsi="Times New Roman"/>
          <w:sz w:val="19"/>
          <w:szCs w:val="19"/>
          <w:u w:val="single" w:color="auto"/>
          <w:color w:val="auto"/>
        </w:rPr>
        <w:t>Administrative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Agent</w:t>
      </w:r>
      <w:r>
        <w:rPr>
          <w:rFonts w:ascii="Times New Roman" w:cs="Times New Roman" w:eastAsia="Times New Roman" w:hAnsi="Times New Roman"/>
          <w:sz w:val="19"/>
          <w:szCs w:val="19"/>
          <w:color w:val="auto"/>
        </w:rPr>
        <w: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W I T N E S S E T H</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696"/>
        <w:spacing w:after="0" w:line="254" w:lineRule="auto"/>
        <w:rPr>
          <w:sz w:val="20"/>
          <w:szCs w:val="20"/>
          <w:color w:val="auto"/>
        </w:rPr>
      </w:pPr>
      <w:r>
        <w:rPr>
          <w:rFonts w:ascii="Times New Roman" w:cs="Times New Roman" w:eastAsia="Times New Roman" w:hAnsi="Times New Roman"/>
          <w:sz w:val="19"/>
          <w:szCs w:val="19"/>
          <w:color w:val="auto"/>
        </w:rPr>
        <w:t>WHEREAS, the Borrower, the Lenders party thereto and the Administrative Agent are parties to the Second Amended and Restated Senior Secured Revolving Credit Agreement, dated as of June 25, 2014 (as amended by that certain First Omnibus Amendment to Second Amended and Restated Senior Secured Revolving Credit Agreement and Second Amended and Restated Guarantee and Security Agreement, dated as of May 25, 2017, that certain Second Amendment to Second Amended and Restated Senior Secured Revolving Credit Agreement, dated as of September 4, 2019, that certain Third Amendment to Second Amended and Restated Senior Secured Revolving Credit Agreement, dated as of December 10, 2021, that certain Fourth Amendment to Second Amended and Restated Senior Secured Revolving Credit Agreement, dated as of February 23, 2022, and that certain Fifth Amendment to Second Amended and Restated Senior Secured Revolving Credit Agreement, dated as of July 29, 2022, the “</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and as amended by this Amendment and as the same may be further amended, supplemented, amended and restated or otherwise modified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ind w:right="40" w:firstLine="696"/>
        <w:spacing w:after="0" w:line="262" w:lineRule="auto"/>
        <w:rPr>
          <w:sz w:val="20"/>
          <w:szCs w:val="20"/>
          <w:color w:val="auto"/>
        </w:rPr>
      </w:pPr>
      <w:r>
        <w:rPr>
          <w:rFonts w:ascii="Times New Roman" w:cs="Times New Roman" w:eastAsia="Times New Roman" w:hAnsi="Times New Roman"/>
          <w:sz w:val="19"/>
          <w:szCs w:val="19"/>
          <w:color w:val="auto"/>
        </w:rPr>
        <w:t>WHEREAS, a Benchmark Transition Event (as defined in the Existing Credit Agreement) has occurred with respect to the Benchmark (as defined in the Existing Credit Agreement) for Loans denominated in Canadian Dollars (the “</w:t>
      </w:r>
      <w:r>
        <w:rPr>
          <w:rFonts w:ascii="Times New Roman" w:cs="Times New Roman" w:eastAsia="Times New Roman" w:hAnsi="Times New Roman"/>
          <w:sz w:val="19"/>
          <w:szCs w:val="19"/>
          <w:u w:val="single" w:color="auto"/>
          <w:color w:val="auto"/>
        </w:rPr>
        <w:t>Existing Canadian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Benchmark</w:t>
      </w:r>
      <w:r>
        <w:rPr>
          <w:rFonts w:ascii="Times New Roman" w:cs="Times New Roman" w:eastAsia="Times New Roman" w:hAnsi="Times New Roman"/>
          <w:sz w:val="19"/>
          <w:szCs w:val="19"/>
          <w:color w:val="auto"/>
        </w:rPr>
        <w:t>”) and the Benchmark Replacement Date (as defined in the Existing Credit Agreement) for the Existing Canadian Benchmark is anticipated to occur on June 29, 2024;</w:t>
      </w:r>
    </w:p>
    <w:p>
      <w:pPr>
        <w:spacing w:after="0" w:line="150" w:lineRule="exact"/>
        <w:rPr>
          <w:sz w:val="20"/>
          <w:szCs w:val="20"/>
          <w:color w:val="auto"/>
        </w:rPr>
      </w:pPr>
    </w:p>
    <w:p>
      <w:pPr>
        <w:ind w:right="260" w:firstLine="696"/>
        <w:spacing w:after="0" w:line="259" w:lineRule="auto"/>
        <w:rPr>
          <w:sz w:val="20"/>
          <w:szCs w:val="20"/>
          <w:color w:val="auto"/>
        </w:rPr>
      </w:pPr>
      <w:r>
        <w:rPr>
          <w:rFonts w:ascii="Times New Roman" w:cs="Times New Roman" w:eastAsia="Times New Roman" w:hAnsi="Times New Roman"/>
          <w:sz w:val="19"/>
          <w:szCs w:val="19"/>
          <w:color w:val="auto"/>
        </w:rPr>
        <w:t>WHEREAS, the Administrative Agent and the Borrower have selected a Benchmark Replacement (as defined in the Existing Credit Agreement, the “</w:t>
      </w:r>
      <w:r>
        <w:rPr>
          <w:rFonts w:ascii="Times New Roman" w:cs="Times New Roman" w:eastAsia="Times New Roman" w:hAnsi="Times New Roman"/>
          <w:sz w:val="19"/>
          <w:szCs w:val="19"/>
          <w:u w:val="single" w:color="auto"/>
          <w:color w:val="auto"/>
        </w:rPr>
        <w:t>New Canadian Benchmark</w:t>
      </w:r>
      <w:r>
        <w:rPr>
          <w:rFonts w:ascii="Times New Roman" w:cs="Times New Roman" w:eastAsia="Times New Roman" w:hAnsi="Times New Roman"/>
          <w:sz w:val="19"/>
          <w:szCs w:val="19"/>
          <w:color w:val="auto"/>
        </w:rPr>
        <w:t>”) for the Existing Canadian Benchmark pursuant to clause (2) of the definition of “Benchmark Replacement” (as defined in the Existing Credit Agreement) and the Administrative Agent has provided notice to the Lenders of such selection pursuant to Section 2.22(a) of the Existing Credit Agreement (the “</w:t>
      </w:r>
      <w:r>
        <w:rPr>
          <w:rFonts w:ascii="Times New Roman" w:cs="Times New Roman" w:eastAsia="Times New Roman" w:hAnsi="Times New Roman"/>
          <w:sz w:val="19"/>
          <w:szCs w:val="19"/>
          <w:u w:val="single" w:color="auto"/>
          <w:color w:val="auto"/>
        </w:rPr>
        <w:t>Canadian Benchmark Replacement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w:t>
      </w:r>
    </w:p>
    <w:p>
      <w:pPr>
        <w:spacing w:after="0" w:line="154" w:lineRule="exact"/>
        <w:rPr>
          <w:sz w:val="20"/>
          <w:szCs w:val="20"/>
          <w:color w:val="auto"/>
        </w:rPr>
      </w:pPr>
    </w:p>
    <w:p>
      <w:pPr>
        <w:ind w:right="40" w:firstLine="696"/>
        <w:spacing w:after="0" w:line="235" w:lineRule="auto"/>
        <w:rPr>
          <w:sz w:val="20"/>
          <w:szCs w:val="20"/>
          <w:color w:val="auto"/>
        </w:rPr>
      </w:pPr>
      <w:r>
        <w:rPr>
          <w:rFonts w:ascii="Times New Roman" w:cs="Times New Roman" w:eastAsia="Times New Roman" w:hAnsi="Times New Roman"/>
          <w:sz w:val="19"/>
          <w:szCs w:val="19"/>
          <w:color w:val="auto"/>
        </w:rPr>
        <w:t>WHEREAS, the Administrative Agent has not received, by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Business Day after delivery to the Lenders of the Canadian Benchmark Replacement Notice, written notice of objection to the New Canadian Benchmark from Lenders comprising the Required Multicurrency Lenders and therefore the New Canadian Benchmark will replace the Existing Canadian Benchmark effective as of June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895985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78" w:name="page79"/>
    <w:bookmarkEnd w:id="78"/>
    <w:p>
      <w:pPr>
        <w:spacing w:after="0" w:line="269" w:lineRule="exact"/>
        <w:rPr>
          <w:sz w:val="20"/>
          <w:szCs w:val="20"/>
          <w:color w:val="auto"/>
        </w:rPr>
      </w:pPr>
    </w:p>
    <w:p>
      <w:pPr>
        <w:ind w:right="160" w:firstLine="696"/>
        <w:spacing w:after="0" w:line="262" w:lineRule="auto"/>
        <w:rPr>
          <w:sz w:val="20"/>
          <w:szCs w:val="20"/>
          <w:color w:val="auto"/>
        </w:rPr>
      </w:pPr>
      <w:r>
        <w:rPr>
          <w:rFonts w:ascii="Times New Roman" w:cs="Times New Roman" w:eastAsia="Times New Roman" w:hAnsi="Times New Roman"/>
          <w:sz w:val="19"/>
          <w:szCs w:val="19"/>
          <w:color w:val="auto"/>
        </w:rPr>
        <w:t>WHEREAS, pursuant to Section 2.22(b) of the Existing Credit Agreement, the Administrative Agent, in consultation with the Borrower, has identified certain Conforming Changes (as defined in the Existing Credit Agreement) to be made in connection with the use, administration, adoption or implementation of the New Canadian Benchmark (the “</w:t>
      </w:r>
      <w:r>
        <w:rPr>
          <w:rFonts w:ascii="Times New Roman" w:cs="Times New Roman" w:eastAsia="Times New Roman" w:hAnsi="Times New Roman"/>
          <w:sz w:val="19"/>
          <w:szCs w:val="19"/>
          <w:u w:val="single" w:color="auto"/>
          <w:color w:val="auto"/>
        </w:rPr>
        <w:t>New Canadian Benchmark Conforming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Changes</w:t>
      </w:r>
      <w:r>
        <w:rPr>
          <w:rFonts w:ascii="Times New Roman" w:cs="Times New Roman" w:eastAsia="Times New Roman" w:hAnsi="Times New Roman"/>
          <w:sz w:val="19"/>
          <w:szCs w:val="19"/>
          <w:color w:val="auto"/>
        </w:rPr>
        <w:t>”); and</w:t>
      </w:r>
    </w:p>
    <w:p>
      <w:pPr>
        <w:spacing w:after="0" w:line="150" w:lineRule="exact"/>
        <w:rPr>
          <w:sz w:val="20"/>
          <w:szCs w:val="20"/>
          <w:color w:val="auto"/>
        </w:rPr>
      </w:pPr>
    </w:p>
    <w:p>
      <w:pPr>
        <w:ind w:right="140" w:firstLine="696"/>
        <w:spacing w:after="0" w:line="286" w:lineRule="auto"/>
        <w:rPr>
          <w:sz w:val="20"/>
          <w:szCs w:val="20"/>
          <w:color w:val="auto"/>
        </w:rPr>
      </w:pPr>
      <w:r>
        <w:rPr>
          <w:rFonts w:ascii="Times New Roman" w:cs="Times New Roman" w:eastAsia="Times New Roman" w:hAnsi="Times New Roman"/>
          <w:sz w:val="19"/>
          <w:szCs w:val="19"/>
          <w:color w:val="auto"/>
        </w:rPr>
        <w:t>WHEREAS, in order to implement the New Canadian Benchmark Conforming Changes, the Borrower and the Administrative Agent have agreed to the amendments set forth below and the other terms hereof.</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NOW, THEREFORE, the parties hereto hereby covenant and agree as follows: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ARTICLE I</w:t>
      </w: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DEFINITIONS</w:t>
      </w:r>
    </w:p>
    <w:p>
      <w:pPr>
        <w:spacing w:after="0" w:line="202" w:lineRule="exact"/>
        <w:rPr>
          <w:sz w:val="20"/>
          <w:szCs w:val="20"/>
          <w:color w:val="auto"/>
        </w:rPr>
      </w:pPr>
    </w:p>
    <w:p>
      <w:pPr>
        <w:ind w:right="380" w:firstLine="696"/>
        <w:spacing w:after="0" w:line="286" w:lineRule="auto"/>
        <w:rPr>
          <w:sz w:val="20"/>
          <w:szCs w:val="20"/>
          <w:color w:val="auto"/>
        </w:rPr>
      </w:pPr>
      <w:r>
        <w:rPr>
          <w:rFonts w:ascii="Times New Roman" w:cs="Times New Roman" w:eastAsia="Times New Roman" w:hAnsi="Times New Roman"/>
          <w:sz w:val="19"/>
          <w:szCs w:val="19"/>
          <w:u w:val="single" w:color="auto"/>
          <w:color w:val="auto"/>
        </w:rPr>
        <w:t>SECTION 1.1. Certain Definitions</w:t>
      </w:r>
      <w:r>
        <w:rPr>
          <w:rFonts w:ascii="Times New Roman" w:cs="Times New Roman" w:eastAsia="Times New Roman" w:hAnsi="Times New Roman"/>
          <w:sz w:val="19"/>
          <w:szCs w:val="19"/>
          <w:color w:val="auto"/>
        </w:rPr>
        <w:t>. The following terms when used in this Amendment shall have the following meanings (such meanings to be equally applicable to the singular and plural forms thereof):</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xml:space="preserve">” is defined in the </w:t>
      </w:r>
      <w:r>
        <w:rPr>
          <w:rFonts w:ascii="Times New Roman" w:cs="Times New Roman" w:eastAsia="Times New Roman" w:hAnsi="Times New Roman"/>
          <w:sz w:val="19"/>
          <w:szCs w:val="19"/>
          <w:u w:val="single" w:color="auto"/>
          <w:color w:val="auto"/>
        </w:rPr>
        <w:t>preamble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xml:space="preserve">” is defined in the </w:t>
      </w:r>
      <w:r>
        <w:rPr>
          <w:rFonts w:ascii="Times New Roman" w:cs="Times New Roman" w:eastAsia="Times New Roman" w:hAnsi="Times New Roman"/>
          <w:sz w:val="19"/>
          <w:szCs w:val="19"/>
          <w:u w:val="single" w:color="auto"/>
          <w:color w:val="auto"/>
        </w:rPr>
        <w:t>preamble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xml:space="preserve">” is defined in the </w:t>
      </w:r>
      <w:r>
        <w:rPr>
          <w:rFonts w:ascii="Times New Roman" w:cs="Times New Roman" w:eastAsia="Times New Roman" w:hAnsi="Times New Roman"/>
          <w:sz w:val="19"/>
          <w:szCs w:val="19"/>
          <w:u w:val="single" w:color="auto"/>
          <w:color w:val="auto"/>
        </w:rPr>
        <w:t>preamble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xml:space="preserve">” is defined in the </w:t>
      </w:r>
      <w:r>
        <w:rPr>
          <w:rFonts w:ascii="Times New Roman" w:cs="Times New Roman" w:eastAsia="Times New Roman" w:hAnsi="Times New Roman"/>
          <w:sz w:val="19"/>
          <w:szCs w:val="19"/>
          <w:u w:val="single" w:color="auto"/>
          <w:color w:val="auto"/>
        </w:rPr>
        <w:t>first recital</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xml:space="preserve">” is defined in the </w:t>
      </w:r>
      <w:r>
        <w:rPr>
          <w:rFonts w:ascii="Times New Roman" w:cs="Times New Roman" w:eastAsia="Times New Roman" w:hAnsi="Times New Roman"/>
          <w:sz w:val="19"/>
          <w:szCs w:val="19"/>
          <w:u w:val="single" w:color="auto"/>
          <w:color w:val="auto"/>
        </w:rPr>
        <w:t>first recital</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Sixth Amendment Effective Date</w:t>
      </w:r>
      <w:r>
        <w:rPr>
          <w:rFonts w:ascii="Times New Roman" w:cs="Times New Roman" w:eastAsia="Times New Roman" w:hAnsi="Times New Roman"/>
          <w:sz w:val="19"/>
          <w:szCs w:val="19"/>
          <w:color w:val="auto"/>
        </w:rPr>
        <w:t xml:space="preserve">” is defined in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440" w:firstLine="696"/>
        <w:spacing w:after="0" w:line="286" w:lineRule="auto"/>
        <w:rPr>
          <w:sz w:val="20"/>
          <w:szCs w:val="20"/>
          <w:color w:val="auto"/>
        </w:rPr>
      </w:pPr>
      <w:r>
        <w:rPr>
          <w:rFonts w:ascii="Times New Roman" w:cs="Times New Roman" w:eastAsia="Times New Roman" w:hAnsi="Times New Roman"/>
          <w:sz w:val="19"/>
          <w:szCs w:val="19"/>
          <w:u w:val="single" w:color="auto"/>
          <w:color w:val="auto"/>
        </w:rPr>
        <w:t>SECTION 1.2. Other Definitions</w:t>
      </w:r>
      <w:r>
        <w:rPr>
          <w:rFonts w:ascii="Times New Roman" w:cs="Times New Roman" w:eastAsia="Times New Roman" w:hAnsi="Times New Roman"/>
          <w:sz w:val="19"/>
          <w:szCs w:val="19"/>
          <w:color w:val="auto"/>
        </w:rPr>
        <w:t>. Capitalized terms for which meanings are provided in the Credit Agreement are, unless otherwise defined herein or the context otherwise requires, used in this Amendment with such meanings.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ARTICLE II</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AMENDMENT TO EXISTING CREDIT AGREEMENT</w:t>
      </w:r>
    </w:p>
    <w:p>
      <w:pPr>
        <w:spacing w:after="0" w:line="202"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u w:val="single" w:color="auto"/>
          <w:color w:val="auto"/>
        </w:rPr>
        <w:t>SECTION 2.1. Amendment to Existing Credit Agreement</w:t>
      </w:r>
      <w:r>
        <w:rPr>
          <w:rFonts w:ascii="Times New Roman" w:cs="Times New Roman" w:eastAsia="Times New Roman" w:hAnsi="Times New Roman"/>
          <w:sz w:val="19"/>
          <w:szCs w:val="19"/>
          <w:color w:val="auto"/>
        </w:rPr>
        <w:t xml:space="preserve">. The parties hereto hereby agree that, subject to the satisfaction of the conditions precedent set forth in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hereof, effective as of June 29, 2024, the Existing Credit Agreement (excluding the Exhibits and Schedules thereto) is amended to delete the stricken text (indicated textually in the same manner as the following example: </w:t>
      </w:r>
      <w:r>
        <w:rPr>
          <w:rFonts w:ascii="Times New Roman" w:cs="Times New Roman" w:eastAsia="Times New Roman" w:hAnsi="Times New Roman"/>
          <w:sz w:val="19"/>
          <w:szCs w:val="19"/>
          <w:color w:val="FF0000"/>
          <w:strike w:val="1"/>
        </w:rPr>
        <w:t>stricken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text</w:t>
      </w:r>
      <w:r>
        <w:rPr>
          <w:rFonts w:ascii="Times New Roman" w:cs="Times New Roman" w:eastAsia="Times New Roman" w:hAnsi="Times New Roman"/>
          <w:sz w:val="19"/>
          <w:szCs w:val="19"/>
          <w:color w:val="000000"/>
        </w:rPr>
        <w:t>) and to add the double-underlined text (indicated textually in the same manner as the following example: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double-underlined text</w:t>
      </w:r>
      <w:r>
        <w:rPr>
          <w:rFonts w:ascii="Times New Roman" w:cs="Times New Roman" w:eastAsia="Times New Roman" w:hAnsi="Times New Roman"/>
          <w:sz w:val="19"/>
          <w:szCs w:val="19"/>
          <w:color w:val="000000"/>
        </w:rPr>
        <w:t>) as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set forth in the pages attached as </w:t>
      </w:r>
      <w:r>
        <w:rPr>
          <w:rFonts w:ascii="Times New Roman" w:cs="Times New Roman" w:eastAsia="Times New Roman" w:hAnsi="Times New Roman"/>
          <w:sz w:val="19"/>
          <w:szCs w:val="19"/>
          <w:u w:val="single" w:color="auto"/>
          <w:color w:val="000000"/>
        </w:rPr>
        <w:t>Exhibit A</w:t>
      </w:r>
      <w:r>
        <w:rPr>
          <w:rFonts w:ascii="Times New Roman" w:cs="Times New Roman" w:eastAsia="Times New Roman" w:hAnsi="Times New Roman"/>
          <w:sz w:val="19"/>
          <w:szCs w:val="19"/>
          <w:color w:val="000000"/>
        </w:rPr>
        <w:t xml:space="preserve"> hereto.</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692150</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79" w:name="page80"/>
    <w:bookmarkEnd w:id="79"/>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III</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CONDITIONS TO EFFECTIVENESS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u w:val="single" w:color="auto"/>
          <w:color w:val="auto"/>
        </w:rPr>
        <w:t>SECTION 3.1. Effective Date</w:t>
      </w:r>
      <w:r>
        <w:rPr>
          <w:rFonts w:ascii="Times New Roman" w:cs="Times New Roman" w:eastAsia="Times New Roman" w:hAnsi="Times New Roman"/>
          <w:sz w:val="19"/>
          <w:szCs w:val="19"/>
          <w:color w:val="auto"/>
        </w:rPr>
        <w:t>. This Amendment shall become effective on the date (the “</w:t>
      </w:r>
      <w:r>
        <w:rPr>
          <w:rFonts w:ascii="Times New Roman" w:cs="Times New Roman" w:eastAsia="Times New Roman" w:hAnsi="Times New Roman"/>
          <w:sz w:val="19"/>
          <w:szCs w:val="19"/>
          <w:u w:val="single" w:color="auto"/>
          <w:color w:val="auto"/>
        </w:rPr>
        <w:t>Sixth Amendment Effective Date</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that each of the following conditions have been satisfied:</w:t>
      </w:r>
    </w:p>
    <w:p>
      <w:pPr>
        <w:spacing w:after="0" w:line="180" w:lineRule="exact"/>
        <w:rPr>
          <w:sz w:val="20"/>
          <w:szCs w:val="20"/>
          <w:color w:val="auto"/>
        </w:rPr>
      </w:pPr>
    </w:p>
    <w:p>
      <w:pPr>
        <w:jc w:val="both"/>
        <w:ind w:left="360" w:right="200" w:firstLine="1092"/>
        <w:spacing w:after="0" w:line="268" w:lineRule="auto"/>
        <w:rPr>
          <w:sz w:val="20"/>
          <w:szCs w:val="20"/>
          <w:color w:val="auto"/>
        </w:rPr>
      </w:pPr>
      <w:r>
        <w:rPr>
          <w:rFonts w:ascii="Times New Roman" w:cs="Times New Roman" w:eastAsia="Times New Roman" w:hAnsi="Times New Roman"/>
          <w:sz w:val="19"/>
          <w:szCs w:val="19"/>
          <w:color w:val="auto"/>
        </w:rPr>
        <w:t>(d)The Administrative Agent shall have received from each party hereto (i) a counterpart of this Amendment signed on behalf of such party or (ii) written evidence satisfactory to the Administrative Agent (which may include telecopy or electronic transmission of a signed signature page to this Amendment) that such party has signed a counterpart of this Amendment.</w:t>
      </w:r>
    </w:p>
    <w:p>
      <w:pPr>
        <w:spacing w:after="0" w:line="144" w:lineRule="exact"/>
        <w:rPr>
          <w:sz w:val="20"/>
          <w:szCs w:val="20"/>
          <w:color w:val="auto"/>
        </w:rPr>
      </w:pPr>
    </w:p>
    <w:p>
      <w:pPr>
        <w:ind w:left="360" w:right="180" w:firstLine="1092"/>
        <w:spacing w:after="0" w:line="268" w:lineRule="auto"/>
        <w:rPr>
          <w:sz w:val="20"/>
          <w:szCs w:val="20"/>
          <w:color w:val="auto"/>
        </w:rPr>
      </w:pPr>
      <w:r>
        <w:rPr>
          <w:rFonts w:ascii="Times New Roman" w:cs="Times New Roman" w:eastAsia="Times New Roman" w:hAnsi="Times New Roman"/>
          <w:sz w:val="19"/>
          <w:szCs w:val="19"/>
          <w:color w:val="auto"/>
        </w:rPr>
        <w:t>(e)The Administrative Agent shall have received evidence of the payment by the Borrower of any fees and expenses due and payable by the Borrower to the Lenders and the Administrative Agent on the Sixth Amendment Effective Date that the Borrower has agreed to pay in connection with this Amendment.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ARTICLE IV</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MISCELLANEOUS</w:t>
      </w:r>
    </w:p>
    <w:p>
      <w:pPr>
        <w:spacing w:after="0" w:line="202" w:lineRule="exact"/>
        <w:rPr>
          <w:sz w:val="20"/>
          <w:szCs w:val="20"/>
          <w:color w:val="auto"/>
        </w:rPr>
      </w:pPr>
    </w:p>
    <w:p>
      <w:pPr>
        <w:ind w:right="20" w:firstLine="696"/>
        <w:spacing w:after="0" w:line="255" w:lineRule="auto"/>
        <w:rPr>
          <w:sz w:val="20"/>
          <w:szCs w:val="20"/>
          <w:color w:val="auto"/>
        </w:rPr>
      </w:pPr>
      <w:r>
        <w:rPr>
          <w:rFonts w:ascii="Times New Roman" w:cs="Times New Roman" w:eastAsia="Times New Roman" w:hAnsi="Times New Roman"/>
          <w:sz w:val="19"/>
          <w:szCs w:val="19"/>
          <w:u w:val="single" w:color="auto"/>
          <w:color w:val="auto"/>
        </w:rPr>
        <w:t>SECTION 4.1. Representations and Warranties</w:t>
      </w:r>
      <w:r>
        <w:rPr>
          <w:rFonts w:ascii="Times New Roman" w:cs="Times New Roman" w:eastAsia="Times New Roman" w:hAnsi="Times New Roman"/>
          <w:sz w:val="19"/>
          <w:szCs w:val="19"/>
          <w:color w:val="auto"/>
        </w:rPr>
        <w:t>. The Borrower hereby represents and warrants that (i) this Amendment and the Credit Agreement each constitutes a legal, valid and binding obligation of it, enforceable against it in accordance with its terms, (ii) immediately prior to the effectiveness of this Amendment, no Default or Event of Default shall exist and,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spacing w:after="0" w:line="155"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u w:val="single" w:color="auto"/>
          <w:color w:val="auto"/>
        </w:rPr>
        <w:t>SECTION 4.2. References to Credit Agreement</w:t>
      </w:r>
      <w:r>
        <w:rPr>
          <w:rFonts w:ascii="Times New Roman" w:cs="Times New Roman" w:eastAsia="Times New Roman" w:hAnsi="Times New Roman"/>
          <w:sz w:val="19"/>
          <w:szCs w:val="19"/>
          <w:color w:val="auto"/>
        </w:rPr>
        <w:t>. Upon the effectiveness of this Amendment, each reference in the Credit Agreement to “this Agreement”, “hereunder”, “hereof”, “herein”, or words of like import shall mean and be a reference to the Existing Credit Agreement as amended hereby and each reference to the Existing Credit Agreement in the other Loan Documents and in any other document, instrument or agreement executed and/or delivered in connection with the Existing Credit Agreement shall mean and be a reference to the Existing Credit Agreement as amended hereby.</w:t>
      </w:r>
    </w:p>
    <w:p>
      <w:pPr>
        <w:spacing w:after="0" w:line="154" w:lineRule="exact"/>
        <w:rPr>
          <w:sz w:val="20"/>
          <w:szCs w:val="20"/>
          <w:color w:val="auto"/>
        </w:rPr>
      </w:pPr>
    </w:p>
    <w:p>
      <w:pPr>
        <w:jc w:val="both"/>
        <w:ind w:right="160" w:firstLine="696"/>
        <w:spacing w:after="0" w:line="268" w:lineRule="auto"/>
        <w:rPr>
          <w:sz w:val="20"/>
          <w:szCs w:val="20"/>
          <w:color w:val="auto"/>
        </w:rPr>
      </w:pPr>
      <w:r>
        <w:rPr>
          <w:rFonts w:ascii="Times New Roman" w:cs="Times New Roman" w:eastAsia="Times New Roman" w:hAnsi="Times New Roman"/>
          <w:sz w:val="19"/>
          <w:szCs w:val="19"/>
          <w:u w:val="single" w:color="auto"/>
          <w:color w:val="auto"/>
        </w:rPr>
        <w:t>SECTION 4.3. Effect on Existing Agreements</w:t>
      </w:r>
      <w:r>
        <w:rPr>
          <w:rFonts w:ascii="Times New Roman" w:cs="Times New Roman" w:eastAsia="Times New Roman" w:hAnsi="Times New Roman"/>
          <w:sz w:val="19"/>
          <w:szCs w:val="19"/>
          <w:color w:val="auto"/>
        </w:rPr>
        <w:t>. Except as specifically amended above, the Credit Agreement, the other Loan Documents and all other documents, instruments and agreements executed and/or delivered in connection therewith shall remain in full force and effect</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692150</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0" w:name="page81"/>
    <w:bookmarkEnd w:id="80"/>
    <w:p>
      <w:pPr>
        <w:spacing w:after="0" w:line="269"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9"/>
          <w:szCs w:val="19"/>
          <w:color w:val="auto"/>
        </w:rPr>
        <w:t>and are hereby ratified and confirmed in all respects. This Amendment does not constitute a novation or termination of the Secured Obligations (as defined in the Guarantee and Security Agreement) under the Credit Agreement as in effect immediately prior to the effectiveness of this Amendment and which remain outstanding.</w:t>
      </w:r>
    </w:p>
    <w:p>
      <w:pPr>
        <w:spacing w:after="0" w:line="144" w:lineRule="exact"/>
        <w:rPr>
          <w:sz w:val="20"/>
          <w:szCs w:val="20"/>
          <w:color w:val="auto"/>
        </w:rPr>
      </w:pPr>
    </w:p>
    <w:p>
      <w:pPr>
        <w:ind w:right="220" w:firstLine="696"/>
        <w:spacing w:after="0" w:line="262" w:lineRule="auto"/>
        <w:rPr>
          <w:sz w:val="20"/>
          <w:szCs w:val="20"/>
          <w:color w:val="auto"/>
        </w:rPr>
      </w:pPr>
      <w:r>
        <w:rPr>
          <w:rFonts w:ascii="Times New Roman" w:cs="Times New Roman" w:eastAsia="Times New Roman" w:hAnsi="Times New Roman"/>
          <w:sz w:val="19"/>
          <w:szCs w:val="19"/>
          <w:u w:val="single" w:color="auto"/>
          <w:color w:val="auto"/>
        </w:rPr>
        <w:t>SECTION 4.4. No Waiver</w:t>
      </w:r>
      <w:r>
        <w:rPr>
          <w:rFonts w:ascii="Times New Roman" w:cs="Times New Roman" w:eastAsia="Times New Roman" w:hAnsi="Times New Roman"/>
          <w:sz w:val="19"/>
          <w:szCs w:val="19"/>
          <w:color w:val="auto"/>
        </w:rPr>
        <w:t>. The execution, delivery and effectiveness of this Amendment shall not operate as a waiver of any right, power or remedy of the Administrative Agent under the Existing Credit Agreement, the Credit Agreement, the other Loan Documents or any other document, instrument or agreement executed in connection therewith, nor constitute a waiver of any provision contained therein, except as specifically set forth herein. The parties hereto hereby agree that this Amendment is a Loan Document.</w:t>
      </w:r>
    </w:p>
    <w:p>
      <w:pPr>
        <w:spacing w:after="0" w:line="150" w:lineRule="exact"/>
        <w:rPr>
          <w:sz w:val="20"/>
          <w:szCs w:val="20"/>
          <w:color w:val="auto"/>
        </w:rPr>
      </w:pPr>
    </w:p>
    <w:p>
      <w:pPr>
        <w:ind w:right="140" w:firstLine="696"/>
        <w:spacing w:after="0" w:line="286" w:lineRule="auto"/>
        <w:rPr>
          <w:sz w:val="20"/>
          <w:szCs w:val="20"/>
          <w:color w:val="auto"/>
        </w:rPr>
      </w:pPr>
      <w:r>
        <w:rPr>
          <w:rFonts w:ascii="Times New Roman" w:cs="Times New Roman" w:eastAsia="Times New Roman" w:hAnsi="Times New Roman"/>
          <w:sz w:val="19"/>
          <w:szCs w:val="19"/>
          <w:u w:val="single" w:color="auto"/>
          <w:color w:val="auto"/>
        </w:rPr>
        <w:t>SECTION 4.5. Governing Law</w:t>
      </w:r>
      <w:r>
        <w:rPr>
          <w:rFonts w:ascii="Times New Roman" w:cs="Times New Roman" w:eastAsia="Times New Roman" w:hAnsi="Times New Roman"/>
          <w:sz w:val="19"/>
          <w:szCs w:val="19"/>
          <w:color w:val="auto"/>
        </w:rPr>
        <w:t>. This Amendment shall be governed by and construed in accordance with the laws of the State of New York.</w:t>
      </w:r>
    </w:p>
    <w:p>
      <w:pPr>
        <w:spacing w:after="0" w:line="127" w:lineRule="exact"/>
        <w:rPr>
          <w:sz w:val="20"/>
          <w:szCs w:val="20"/>
          <w:color w:val="auto"/>
        </w:rPr>
      </w:pPr>
    </w:p>
    <w:p>
      <w:pPr>
        <w:ind w:right="400" w:firstLine="696"/>
        <w:spacing w:after="0" w:line="286" w:lineRule="auto"/>
        <w:rPr>
          <w:sz w:val="20"/>
          <w:szCs w:val="20"/>
          <w:color w:val="auto"/>
        </w:rPr>
      </w:pPr>
      <w:r>
        <w:rPr>
          <w:rFonts w:ascii="Times New Roman" w:cs="Times New Roman" w:eastAsia="Times New Roman" w:hAnsi="Times New Roman"/>
          <w:sz w:val="19"/>
          <w:szCs w:val="19"/>
          <w:u w:val="single" w:color="auto"/>
          <w:color w:val="auto"/>
        </w:rPr>
        <w:t>SECTION 4.6. Successors and Assigns</w:t>
      </w:r>
      <w:r>
        <w:rPr>
          <w:rFonts w:ascii="Times New Roman" w:cs="Times New Roman" w:eastAsia="Times New Roman" w:hAnsi="Times New Roman"/>
          <w:sz w:val="19"/>
          <w:szCs w:val="19"/>
          <w:color w:val="auto"/>
        </w:rPr>
        <w:t>. This Amendment shall be binding upon and shall inure to the benefit of the parties hereto and their respective successors and permitted assigns.</w:t>
      </w:r>
    </w:p>
    <w:p>
      <w:pPr>
        <w:spacing w:after="0" w:line="127" w:lineRule="exact"/>
        <w:rPr>
          <w:sz w:val="20"/>
          <w:szCs w:val="20"/>
          <w:color w:val="auto"/>
        </w:rPr>
      </w:pPr>
    </w:p>
    <w:p>
      <w:pPr>
        <w:ind w:right="60" w:firstLine="696"/>
        <w:spacing w:after="0" w:line="286" w:lineRule="auto"/>
        <w:rPr>
          <w:sz w:val="20"/>
          <w:szCs w:val="20"/>
          <w:color w:val="auto"/>
        </w:rPr>
      </w:pPr>
      <w:r>
        <w:rPr>
          <w:rFonts w:ascii="Times New Roman" w:cs="Times New Roman" w:eastAsia="Times New Roman" w:hAnsi="Times New Roman"/>
          <w:sz w:val="19"/>
          <w:szCs w:val="19"/>
          <w:u w:val="single" w:color="auto"/>
          <w:color w:val="auto"/>
        </w:rPr>
        <w:t>SECTION 4.7. Headings</w:t>
      </w:r>
      <w:r>
        <w:rPr>
          <w:rFonts w:ascii="Times New Roman" w:cs="Times New Roman" w:eastAsia="Times New Roman" w:hAnsi="Times New Roman"/>
          <w:sz w:val="19"/>
          <w:szCs w:val="19"/>
          <w:color w:val="auto"/>
        </w:rPr>
        <w:t>. The Section headings in this Amendment are inserted for convenience of reference only and shall not affect the meaning or interpretation of this Amendment or any provision hereof.</w:t>
      </w:r>
    </w:p>
    <w:p>
      <w:pPr>
        <w:spacing w:after="0" w:line="127"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9"/>
          <w:szCs w:val="19"/>
          <w:u w:val="single" w:color="auto"/>
          <w:color w:val="auto"/>
        </w:rPr>
        <w:t>SECTION 4.8. Counterparts</w:t>
      </w:r>
      <w:r>
        <w:rPr>
          <w:rFonts w:ascii="Times New Roman" w:cs="Times New Roman" w:eastAsia="Times New Roman" w:hAnsi="Times New Roman"/>
          <w:sz w:val="19"/>
          <w:szCs w:val="19"/>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 communication (e.g. pdf) shall be effective as delivery of a manually executed counterpart of this Amendment.</w:t>
      </w: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[SIGNATURES FOLLOW]</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692150</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81" w:name="page82"/>
    <w:bookmarkEnd w:id="81"/>
    <w:p>
      <w:pPr>
        <w:spacing w:after="0" w:line="267" w:lineRule="exact"/>
        <w:rPr>
          <w:sz w:val="20"/>
          <w:szCs w:val="20"/>
          <w:color w:val="auto"/>
        </w:rPr>
      </w:pPr>
    </w:p>
    <w:p>
      <w:pPr>
        <w:ind w:firstLine="696"/>
        <w:spacing w:after="0" w:line="288" w:lineRule="auto"/>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Amendment to be executed by their respective officers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thereunto duly authorized, as of the date first above written.</w:t>
      </w:r>
    </w:p>
    <w:p>
      <w:pPr>
        <w:spacing w:after="0" w:line="12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b w:val="1"/>
          <w:bCs w:val="1"/>
          <w:color w:val="auto"/>
        </w:rPr>
        <w:t>PENNANTPARK INVESTMENT CORPORATION</w:t>
      </w:r>
      <w:r>
        <w:rPr>
          <w:rFonts w:ascii="Times New Roman" w:cs="Times New Roman" w:eastAsia="Times New Roman" w:hAnsi="Times New Roman"/>
          <w:sz w:val="19"/>
          <w:szCs w:val="19"/>
          <w:color w:val="auto"/>
        </w:rPr>
        <w:t>,</w:t>
      </w:r>
    </w:p>
    <w:p>
      <w:pPr>
        <w:spacing w:after="0" w:line="3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as Borrower</w:t>
      </w:r>
    </w:p>
    <w:p>
      <w:pPr>
        <w:spacing w:after="0" w:line="200" w:lineRule="exact"/>
        <w:rPr>
          <w:sz w:val="20"/>
          <w:szCs w:val="20"/>
          <w:color w:val="auto"/>
        </w:rPr>
      </w:pPr>
    </w:p>
    <w:p>
      <w:pPr>
        <w:spacing w:after="0" w:line="20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By: /s/ Jeffrey S. Sion</w:t>
      </w:r>
    </w:p>
    <w:p>
      <w:pPr>
        <w:spacing w:after="0" w:line="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auto"/>
        </w:rPr>
        <w:t>Name: Jeffrey S. Sion</w:t>
      </w:r>
    </w:p>
    <w:p>
      <w:pPr>
        <w:spacing w:after="0" w:line="1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i w:val="1"/>
          <w:iCs w:val="1"/>
          <w:color w:val="auto"/>
        </w:rPr>
        <w:t>Signature Page to Sixth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693420</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660" w:top="1440" w:right="1380" w:bottom="1440" w:gutter="0" w:footer="0" w:header="0"/>
        </w:sectPr>
      </w:pPr>
    </w:p>
    <w:bookmarkStart w:id="82" w:name="page83"/>
    <w:bookmarkEnd w:id="82"/>
    <w:p>
      <w:pPr>
        <w:spacing w:after="0" w:line="26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b w:val="1"/>
          <w:bCs w:val="1"/>
          <w:color w:val="auto"/>
        </w:rPr>
        <w:t>TRUIST BANK</w:t>
      </w:r>
      <w:r>
        <w:rPr>
          <w:rFonts w:ascii="Times New Roman" w:cs="Times New Roman" w:eastAsia="Times New Roman" w:hAnsi="Times New Roman"/>
          <w:sz w:val="19"/>
          <w:szCs w:val="19"/>
          <w:color w:val="auto"/>
        </w:rPr>
        <w:t>,</w:t>
      </w:r>
    </w:p>
    <w:p>
      <w:pPr>
        <w:spacing w:after="0" w:line="3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as the Administrative Agent</w:t>
      </w:r>
    </w:p>
    <w:p>
      <w:pPr>
        <w:spacing w:after="0" w:line="200" w:lineRule="exact"/>
        <w:rPr>
          <w:sz w:val="20"/>
          <w:szCs w:val="20"/>
          <w:color w:val="auto"/>
        </w:rPr>
      </w:pPr>
    </w:p>
    <w:p>
      <w:pPr>
        <w:spacing w:after="0" w:line="20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/s/ Hays Wood</w:t>
      </w:r>
    </w:p>
    <w:p>
      <w:pPr>
        <w:spacing w:after="0" w:line="3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Name: Hays Wood</w:t>
      </w:r>
    </w:p>
    <w:p>
      <w:pPr>
        <w:spacing w:after="0" w:line="1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Signature Page to Sixth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541020</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20"/>
          </w:cols>
          <w:pgMar w:left="740" w:top="1440" w:right="1440" w:bottom="1440" w:gutter="0" w:footer="0" w:header="0"/>
        </w:sectPr>
      </w:pPr>
    </w:p>
    <w:bookmarkStart w:id="83" w:name="page84"/>
    <w:bookmarkEnd w:id="83"/>
    <w:p>
      <w:pPr>
        <w:spacing w:after="0" w:line="26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Amendments to Existing Credit Agreement</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1053465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84" w:name="page85"/>
    <w:bookmarkEnd w:id="84"/>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872490</wp:posOffset>
            </wp:positionV>
            <wp:extent cx="670750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887730</wp:posOffset>
            </wp:positionV>
            <wp:extent cx="670750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9"/>
          <w:szCs w:val="19"/>
          <w:color w:val="auto"/>
        </w:rPr>
        <w:t>SECOND AMENDED AND RESTATED</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SENIOR SECURED</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REVOLVING CREDIT AGREEMENT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dated as of</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June 25, 2014</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and</w:t>
      </w:r>
    </w:p>
    <w:p>
      <w:pPr>
        <w:spacing w:after="0" w:line="202" w:lineRule="exact"/>
        <w:rPr>
          <w:sz w:val="20"/>
          <w:szCs w:val="20"/>
          <w:color w:val="auto"/>
        </w:rPr>
      </w:pPr>
    </w:p>
    <w:p>
      <w:pPr>
        <w:jc w:val="center"/>
        <w:ind w:left="700"/>
        <w:spacing w:after="0" w:line="256" w:lineRule="auto"/>
        <w:rPr>
          <w:sz w:val="20"/>
          <w:szCs w:val="20"/>
          <w:color w:val="auto"/>
        </w:rPr>
      </w:pPr>
      <w:r>
        <w:rPr>
          <w:rFonts w:ascii="Times New Roman" w:cs="Times New Roman" w:eastAsia="Times New Roman" w:hAnsi="Times New Roman"/>
          <w:sz w:val="19"/>
          <w:szCs w:val="19"/>
          <w:color w:val="auto"/>
        </w:rPr>
        <w:t>as amended by the First Omnibus Amendment to Second Amended and Restated Senior Secured Revolving Credit Agreement and Second Amended and Restated Guarantee and Security Amendment dated as of May 25, 2017, by the Second Amendment to Second Amended and Restated Senior Secured Revolving Credit Agreement dated as of September 4, 2019, by the Third Amendment to Second Amended and Restated Senior Secured Revolving Credit Agreement dated as of December 10, 2021, by the Fourth Amendment to Second Amended and Restated Senior Secured Revolving Credit Agreement dated as of February 23, 2022, by the Fifth Amendment to Second Amended and Restated Senior Secured Revolving Credit Agreement dated as of July 29, 2022 and by the Sixth Amendment to Second Amended and Restated Senior Secured Revolving Credit Agreement dated as of June 25, 2024</w:t>
      </w:r>
    </w:p>
    <w:p>
      <w:pPr>
        <w:spacing w:after="0" w:line="15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color w:val="auto"/>
        </w:rPr>
        <w:t>among</w:t>
      </w:r>
    </w:p>
    <w:p>
      <w:pPr>
        <w:spacing w:after="0" w:line="20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auto"/>
        </w:rPr>
        <w:t>PENNANTPARK INVESTMENT CORPORATION</w:t>
      </w:r>
    </w:p>
    <w:p>
      <w:pPr>
        <w:spacing w:after="0" w:line="3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9"/>
          <w:szCs w:val="19"/>
          <w:color w:val="auto"/>
        </w:rPr>
        <w:t>as Borrower</w:t>
      </w:r>
    </w:p>
    <w:p>
      <w:pPr>
        <w:spacing w:after="0" w:line="18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9"/>
          <w:szCs w:val="19"/>
          <w:color w:val="auto"/>
        </w:rPr>
        <w:t>The LENDERS Party Hereto</w:t>
      </w:r>
    </w:p>
    <w:p>
      <w:pPr>
        <w:spacing w:after="0" w:line="20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9"/>
          <w:szCs w:val="19"/>
          <w:color w:val="auto"/>
        </w:rPr>
        <w:t>and</w:t>
      </w:r>
    </w:p>
    <w:p>
      <w:pPr>
        <w:spacing w:after="0" w:line="20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9"/>
          <w:szCs w:val="19"/>
          <w:color w:val="auto"/>
        </w:rPr>
        <w:t>TRUIST BANK</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18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as Syndication Agent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$500,000,000</w:t>
      </w:r>
    </w:p>
    <w:p>
      <w:pPr>
        <w:spacing w:after="0" w:line="3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__________________</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TRUIST SECURITIES,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as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153035</wp:posOffset>
            </wp:positionV>
            <wp:extent cx="670750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670750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748401849 11262547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692150</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tc>
      </w:tr>
      <w:tr>
        <w:trPr>
          <w:trHeight w:val="648"/>
        </w:trPr>
        <w:tc>
          <w:tcPr>
            <w:tcW w:w="8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ARTICLE I DEFINITIONS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1.01. Defined Terms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1.02. Classification of Loans and Borrowings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48</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1.03. Terms Generally</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49</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1.04. Accounting Terms; GAAP</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49</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1.05. Currencies; Currency Equivalents.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50</w:t>
            </w:r>
          </w:p>
        </w:tc>
      </w:tr>
      <w:tr>
        <w:trPr>
          <w:trHeight w:val="444"/>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1.06. Divisions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51</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1.07. Rates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51</w:t>
            </w:r>
          </w:p>
        </w:tc>
      </w:tr>
      <w:tr>
        <w:trPr>
          <w:trHeight w:val="348"/>
        </w:trPr>
        <w:tc>
          <w:tcPr>
            <w:tcW w:w="8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ARTICLE II THE CREDITS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51</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2.01. The Commitments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51</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2.02. Loans and Borrowings.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52</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2.03. Requests for Syndicated Borrowings.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53</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2.04. Swingline Loans.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54</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2.05. Letters of Credit.</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56</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2.06. Funding of Borrowings.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61</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2.07. Interest Elections.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61</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2.08. Termination, Reduction or Increase of the Commitments.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63</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2.09. Repayment of Loans; Evidence of Debt.</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66</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2.10. Prepayment of Loans.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68</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2.11. Fees.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71</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2.12. Interest.</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73</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2.13. Inability to Determine Interest Rates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74</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2.14. Increased Costs.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75</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2.15. Break Funding Payments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76</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2.16. Taxes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77</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2.17. Payments Generally; Pro Rata Treatment: Sharing of Set-offs.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81</w:t>
            </w:r>
          </w:p>
        </w:tc>
      </w:tr>
      <w:tr>
        <w:trPr>
          <w:trHeight w:val="564"/>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2.18. Mitigation Obligations; Replacement of Lenders.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84</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2.19. Defaulting Lenders.</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85</w:t>
            </w:r>
          </w:p>
        </w:tc>
      </w:tr>
      <w:tr>
        <w:trPr>
          <w:trHeight w:val="348"/>
        </w:trPr>
        <w:tc>
          <w:tcPr>
            <w:tcW w:w="88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2.20. Reallocation Following a Non-Extended Commitment Termination Date.</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89</w:t>
            </w:r>
          </w:p>
        </w:tc>
      </w:tr>
      <w:tr>
        <w:trPr>
          <w:trHeight w:val="363"/>
        </w:trPr>
        <w:tc>
          <w:tcPr>
            <w:tcW w:w="8800" w:type="dxa"/>
            <w:vAlign w:val="bottom"/>
          </w:tcPr>
          <w:p>
            <w:pPr>
              <w:ind w:left="5200"/>
              <w:spacing w:after="0"/>
              <w:rPr>
                <w:sz w:val="20"/>
                <w:szCs w:val="20"/>
                <w:color w:val="auto"/>
              </w:rPr>
            </w:pPr>
            <w:r>
              <w:rPr>
                <w:rFonts w:ascii="Times New Roman" w:cs="Times New Roman" w:eastAsia="Times New Roman" w:hAnsi="Times New Roman"/>
                <w:sz w:val="19"/>
                <w:szCs w:val="19"/>
                <w:color w:val="auto"/>
              </w:rPr>
              <w:t>-i-</w:t>
            </w:r>
          </w:p>
        </w:tc>
        <w:tc>
          <w:tcPr>
            <w:tcW w:w="1760" w:type="dxa"/>
            <w:vAlign w:val="bottom"/>
          </w:tcPr>
          <w:p>
            <w:pPr>
              <w:spacing w:after="0"/>
              <w:rPr>
                <w:sz w:val="24"/>
                <w:szCs w:val="24"/>
                <w:color w:val="auto"/>
              </w:rPr>
            </w:pPr>
          </w:p>
        </w:tc>
      </w:tr>
      <w:tr>
        <w:trPr>
          <w:trHeight w:val="172"/>
        </w:trPr>
        <w:tc>
          <w:tcPr>
            <w:tcW w:w="8800" w:type="dxa"/>
            <w:vAlign w:val="bottom"/>
          </w:tcPr>
          <w:p>
            <w:pPr>
              <w:spacing w:after="0"/>
              <w:rPr>
                <w:sz w:val="20"/>
                <w:szCs w:val="20"/>
                <w:color w:val="auto"/>
              </w:rPr>
            </w:pPr>
            <w:r>
              <w:rPr>
                <w:rFonts w:ascii="Times New Roman" w:cs="Times New Roman" w:eastAsia="Times New Roman" w:hAnsi="Times New Roman"/>
                <w:sz w:val="13"/>
                <w:szCs w:val="13"/>
                <w:color w:val="auto"/>
              </w:rPr>
              <w:t>748401849 11262547</w:t>
            </w:r>
          </w:p>
        </w:tc>
        <w:tc>
          <w:tcPr>
            <w:tcW w:w="1760" w:type="dxa"/>
            <w:vAlign w:val="bottom"/>
          </w:tcPr>
          <w:p>
            <w:pPr>
              <w:spacing w:after="0"/>
              <w:rPr>
                <w:sz w:val="14"/>
                <w:szCs w:val="14"/>
                <w:color w:val="auto"/>
              </w:rPr>
            </w:pPr>
          </w:p>
        </w:tc>
      </w:tr>
      <w:tr>
        <w:trPr>
          <w:trHeight w:val="908"/>
        </w:trPr>
        <w:tc>
          <w:tcPr>
            <w:tcW w:w="8800" w:type="dxa"/>
            <w:vAlign w:val="bottom"/>
            <w:tcBorders>
              <w:bottom w:val="single" w:sz="8" w:color="EEEEEE"/>
            </w:tcBorders>
          </w:tcPr>
          <w:p>
            <w:pPr>
              <w:spacing w:after="0"/>
              <w:rPr>
                <w:sz w:val="24"/>
                <w:szCs w:val="24"/>
                <w:color w:val="auto"/>
              </w:rPr>
            </w:pPr>
          </w:p>
        </w:tc>
        <w:tc>
          <w:tcPr>
            <w:tcW w:w="17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(continued)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6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tc>
      </w:tr>
      <w:tr>
        <w:trPr>
          <w:trHeight w:val="624"/>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2.21. [Reserved]</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90</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2.22. Benchmark Replacement.</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90</w:t>
            </w:r>
          </w:p>
        </w:tc>
      </w:tr>
      <w:tr>
        <w:trPr>
          <w:trHeight w:val="348"/>
        </w:trPr>
        <w:tc>
          <w:tcPr>
            <w:tcW w:w="79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ARTICLE III REPRESENTATIONS AND WARRANTIES</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93</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3.01. Organization; Powers</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93</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3.02. Authorization; Enforceability</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93</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3.03. Governmental Approvals; No Conflicts</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93</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3.04. Financial Condition; No Material Adverse Change.</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93</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3.05. Litigation</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94</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3.06. Compliance with Laws and Agreements</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94</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3.07. Taxes</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94</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3.08. ERISA</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94</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3.09. Disclosure</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94</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3.10. Investment Company Act; Margin Regulations.</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95</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3.11. Material Agreements and Liens.</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95</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3.12. Subsidiaries and Investments.</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96</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3.13. Properties.</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96</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3.14. Affiliate Agreements</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96</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3.15. Sanctions</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96</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3.16. Patriot Act</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97</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3.17. Collateral Documents</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97</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3.18. EEA Financial Institutions</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97</w:t>
            </w:r>
          </w:p>
        </w:tc>
      </w:tr>
      <w:tr>
        <w:trPr>
          <w:trHeight w:val="348"/>
        </w:trPr>
        <w:tc>
          <w:tcPr>
            <w:tcW w:w="79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ARTICLE IV CONDITIONS</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97</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4.01. Effective Date</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97</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4.02. Each Credit Event</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99</w:t>
            </w:r>
          </w:p>
        </w:tc>
      </w:tr>
      <w:tr>
        <w:trPr>
          <w:trHeight w:val="348"/>
        </w:trPr>
        <w:tc>
          <w:tcPr>
            <w:tcW w:w="79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ARTICLE V AFFIRMATIVE COVENANTS</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99</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5.01. Financial Statements and Other Information</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100</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5.02. Notices of Material Events</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102</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5.03. Existence; Conduct of Business</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102</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5.04. Payment of Obligations</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102</w:t>
            </w:r>
          </w:p>
        </w:tc>
      </w:tr>
      <w:tr>
        <w:trPr>
          <w:trHeight w:val="348"/>
        </w:trPr>
        <w:tc>
          <w:tcPr>
            <w:tcW w:w="796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5.05. Maintenance of Properties; Insurance</w:t>
            </w:r>
          </w:p>
        </w:tc>
        <w:tc>
          <w:tcPr>
            <w:tcW w:w="26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102</w:t>
            </w:r>
          </w:p>
        </w:tc>
      </w:tr>
      <w:tr>
        <w:trPr>
          <w:trHeight w:val="363"/>
        </w:trPr>
        <w:tc>
          <w:tcPr>
            <w:tcW w:w="7960" w:type="dxa"/>
            <w:vAlign w:val="bottom"/>
          </w:tcPr>
          <w:p>
            <w:pPr>
              <w:ind w:left="5180"/>
              <w:spacing w:after="0"/>
              <w:rPr>
                <w:sz w:val="20"/>
                <w:szCs w:val="20"/>
                <w:color w:val="auto"/>
              </w:rPr>
            </w:pPr>
            <w:r>
              <w:rPr>
                <w:rFonts w:ascii="Times New Roman" w:cs="Times New Roman" w:eastAsia="Times New Roman" w:hAnsi="Times New Roman"/>
                <w:sz w:val="19"/>
                <w:szCs w:val="19"/>
                <w:color w:val="auto"/>
              </w:rPr>
              <w:t>-ii-</w:t>
            </w:r>
          </w:p>
        </w:tc>
        <w:tc>
          <w:tcPr>
            <w:tcW w:w="2600" w:type="dxa"/>
            <w:vAlign w:val="bottom"/>
          </w:tcPr>
          <w:p>
            <w:pPr>
              <w:spacing w:after="0"/>
              <w:rPr>
                <w:sz w:val="24"/>
                <w:szCs w:val="24"/>
                <w:color w:val="auto"/>
              </w:rPr>
            </w:pPr>
          </w:p>
        </w:tc>
      </w:tr>
      <w:tr>
        <w:trPr>
          <w:trHeight w:val="172"/>
        </w:trPr>
        <w:tc>
          <w:tcPr>
            <w:tcW w:w="7960" w:type="dxa"/>
            <w:vAlign w:val="bottom"/>
          </w:tcPr>
          <w:p>
            <w:pPr>
              <w:spacing w:after="0"/>
              <w:rPr>
                <w:sz w:val="20"/>
                <w:szCs w:val="20"/>
                <w:color w:val="auto"/>
              </w:rPr>
            </w:pPr>
            <w:r>
              <w:rPr>
                <w:rFonts w:ascii="Times New Roman" w:cs="Times New Roman" w:eastAsia="Times New Roman" w:hAnsi="Times New Roman"/>
                <w:sz w:val="13"/>
                <w:szCs w:val="13"/>
                <w:color w:val="auto"/>
              </w:rPr>
              <w:t>748401849 11262547</w:t>
            </w:r>
          </w:p>
        </w:tc>
        <w:tc>
          <w:tcPr>
            <w:tcW w:w="2600" w:type="dxa"/>
            <w:vAlign w:val="bottom"/>
          </w:tcPr>
          <w:p>
            <w:pPr>
              <w:spacing w:after="0"/>
              <w:rPr>
                <w:sz w:val="14"/>
                <w:szCs w:val="14"/>
                <w:color w:val="auto"/>
              </w:rPr>
            </w:pPr>
          </w:p>
        </w:tc>
      </w:tr>
      <w:tr>
        <w:trPr>
          <w:trHeight w:val="824"/>
        </w:trPr>
        <w:tc>
          <w:tcPr>
            <w:tcW w:w="796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(continued)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500" w:type="dxa"/>
            <w:vAlign w:val="bottom"/>
          </w:tcPr>
          <w:p>
            <w:pPr>
              <w:spacing w:after="0"/>
              <w:rPr>
                <w:sz w:val="22"/>
                <w:szCs w:val="22"/>
                <w:color w:val="auto"/>
              </w:rPr>
            </w:pPr>
          </w:p>
        </w:tc>
        <w:tc>
          <w:tcPr>
            <w:tcW w:w="2060" w:type="dxa"/>
            <w:vAlign w:val="bottom"/>
          </w:tcPr>
          <w:p>
            <w:pPr>
              <w:jc w:val="center"/>
              <w:ind w:left="1404"/>
              <w:spacing w:after="0"/>
              <w:rPr>
                <w:sz w:val="20"/>
                <w:szCs w:val="20"/>
                <w:color w:val="auto"/>
              </w:rPr>
            </w:pPr>
            <w:r>
              <w:rPr>
                <w:rFonts w:ascii="Times New Roman" w:cs="Times New Roman" w:eastAsia="Times New Roman" w:hAnsi="Times New Roman"/>
                <w:sz w:val="19"/>
                <w:szCs w:val="19"/>
                <w:b w:val="1"/>
                <w:bCs w:val="1"/>
                <w:color w:val="auto"/>
              </w:rPr>
              <w:t>Page</w:t>
            </w:r>
          </w:p>
        </w:tc>
      </w:tr>
      <w:tr>
        <w:trPr>
          <w:trHeight w:val="624"/>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5.06. Books and Records; Inspection and Audit Rights.</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103</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5.07. Compliance with Laws</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103</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5.08. Certain Obligations Respecting Subsidiaries; Further Assurances.</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103</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5.09. Use of Proceeds</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105</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5.10. Status of RIC and BDC</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105</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5.11. Investment Policies</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105</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5.12. Portfolio Valuation and Diversification Etc.</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105</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5.13. Calculation of Borrowing Base</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110</w:t>
            </w:r>
          </w:p>
        </w:tc>
      </w:tr>
      <w:tr>
        <w:trPr>
          <w:trHeight w:val="348"/>
        </w:trPr>
        <w:tc>
          <w:tcPr>
            <w:tcW w:w="85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ARTICLE VI NEGATIVE COVENANTS</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115</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6.01. Indebtedness</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115</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6.02. Liens</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117</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6.03. Fundamental Changes</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118</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6.04. Investments</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119</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6.05. Restricted Payments</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120</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6.06. Certain Restrictions on Subsidiaries</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121</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6.07. Certain Financial Covenants.</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121</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6.08. Transactions with Affiliates</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122</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6.09. Lines of Business</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122</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6.10. No Further Negative Pledge</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122</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6.11. Modifications of Longer-Term Indebtedness Documents</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123</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6.12. Payments of Longer-Term Indebtedness</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123</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6.13. Accounting Changes</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124</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6.14. SBIC Guarantee</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124</w:t>
            </w:r>
          </w:p>
        </w:tc>
      </w:tr>
      <w:tr>
        <w:trPr>
          <w:trHeight w:val="348"/>
        </w:trPr>
        <w:tc>
          <w:tcPr>
            <w:tcW w:w="85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ARTICLE VII EVENTS OF DEFAULT</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124</w:t>
            </w:r>
          </w:p>
        </w:tc>
      </w:tr>
      <w:tr>
        <w:trPr>
          <w:trHeight w:val="348"/>
        </w:trPr>
        <w:tc>
          <w:tcPr>
            <w:tcW w:w="85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ARTICLE VIII THE ADMINISTRATIVE AGENT</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128</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8.01. Appointment of the Administrative Agent</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128</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8.02. Capacity as Lender</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128</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8.03. Limitation of Duties; Exculpation</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128</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8.04. Reliance</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129</w:t>
            </w:r>
          </w:p>
        </w:tc>
      </w:tr>
      <w:tr>
        <w:trPr>
          <w:trHeight w:val="348"/>
        </w:trPr>
        <w:tc>
          <w:tcPr>
            <w:tcW w:w="85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8.05. Sub-Agents</w:t>
            </w:r>
          </w:p>
        </w:tc>
        <w:tc>
          <w:tcPr>
            <w:tcW w:w="2060" w:type="dxa"/>
            <w:vAlign w:val="bottom"/>
          </w:tcPr>
          <w:p>
            <w:pPr>
              <w:jc w:val="center"/>
              <w:ind w:left="1444"/>
              <w:spacing w:after="0"/>
              <w:rPr>
                <w:sz w:val="20"/>
                <w:szCs w:val="20"/>
                <w:color w:val="auto"/>
              </w:rPr>
            </w:pPr>
            <w:r>
              <w:rPr>
                <w:rFonts w:ascii="Times New Roman" w:cs="Times New Roman" w:eastAsia="Times New Roman" w:hAnsi="Times New Roman"/>
                <w:sz w:val="19"/>
                <w:szCs w:val="19"/>
                <w:color w:val="auto"/>
                <w:w w:val="98"/>
              </w:rPr>
              <w:t>129</w:t>
            </w:r>
          </w:p>
        </w:tc>
      </w:tr>
      <w:tr>
        <w:trPr>
          <w:trHeight w:val="363"/>
        </w:trPr>
        <w:tc>
          <w:tcPr>
            <w:tcW w:w="8500" w:type="dxa"/>
            <w:vAlign w:val="bottom"/>
          </w:tcPr>
          <w:p>
            <w:pPr>
              <w:ind w:left="5160"/>
              <w:spacing w:after="0"/>
              <w:rPr>
                <w:sz w:val="20"/>
                <w:szCs w:val="20"/>
                <w:color w:val="auto"/>
              </w:rPr>
            </w:pPr>
            <w:r>
              <w:rPr>
                <w:rFonts w:ascii="Times New Roman" w:cs="Times New Roman" w:eastAsia="Times New Roman" w:hAnsi="Times New Roman"/>
                <w:sz w:val="19"/>
                <w:szCs w:val="19"/>
                <w:color w:val="auto"/>
              </w:rPr>
              <w:t>-iii-</w:t>
            </w:r>
          </w:p>
        </w:tc>
        <w:tc>
          <w:tcPr>
            <w:tcW w:w="2060" w:type="dxa"/>
            <w:vAlign w:val="bottom"/>
          </w:tcPr>
          <w:p>
            <w:pPr>
              <w:spacing w:after="0"/>
              <w:rPr>
                <w:sz w:val="24"/>
                <w:szCs w:val="24"/>
                <w:color w:val="auto"/>
              </w:rPr>
            </w:pPr>
          </w:p>
        </w:tc>
      </w:tr>
      <w:tr>
        <w:trPr>
          <w:trHeight w:val="172"/>
        </w:trPr>
        <w:tc>
          <w:tcPr>
            <w:tcW w:w="8500" w:type="dxa"/>
            <w:vAlign w:val="bottom"/>
          </w:tcPr>
          <w:p>
            <w:pPr>
              <w:spacing w:after="0"/>
              <w:rPr>
                <w:sz w:val="20"/>
                <w:szCs w:val="20"/>
                <w:color w:val="auto"/>
              </w:rPr>
            </w:pPr>
            <w:r>
              <w:rPr>
                <w:rFonts w:ascii="Times New Roman" w:cs="Times New Roman" w:eastAsia="Times New Roman" w:hAnsi="Times New Roman"/>
                <w:sz w:val="13"/>
                <w:szCs w:val="13"/>
                <w:color w:val="auto"/>
              </w:rPr>
              <w:t>748401849 11262547</w:t>
            </w:r>
          </w:p>
        </w:tc>
        <w:tc>
          <w:tcPr>
            <w:tcW w:w="2060" w:type="dxa"/>
            <w:vAlign w:val="bottom"/>
          </w:tcPr>
          <w:p>
            <w:pPr>
              <w:spacing w:after="0"/>
              <w:rPr>
                <w:sz w:val="14"/>
                <w:szCs w:val="14"/>
                <w:color w:val="auto"/>
              </w:rPr>
            </w:pPr>
          </w:p>
        </w:tc>
      </w:tr>
      <w:tr>
        <w:trPr>
          <w:trHeight w:val="824"/>
        </w:trPr>
        <w:tc>
          <w:tcPr>
            <w:tcW w:w="8500" w:type="dxa"/>
            <w:vAlign w:val="bottom"/>
            <w:tcBorders>
              <w:bottom w:val="single" w:sz="8" w:color="EEEEEE"/>
            </w:tcBorders>
          </w:tcPr>
          <w:p>
            <w:pPr>
              <w:spacing w:after="0"/>
              <w:rPr>
                <w:sz w:val="24"/>
                <w:szCs w:val="24"/>
                <w:color w:val="auto"/>
              </w:rPr>
            </w:pPr>
          </w:p>
        </w:tc>
        <w:tc>
          <w:tcPr>
            <w:tcW w:w="20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(continued)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900" w:type="dxa"/>
            <w:vAlign w:val="bottom"/>
          </w:tcPr>
          <w:p>
            <w:pPr>
              <w:spacing w:after="0"/>
              <w:rPr>
                <w:sz w:val="22"/>
                <w:szCs w:val="22"/>
                <w:color w:val="auto"/>
              </w:rPr>
            </w:pPr>
          </w:p>
        </w:tc>
        <w:tc>
          <w:tcPr>
            <w:tcW w:w="1660" w:type="dxa"/>
            <w:vAlign w:val="bottom"/>
          </w:tcPr>
          <w:p>
            <w:pPr>
              <w:jc w:val="center"/>
              <w:ind w:left="1004"/>
              <w:spacing w:after="0"/>
              <w:rPr>
                <w:sz w:val="20"/>
                <w:szCs w:val="20"/>
                <w:color w:val="auto"/>
              </w:rPr>
            </w:pPr>
            <w:r>
              <w:rPr>
                <w:rFonts w:ascii="Times New Roman" w:cs="Times New Roman" w:eastAsia="Times New Roman" w:hAnsi="Times New Roman"/>
                <w:sz w:val="19"/>
                <w:szCs w:val="19"/>
                <w:b w:val="1"/>
                <w:bCs w:val="1"/>
                <w:color w:val="auto"/>
              </w:rPr>
              <w:t>Page</w:t>
            </w:r>
          </w:p>
        </w:tc>
        <w:tc>
          <w:tcPr>
            <w:tcW w:w="0" w:type="dxa"/>
            <w:vAlign w:val="bottom"/>
          </w:tcPr>
          <w:p>
            <w:pPr>
              <w:spacing w:after="0"/>
              <w:rPr>
                <w:sz w:val="1"/>
                <w:szCs w:val="1"/>
                <w:color w:val="auto"/>
              </w:rPr>
            </w:pPr>
          </w:p>
        </w:tc>
      </w:tr>
      <w:tr>
        <w:trPr>
          <w:trHeight w:val="624"/>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8.06. Resignation; Successor Administrative Agent</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129</w:t>
            </w:r>
          </w:p>
        </w:tc>
        <w:tc>
          <w:tcPr>
            <w:tcW w:w="0" w:type="dxa"/>
            <w:vAlign w:val="bottom"/>
          </w:tcPr>
          <w:p>
            <w:pPr>
              <w:spacing w:after="0"/>
              <w:rPr>
                <w:sz w:val="1"/>
                <w:szCs w:val="1"/>
                <w:color w:val="auto"/>
              </w:rPr>
            </w:pPr>
          </w:p>
        </w:tc>
      </w:tr>
      <w:tr>
        <w:trPr>
          <w:trHeight w:val="348"/>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8.07. Reliance by Lenders</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130</w:t>
            </w:r>
          </w:p>
        </w:tc>
        <w:tc>
          <w:tcPr>
            <w:tcW w:w="0" w:type="dxa"/>
            <w:vAlign w:val="bottom"/>
          </w:tcPr>
          <w:p>
            <w:pPr>
              <w:spacing w:after="0"/>
              <w:rPr>
                <w:sz w:val="1"/>
                <w:szCs w:val="1"/>
                <w:color w:val="auto"/>
              </w:rPr>
            </w:pPr>
          </w:p>
        </w:tc>
      </w:tr>
      <w:tr>
        <w:trPr>
          <w:trHeight w:val="384"/>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8.08. Modifications to Loan Documents</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131</w:t>
            </w:r>
          </w:p>
        </w:tc>
        <w:tc>
          <w:tcPr>
            <w:tcW w:w="0" w:type="dxa"/>
            <w:vAlign w:val="bottom"/>
          </w:tcPr>
          <w:p>
            <w:pPr>
              <w:spacing w:after="0"/>
              <w:rPr>
                <w:sz w:val="1"/>
                <w:szCs w:val="1"/>
                <w:color w:val="auto"/>
              </w:rPr>
            </w:pPr>
          </w:p>
        </w:tc>
      </w:tr>
      <w:tr>
        <w:trPr>
          <w:trHeight w:val="348"/>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8.09. Erroneous Payments.</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131</w:t>
            </w:r>
          </w:p>
        </w:tc>
        <w:tc>
          <w:tcPr>
            <w:tcW w:w="0" w:type="dxa"/>
            <w:vAlign w:val="bottom"/>
          </w:tcPr>
          <w:p>
            <w:pPr>
              <w:spacing w:after="0"/>
              <w:rPr>
                <w:sz w:val="1"/>
                <w:szCs w:val="1"/>
                <w:color w:val="auto"/>
              </w:rPr>
            </w:pPr>
          </w:p>
        </w:tc>
      </w:tr>
      <w:tr>
        <w:trPr>
          <w:trHeight w:val="348"/>
        </w:trPr>
        <w:tc>
          <w:tcPr>
            <w:tcW w:w="89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ARTICLE IX MISCELLANEOUS</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134</w:t>
            </w:r>
          </w:p>
        </w:tc>
        <w:tc>
          <w:tcPr>
            <w:tcW w:w="0" w:type="dxa"/>
            <w:vAlign w:val="bottom"/>
          </w:tcPr>
          <w:p>
            <w:pPr>
              <w:spacing w:after="0"/>
              <w:rPr>
                <w:sz w:val="1"/>
                <w:szCs w:val="1"/>
                <w:color w:val="auto"/>
              </w:rPr>
            </w:pPr>
          </w:p>
        </w:tc>
      </w:tr>
      <w:tr>
        <w:trPr>
          <w:trHeight w:val="348"/>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9.01. Notices; Electronic Communications.</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134</w:t>
            </w:r>
          </w:p>
        </w:tc>
        <w:tc>
          <w:tcPr>
            <w:tcW w:w="0" w:type="dxa"/>
            <w:vAlign w:val="bottom"/>
          </w:tcPr>
          <w:p>
            <w:pPr>
              <w:spacing w:after="0"/>
              <w:rPr>
                <w:sz w:val="1"/>
                <w:szCs w:val="1"/>
                <w:color w:val="auto"/>
              </w:rPr>
            </w:pPr>
          </w:p>
        </w:tc>
      </w:tr>
      <w:tr>
        <w:trPr>
          <w:trHeight w:val="348"/>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9.02. Waivers; Amendments.</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136</w:t>
            </w:r>
          </w:p>
        </w:tc>
        <w:tc>
          <w:tcPr>
            <w:tcW w:w="0" w:type="dxa"/>
            <w:vAlign w:val="bottom"/>
          </w:tcPr>
          <w:p>
            <w:pPr>
              <w:spacing w:after="0"/>
              <w:rPr>
                <w:sz w:val="1"/>
                <w:szCs w:val="1"/>
                <w:color w:val="auto"/>
              </w:rPr>
            </w:pPr>
          </w:p>
        </w:tc>
      </w:tr>
      <w:tr>
        <w:trPr>
          <w:trHeight w:val="348"/>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9.03. Expenses; Indemnity; Damage Waiver.</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138</w:t>
            </w:r>
          </w:p>
        </w:tc>
        <w:tc>
          <w:tcPr>
            <w:tcW w:w="0" w:type="dxa"/>
            <w:vAlign w:val="bottom"/>
          </w:tcPr>
          <w:p>
            <w:pPr>
              <w:spacing w:after="0"/>
              <w:rPr>
                <w:sz w:val="1"/>
                <w:szCs w:val="1"/>
                <w:color w:val="auto"/>
              </w:rPr>
            </w:pPr>
          </w:p>
        </w:tc>
      </w:tr>
      <w:tr>
        <w:trPr>
          <w:trHeight w:val="348"/>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9.04. Successors and Assigns.</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141</w:t>
            </w:r>
          </w:p>
        </w:tc>
        <w:tc>
          <w:tcPr>
            <w:tcW w:w="0" w:type="dxa"/>
            <w:vAlign w:val="bottom"/>
          </w:tcPr>
          <w:p>
            <w:pPr>
              <w:spacing w:after="0"/>
              <w:rPr>
                <w:sz w:val="1"/>
                <w:szCs w:val="1"/>
                <w:color w:val="auto"/>
              </w:rPr>
            </w:pPr>
          </w:p>
        </w:tc>
      </w:tr>
      <w:tr>
        <w:trPr>
          <w:trHeight w:val="348"/>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9.05. Survival</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146</w:t>
            </w:r>
          </w:p>
        </w:tc>
        <w:tc>
          <w:tcPr>
            <w:tcW w:w="0" w:type="dxa"/>
            <w:vAlign w:val="bottom"/>
          </w:tcPr>
          <w:p>
            <w:pPr>
              <w:spacing w:after="0"/>
              <w:rPr>
                <w:sz w:val="1"/>
                <w:szCs w:val="1"/>
                <w:color w:val="auto"/>
              </w:rPr>
            </w:pPr>
          </w:p>
        </w:tc>
      </w:tr>
      <w:tr>
        <w:trPr>
          <w:trHeight w:val="348"/>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9.06. Counterparts; Integration; Effectiveness; Electronic Execution.</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146</w:t>
            </w:r>
          </w:p>
        </w:tc>
        <w:tc>
          <w:tcPr>
            <w:tcW w:w="0" w:type="dxa"/>
            <w:vAlign w:val="bottom"/>
          </w:tcPr>
          <w:p>
            <w:pPr>
              <w:spacing w:after="0"/>
              <w:rPr>
                <w:sz w:val="1"/>
                <w:szCs w:val="1"/>
                <w:color w:val="auto"/>
              </w:rPr>
            </w:pPr>
          </w:p>
        </w:tc>
      </w:tr>
      <w:tr>
        <w:trPr>
          <w:trHeight w:val="348"/>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9.07. Severability</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146</w:t>
            </w:r>
          </w:p>
        </w:tc>
        <w:tc>
          <w:tcPr>
            <w:tcW w:w="0" w:type="dxa"/>
            <w:vAlign w:val="bottom"/>
          </w:tcPr>
          <w:p>
            <w:pPr>
              <w:spacing w:after="0"/>
              <w:rPr>
                <w:sz w:val="1"/>
                <w:szCs w:val="1"/>
                <w:color w:val="auto"/>
              </w:rPr>
            </w:pPr>
          </w:p>
        </w:tc>
      </w:tr>
      <w:tr>
        <w:trPr>
          <w:trHeight w:val="348"/>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9.08. Right of Setoff</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147</w:t>
            </w:r>
          </w:p>
        </w:tc>
        <w:tc>
          <w:tcPr>
            <w:tcW w:w="0" w:type="dxa"/>
            <w:vAlign w:val="bottom"/>
          </w:tcPr>
          <w:p>
            <w:pPr>
              <w:spacing w:after="0"/>
              <w:rPr>
                <w:sz w:val="1"/>
                <w:szCs w:val="1"/>
                <w:color w:val="auto"/>
              </w:rPr>
            </w:pPr>
          </w:p>
        </w:tc>
      </w:tr>
      <w:tr>
        <w:trPr>
          <w:trHeight w:val="348"/>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9.09. Governing Law; Jurisdiction; Etc</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147</w:t>
            </w:r>
          </w:p>
        </w:tc>
        <w:tc>
          <w:tcPr>
            <w:tcW w:w="0" w:type="dxa"/>
            <w:vAlign w:val="bottom"/>
          </w:tcPr>
          <w:p>
            <w:pPr>
              <w:spacing w:after="0"/>
              <w:rPr>
                <w:sz w:val="1"/>
                <w:szCs w:val="1"/>
                <w:color w:val="auto"/>
              </w:rPr>
            </w:pPr>
          </w:p>
        </w:tc>
      </w:tr>
      <w:tr>
        <w:trPr>
          <w:trHeight w:val="348"/>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9.10. WAIVER OF JURY TRIAL</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148</w:t>
            </w:r>
          </w:p>
        </w:tc>
        <w:tc>
          <w:tcPr>
            <w:tcW w:w="0" w:type="dxa"/>
            <w:vAlign w:val="bottom"/>
          </w:tcPr>
          <w:p>
            <w:pPr>
              <w:spacing w:after="0"/>
              <w:rPr>
                <w:sz w:val="1"/>
                <w:szCs w:val="1"/>
                <w:color w:val="auto"/>
              </w:rPr>
            </w:pPr>
          </w:p>
        </w:tc>
      </w:tr>
      <w:tr>
        <w:trPr>
          <w:trHeight w:val="348"/>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9.11. Judgment Currency</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148</w:t>
            </w:r>
          </w:p>
        </w:tc>
        <w:tc>
          <w:tcPr>
            <w:tcW w:w="0" w:type="dxa"/>
            <w:vAlign w:val="bottom"/>
          </w:tcPr>
          <w:p>
            <w:pPr>
              <w:spacing w:after="0"/>
              <w:rPr>
                <w:sz w:val="1"/>
                <w:szCs w:val="1"/>
                <w:color w:val="auto"/>
              </w:rPr>
            </w:pPr>
          </w:p>
        </w:tc>
      </w:tr>
      <w:tr>
        <w:trPr>
          <w:trHeight w:val="348"/>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9.12. Headings</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149</w:t>
            </w:r>
          </w:p>
        </w:tc>
        <w:tc>
          <w:tcPr>
            <w:tcW w:w="0" w:type="dxa"/>
            <w:vAlign w:val="bottom"/>
          </w:tcPr>
          <w:p>
            <w:pPr>
              <w:spacing w:after="0"/>
              <w:rPr>
                <w:sz w:val="1"/>
                <w:szCs w:val="1"/>
                <w:color w:val="auto"/>
              </w:rPr>
            </w:pPr>
          </w:p>
        </w:tc>
      </w:tr>
      <w:tr>
        <w:trPr>
          <w:trHeight w:val="348"/>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9.13. Treatment of Certain Information; No Fiduciary Duty; Confidentiality.</w:t>
            </w:r>
          </w:p>
        </w:tc>
        <w:tc>
          <w:tcPr>
            <w:tcW w:w="1660" w:type="dxa"/>
            <w:vAlign w:val="bottom"/>
            <w:vMerge w:val="restart"/>
          </w:tcPr>
          <w:p>
            <w:pPr>
              <w:jc w:val="center"/>
              <w:ind w:left="1044"/>
              <w:spacing w:after="0"/>
              <w:rPr>
                <w:sz w:val="20"/>
                <w:szCs w:val="20"/>
                <w:color w:val="auto"/>
              </w:rPr>
            </w:pPr>
            <w:r>
              <w:rPr>
                <w:rFonts w:ascii="Times New Roman" w:cs="Times New Roman" w:eastAsia="Times New Roman" w:hAnsi="Times New Roman"/>
                <w:sz w:val="19"/>
                <w:szCs w:val="19"/>
                <w:color w:val="auto"/>
                <w:w w:val="98"/>
              </w:rPr>
              <w:t>149</w:t>
            </w:r>
          </w:p>
        </w:tc>
        <w:tc>
          <w:tcPr>
            <w:tcW w:w="0" w:type="dxa"/>
            <w:vAlign w:val="bottom"/>
          </w:tcPr>
          <w:p>
            <w:pPr>
              <w:spacing w:after="0"/>
              <w:rPr>
                <w:sz w:val="1"/>
                <w:szCs w:val="1"/>
                <w:color w:val="auto"/>
              </w:rPr>
            </w:pPr>
          </w:p>
        </w:tc>
      </w:tr>
      <w:tr>
        <w:trPr>
          <w:trHeight w:val="108"/>
        </w:trPr>
        <w:tc>
          <w:tcPr>
            <w:tcW w:w="89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8"/>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9.14. USA PATRIOT Act</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150</w:t>
            </w:r>
          </w:p>
        </w:tc>
        <w:tc>
          <w:tcPr>
            <w:tcW w:w="0" w:type="dxa"/>
            <w:vAlign w:val="bottom"/>
          </w:tcPr>
          <w:p>
            <w:pPr>
              <w:spacing w:after="0"/>
              <w:rPr>
                <w:sz w:val="1"/>
                <w:szCs w:val="1"/>
                <w:color w:val="auto"/>
              </w:rPr>
            </w:pPr>
          </w:p>
        </w:tc>
      </w:tr>
      <w:tr>
        <w:trPr>
          <w:trHeight w:val="348"/>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9.15. Effect of Amendment and Restatement of the Existing Agreement</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150</w:t>
            </w:r>
          </w:p>
        </w:tc>
        <w:tc>
          <w:tcPr>
            <w:tcW w:w="0" w:type="dxa"/>
            <w:vAlign w:val="bottom"/>
          </w:tcPr>
          <w:p>
            <w:pPr>
              <w:spacing w:after="0"/>
              <w:rPr>
                <w:sz w:val="1"/>
                <w:szCs w:val="1"/>
                <w:color w:val="auto"/>
              </w:rPr>
            </w:pPr>
          </w:p>
        </w:tc>
      </w:tr>
      <w:tr>
        <w:trPr>
          <w:trHeight w:val="348"/>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9.16. Acknowledgement and Consent to Bail-In of Affected Financial Institutions</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151</w:t>
            </w:r>
          </w:p>
        </w:tc>
        <w:tc>
          <w:tcPr>
            <w:tcW w:w="0" w:type="dxa"/>
            <w:vAlign w:val="bottom"/>
          </w:tcPr>
          <w:p>
            <w:pPr>
              <w:spacing w:after="0"/>
              <w:rPr>
                <w:sz w:val="1"/>
                <w:szCs w:val="1"/>
                <w:color w:val="auto"/>
              </w:rPr>
            </w:pPr>
          </w:p>
        </w:tc>
      </w:tr>
      <w:tr>
        <w:trPr>
          <w:trHeight w:val="348"/>
        </w:trPr>
        <w:tc>
          <w:tcPr>
            <w:tcW w:w="89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SECTION 9.17. Acknowledgement Regarding Any Supported QFCs</w:t>
            </w:r>
          </w:p>
        </w:tc>
        <w:tc>
          <w:tcPr>
            <w:tcW w:w="16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w w:val="98"/>
              </w:rPr>
              <w:t>151</w:t>
            </w:r>
          </w:p>
        </w:tc>
        <w:tc>
          <w:tcPr>
            <w:tcW w:w="0" w:type="dxa"/>
            <w:vAlign w:val="bottom"/>
          </w:tcPr>
          <w:p>
            <w:pPr>
              <w:spacing w:after="0"/>
              <w:rPr>
                <w:sz w:val="1"/>
                <w:szCs w:val="1"/>
                <w:color w:val="auto"/>
              </w:rPr>
            </w:pPr>
          </w:p>
        </w:tc>
      </w:tr>
      <w:tr>
        <w:trPr>
          <w:trHeight w:val="363"/>
        </w:trPr>
        <w:tc>
          <w:tcPr>
            <w:tcW w:w="8900" w:type="dxa"/>
            <w:vAlign w:val="bottom"/>
          </w:tcPr>
          <w:p>
            <w:pPr>
              <w:ind w:left="5160"/>
              <w:spacing w:after="0"/>
              <w:rPr>
                <w:sz w:val="20"/>
                <w:szCs w:val="20"/>
                <w:color w:val="auto"/>
              </w:rPr>
            </w:pPr>
            <w:r>
              <w:rPr>
                <w:rFonts w:ascii="Times New Roman" w:cs="Times New Roman" w:eastAsia="Times New Roman" w:hAnsi="Times New Roman"/>
                <w:sz w:val="19"/>
                <w:szCs w:val="19"/>
                <w:color w:val="auto"/>
              </w:rPr>
              <w:t>-iv-</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900" w:type="dxa"/>
            <w:vAlign w:val="bottom"/>
          </w:tcPr>
          <w:p>
            <w:pPr>
              <w:spacing w:after="0"/>
              <w:rPr>
                <w:sz w:val="20"/>
                <w:szCs w:val="20"/>
                <w:color w:val="auto"/>
              </w:rPr>
            </w:pPr>
            <w:r>
              <w:rPr>
                <w:rFonts w:ascii="Times New Roman" w:cs="Times New Roman" w:eastAsia="Times New Roman" w:hAnsi="Times New Roman"/>
                <w:sz w:val="13"/>
                <w:szCs w:val="13"/>
                <w:color w:val="auto"/>
              </w:rPr>
              <w:t>748401849 11262547</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4"/>
        </w:trPr>
        <w:tc>
          <w:tcPr>
            <w:tcW w:w="8900" w:type="dxa"/>
            <w:vAlign w:val="bottom"/>
            <w:tcBorders>
              <w:bottom w:val="single" w:sz="8" w:color="EEEEEE"/>
            </w:tcBorders>
          </w:tcPr>
          <w:p>
            <w:pPr>
              <w:spacing w:after="0"/>
              <w:rPr>
                <w:sz w:val="24"/>
                <w:szCs w:val="24"/>
                <w:color w:val="auto"/>
              </w:rPr>
            </w:pPr>
          </w:p>
        </w:tc>
        <w:tc>
          <w:tcPr>
            <w:tcW w:w="16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200"/>
        <w:spacing w:after="0" w:line="262" w:lineRule="auto"/>
        <w:rPr>
          <w:sz w:val="20"/>
          <w:szCs w:val="20"/>
          <w:color w:val="auto"/>
        </w:rPr>
      </w:pPr>
      <w:r>
        <w:rPr>
          <w:rFonts w:ascii="Times New Roman" w:cs="Times New Roman" w:eastAsia="Times New Roman" w:hAnsi="Times New Roman"/>
          <w:sz w:val="19"/>
          <w:szCs w:val="19"/>
          <w:color w:val="auto"/>
        </w:rPr>
        <w:t>SCHEDULE 1.01(a) - Approved Dealers and Approved Pricing Services SCHEDULE 1.01(b) - Commitments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1.01(c) - Industry Classification Group List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3.11 - Material Agreements and Liens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3.12(a) - Subsidiaries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3.12(b) - Investments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6.08 - Transactions with Affiliates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A - Form of Assignment and Assumption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B - Form of Borrowing Base Certificate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C - Form of Borrowing Request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748401849 11262547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692150</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90" w:name="page91"/>
    <w:bookmarkEnd w:id="90"/>
    <w:p>
      <w:pPr>
        <w:spacing w:after="0" w:line="269" w:lineRule="exact"/>
        <w:rPr>
          <w:sz w:val="20"/>
          <w:szCs w:val="20"/>
          <w:color w:val="auto"/>
        </w:rPr>
      </w:pPr>
    </w:p>
    <w:p>
      <w:pPr>
        <w:ind w:right="200" w:firstLine="1404"/>
        <w:spacing w:after="0" w:line="262" w:lineRule="auto"/>
        <w:rPr>
          <w:sz w:val="20"/>
          <w:szCs w:val="20"/>
          <w:color w:val="auto"/>
        </w:rPr>
      </w:pPr>
      <w:r>
        <w:rPr>
          <w:rFonts w:ascii="Times New Roman" w:cs="Times New Roman" w:eastAsia="Times New Roman" w:hAnsi="Times New Roman"/>
          <w:sz w:val="19"/>
          <w:szCs w:val="19"/>
          <w:color w:val="auto"/>
        </w:rPr>
        <w:t>SECOND AMENDED AND RESTATED SENIOR SECURED REVOLVING CREDIT AGREEMENT dated as of June 25, 2014 (as amended, restated, supplemented or otherwise modified from time to time,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among PENNANTPARK INVESTMENT CORPORATION, a Maryland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the LENDERS party hereto, and TRUIST BANK, as Administrative Agent.</w:t>
      </w:r>
    </w:p>
    <w:p>
      <w:pPr>
        <w:spacing w:after="0" w:line="150" w:lineRule="exact"/>
        <w:rPr>
          <w:sz w:val="20"/>
          <w:szCs w:val="20"/>
          <w:color w:val="auto"/>
        </w:rPr>
      </w:pPr>
    </w:p>
    <w:p>
      <w:pPr>
        <w:ind w:right="60" w:firstLine="1404"/>
        <w:spacing w:after="0" w:line="259" w:lineRule="auto"/>
        <w:rPr>
          <w:sz w:val="20"/>
          <w:szCs w:val="20"/>
          <w:color w:val="auto"/>
        </w:rPr>
      </w:pPr>
      <w:r>
        <w:rPr>
          <w:rFonts w:ascii="Times New Roman" w:cs="Times New Roman" w:eastAsia="Times New Roman" w:hAnsi="Times New Roman"/>
          <w:sz w:val="19"/>
          <w:szCs w:val="19"/>
          <w:color w:val="auto"/>
        </w:rPr>
        <w:t>Pursuant to the Amended and Restated Senior Secured Revolving Credit Agreement dated as of February 21, 2012 (as amended, supplemented or otherwise modified prior to the Effective Date, the “</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xml:space="preserve">”), among the Borrower, the lenders party thereto (collectively, the “ </w:t>
      </w:r>
      <w:r>
        <w:rPr>
          <w:rFonts w:ascii="Times New Roman" w:cs="Times New Roman" w:eastAsia="Times New Roman" w:hAnsi="Times New Roman"/>
          <w:sz w:val="19"/>
          <w:szCs w:val="19"/>
          <w:u w:val="single" w:color="auto"/>
          <w:color w:val="auto"/>
        </w:rPr>
        <w:t>Existing Lenders</w:t>
      </w:r>
      <w:r>
        <w:rPr>
          <w:rFonts w:ascii="Times New Roman" w:cs="Times New Roman" w:eastAsia="Times New Roman" w:hAnsi="Times New Roman"/>
          <w:sz w:val="19"/>
          <w:szCs w:val="19"/>
          <w:color w:val="auto"/>
        </w:rPr>
        <w:t>”) and the Administrative Agent, the Existing Lenders agreed to make extensions of credit to the Borrower on the terms and conditions set forth therein, including making loans (the “</w:t>
      </w:r>
      <w:r>
        <w:rPr>
          <w:rFonts w:ascii="Times New Roman" w:cs="Times New Roman" w:eastAsia="Times New Roman" w:hAnsi="Times New Roman"/>
          <w:sz w:val="19"/>
          <w:szCs w:val="19"/>
          <w:u w:val="single" w:color="auto"/>
          <w:color w:val="auto"/>
        </w:rPr>
        <w:t>Existing Loans</w:t>
      </w:r>
      <w:r>
        <w:rPr>
          <w:rFonts w:ascii="Times New Roman" w:cs="Times New Roman" w:eastAsia="Times New Roman" w:hAnsi="Times New Roman"/>
          <w:sz w:val="19"/>
          <w:szCs w:val="19"/>
          <w:color w:val="auto"/>
        </w:rPr>
        <w:t>”) to the Borrower.</w:t>
      </w:r>
    </w:p>
    <w:p>
      <w:pPr>
        <w:spacing w:after="0" w:line="154" w:lineRule="exact"/>
        <w:rPr>
          <w:sz w:val="20"/>
          <w:szCs w:val="20"/>
          <w:color w:val="auto"/>
        </w:rPr>
      </w:pPr>
    </w:p>
    <w:p>
      <w:pPr>
        <w:ind w:right="40" w:firstLine="1404"/>
        <w:spacing w:after="0" w:line="253" w:lineRule="auto"/>
        <w:rPr>
          <w:sz w:val="20"/>
          <w:szCs w:val="20"/>
          <w:color w:val="auto"/>
        </w:rPr>
      </w:pPr>
      <w:r>
        <w:rPr>
          <w:rFonts w:ascii="Times New Roman" w:cs="Times New Roman" w:eastAsia="Times New Roman" w:hAnsi="Times New Roman"/>
          <w:sz w:val="19"/>
          <w:szCs w:val="19"/>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395" w:lineRule="exact"/>
        <w:rPr>
          <w:sz w:val="20"/>
          <w:szCs w:val="20"/>
          <w:color w:val="auto"/>
        </w:rPr>
      </w:pPr>
    </w:p>
    <w:p>
      <w:pPr>
        <w:ind w:right="820" w:firstLine="1404"/>
        <w:spacing w:after="0" w:line="286" w:lineRule="auto"/>
        <w:rPr>
          <w:sz w:val="20"/>
          <w:szCs w:val="20"/>
          <w:color w:val="auto"/>
        </w:rPr>
      </w:pPr>
      <w:r>
        <w:rPr>
          <w:rFonts w:ascii="Times New Roman" w:cs="Times New Roman" w:eastAsia="Times New Roman" w:hAnsi="Times New Roman"/>
          <w:sz w:val="19"/>
          <w:szCs w:val="19"/>
          <w:color w:val="auto"/>
        </w:rPr>
        <w:t>The parties hereto hereby agree to amend and restate the Existing Credit Agreement, and the Existing Credit Agreement is hereby amended and restated in its entirety as follows: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w:t>
      </w:r>
    </w:p>
    <w:p>
      <w:pPr>
        <w:spacing w:after="0" w:line="23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9"/>
          <w:szCs w:val="19"/>
          <w:u w:val="single" w:color="auto"/>
          <w:color w:val="auto"/>
        </w:rPr>
        <w:t>DEFINITIONS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1.01. </w:t>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Agreement, the following terms have the meanings specified below:</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2026 May Notes</w:t>
      </w:r>
      <w:r>
        <w:rPr>
          <w:rFonts w:ascii="Times New Roman" w:cs="Times New Roman" w:eastAsia="Times New Roman" w:hAnsi="Times New Roman"/>
          <w:sz w:val="19"/>
          <w:szCs w:val="19"/>
          <w:color w:val="auto"/>
        </w:rPr>
        <w:t>” means the Borrower’s 4.50% unsecured notes due May 1, 2026.</w:t>
      </w:r>
    </w:p>
    <w:p>
      <w:pPr>
        <w:spacing w:after="0" w:line="20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2026 November Notes</w:t>
      </w:r>
      <w:r>
        <w:rPr>
          <w:rFonts w:ascii="Times New Roman" w:cs="Times New Roman" w:eastAsia="Times New Roman" w:hAnsi="Times New Roman"/>
          <w:sz w:val="19"/>
          <w:szCs w:val="19"/>
          <w:color w:val="auto"/>
        </w:rPr>
        <w:t>” means the Borrower’s 4.00% unsecured notes due November 1, 2026.</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 xml:space="preserve">DOCVARIABLE #DNDocID \* MERGEFORMAT 767336613 </w:t>
      </w:r>
      <w:r>
        <w:rPr>
          <w:rFonts w:ascii="Times New Roman" w:cs="Times New Roman" w:eastAsia="Times New Roman" w:hAnsi="Times New Roman"/>
          <w:sz w:val="15"/>
          <w:szCs w:val="15"/>
          <w:i w:val="1"/>
          <w:iCs w:val="1"/>
          <w:color w:val="auto"/>
        </w:rPr>
        <w:t>Second Amended and Restated</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1" w:name="page92"/>
    <w:bookmarkEnd w:id="91"/>
    <w:p>
      <w:pPr>
        <w:spacing w:after="0" w:line="269" w:lineRule="exact"/>
        <w:rPr>
          <w:sz w:val="20"/>
          <w:szCs w:val="20"/>
          <w:color w:val="auto"/>
        </w:rPr>
      </w:pPr>
    </w:p>
    <w:p>
      <w:pPr>
        <w:jc w:val="both"/>
        <w:ind w:right="2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ABR</w:t>
      </w:r>
      <w:r>
        <w:rPr>
          <w:rFonts w:ascii="Times New Roman" w:cs="Times New Roman" w:eastAsia="Times New Roman" w:hAnsi="Times New Roman"/>
          <w:sz w:val="19"/>
          <w:szCs w:val="19"/>
          <w:color w:val="auto"/>
        </w:rPr>
        <w:t>”, when used in reference to any Loan or Borrowing, refers to whether such Loan is, or the Loans constituting such Borrowing are, denominated in Dollars and bearing interest at a rate determined by reference to the Alternate Base Rate.</w:t>
      </w:r>
    </w:p>
    <w:p>
      <w:pPr>
        <w:spacing w:after="0" w:line="127" w:lineRule="exact"/>
        <w:rPr>
          <w:sz w:val="20"/>
          <w:szCs w:val="20"/>
          <w:color w:val="auto"/>
        </w:rPr>
      </w:pPr>
    </w:p>
    <w:p>
      <w:pPr>
        <w:jc w:val="both"/>
        <w:ind w:right="26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Borrowing Base</w:t>
      </w:r>
      <w:r>
        <w:rPr>
          <w:rFonts w:ascii="Times New Roman" w:cs="Times New Roman" w:eastAsia="Times New Roman" w:hAnsi="Times New Roman"/>
          <w:sz w:val="19"/>
          <w:szCs w:val="19"/>
          <w:color w:val="auto"/>
        </w:rPr>
        <w:t xml:space="preserve">” means the Borrowing Base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44" w:lineRule="exact"/>
        <w:rPr>
          <w:sz w:val="20"/>
          <w:szCs w:val="20"/>
          <w:color w:val="auto"/>
        </w:rPr>
      </w:pPr>
    </w:p>
    <w:p>
      <w:pPr>
        <w:ind w:right="26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Covered Debt Balance</w:t>
      </w:r>
      <w:r>
        <w:rPr>
          <w:rFonts w:ascii="Times New Roman" w:cs="Times New Roman" w:eastAsia="Times New Roman" w:hAnsi="Times New Roman"/>
          <w:sz w:val="19"/>
          <w:szCs w:val="19"/>
          <w:color w:val="auto"/>
        </w:rPr>
        <w:t xml:space="preserve">” means, on any date, the aggregate Covered Debt Amount on such date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44" w:lineRule="exact"/>
        <w:rPr>
          <w:sz w:val="20"/>
          <w:szCs w:val="20"/>
          <w:color w:val="auto"/>
        </w:rPr>
      </w:pPr>
    </w:p>
    <w:p>
      <w:pPr>
        <w:ind w:right="60" w:firstLine="140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Term Benchmark Rate</w:t>
      </w:r>
      <w:r>
        <w:rPr>
          <w:rFonts w:ascii="Times New Roman" w:cs="Times New Roman" w:eastAsia="Times New Roman" w:hAnsi="Times New Roman"/>
          <w:sz w:val="19"/>
          <w:szCs w:val="19"/>
          <w:color w:val="auto"/>
        </w:rPr>
        <w:t xml:space="preserve">” means (a) for the Interest Period for any Term Benchmark Borrowing denominated in Euros, an interest rate per annum (rounded upwards, if necessary, to the next 1/16 of 1%) equal to (i) the Term Benchmark Rate for such Interest Period for such Currency </w:t>
      </w:r>
      <w:r>
        <w:rPr>
          <w:rFonts w:ascii="Times New Roman" w:cs="Times New Roman" w:eastAsia="Times New Roman" w:hAnsi="Times New Roman"/>
          <w:sz w:val="19"/>
          <w:szCs w:val="19"/>
          <w:u w:val="single" w:color="auto"/>
          <w:color w:val="auto"/>
        </w:rPr>
        <w:t>multiplied by</w:t>
      </w:r>
      <w:r>
        <w:rPr>
          <w:rFonts w:ascii="Times New Roman" w:cs="Times New Roman" w:eastAsia="Times New Roman" w:hAnsi="Times New Roman"/>
          <w:sz w:val="19"/>
          <w:szCs w:val="19"/>
          <w:color w:val="auto"/>
        </w:rPr>
        <w:t xml:space="preserve"> (ii) the Statutory Reserve Rate for such Interest Period and (b) for the Interest Period for any Term Benchmark Borrowing denominated in a Currency (other than Euros) an interest rate per annum (rounded upwards, if necessary, to the next 1/16 of 1%) equal to the Term Benchmark Rate for such Interest Period for such Currency; provided that if the Adjusted Term Benchmark Rate shall be less than zero, such rate shall be deemed to be zero for the purposes of this Agreement.</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means Truist, in its capacity as administrative agent for the Lenders hereunder.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 Appraisal Testing Month</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5.12(b)(ii)(E)(y)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6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Agent’s Account</w:t>
      </w:r>
      <w:r>
        <w:rPr>
          <w:rFonts w:ascii="Times New Roman" w:cs="Times New Roman" w:eastAsia="Times New Roman" w:hAnsi="Times New Roman"/>
          <w:sz w:val="19"/>
          <w:szCs w:val="19"/>
          <w:color w:val="auto"/>
        </w:rPr>
        <w:t>” means, for each Currency, an account in respect of such Currency designated by the Administrative Agent in a notice to the Borrower and the Lenders.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Questionnaire</w:t>
      </w:r>
      <w:r>
        <w:rPr>
          <w:rFonts w:ascii="Times New Roman" w:cs="Times New Roman" w:eastAsia="Times New Roman" w:hAnsi="Times New Roman"/>
          <w:sz w:val="19"/>
          <w:szCs w:val="19"/>
          <w:color w:val="auto"/>
        </w:rPr>
        <w:t>” means an administrative questionnaire in a form supplied by the Administrative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Agent.</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Advance Rate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Affected Currency</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Affected Financial Institution</w:t>
      </w:r>
      <w:r>
        <w:rPr>
          <w:rFonts w:ascii="Times New Roman" w:cs="Times New Roman" w:eastAsia="Times New Roman" w:hAnsi="Times New Roman"/>
          <w:sz w:val="19"/>
          <w:szCs w:val="19"/>
          <w:color w:val="auto"/>
        </w:rPr>
        <w:t>” means (a) any EEA Financial Institution or (b) any UK Financial Institution.</w:t>
      </w:r>
    </w:p>
    <w:p>
      <w:pPr>
        <w:spacing w:after="0" w:line="202" w:lineRule="exact"/>
        <w:rPr>
          <w:sz w:val="20"/>
          <w:szCs w:val="20"/>
          <w:color w:val="auto"/>
        </w:rPr>
      </w:pPr>
    </w:p>
    <w:p>
      <w:pPr>
        <w:ind w:right="26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w:t>
      </w:r>
    </w:p>
    <w:p>
      <w:pPr>
        <w:spacing w:after="0" w:line="1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2" w:name="page93"/>
    <w:bookmarkEnd w:id="92"/>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“Affiliate” shall not include any Person that constitutes an Investment held by any Obligor in the ordinary course of business.</w:t>
      </w:r>
    </w:p>
    <w:p>
      <w:pPr>
        <w:spacing w:after="0" w:line="202" w:lineRule="exact"/>
        <w:rPr>
          <w:sz w:val="20"/>
          <w:szCs w:val="20"/>
          <w:color w:val="auto"/>
        </w:rPr>
      </w:pPr>
    </w:p>
    <w:p>
      <w:pPr>
        <w:ind w:right="40"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 Agreements</w:t>
      </w:r>
      <w:r>
        <w:rPr>
          <w:rFonts w:ascii="Times New Roman" w:cs="Times New Roman" w:eastAsia="Times New Roman" w:hAnsi="Times New Roman"/>
          <w:sz w:val="19"/>
          <w:szCs w:val="19"/>
          <w:color w:val="auto"/>
        </w:rPr>
        <w:t>” means, collectively, (a) the Administration Agreement dated June 11, 2010 by and among the Borrower, PennantPark SBIC LP and PennantPark SBIC GP, LLC, (b) the Investment Advisory Agreement dated June 11, 2010 by and among the Borrower, PennantPark SBIC LP and PennantPark SBIC GP, LLC, (c) the Investment Advisory Management Agreement dated as of April 17, 2007, between the Borrower and Pennant Investment Advisers, LLC, (d) the Administration Agreement dated as of April 17, 2007, between the Borrower and PennantPark Investment Administration, LLC, (e) the Trademark License Agreement dated as of April 15, 2007, between the Borrower and Pennant Investment Advisers, LLC, (f) the Administration Agreement, dated December 28, 2012, by and among the Borrower, PennantPark SBIC II LP and PennantPark SBIC GP II, LLC and (g) the Investment Advisory Agreement, dated December 28, 2012, by and among the Borrower, PennantPark SBIC II LP and PennantPark SBIC GP II, LLC.</w:t>
      </w:r>
    </w:p>
    <w:p>
      <w:pPr>
        <w:spacing w:after="0" w:line="160"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Agreed Foreign Currency</w:t>
      </w:r>
      <w:r>
        <w:rPr>
          <w:rFonts w:ascii="Times New Roman" w:cs="Times New Roman" w:eastAsia="Times New Roman" w:hAnsi="Times New Roman"/>
          <w:sz w:val="19"/>
          <w:szCs w:val="19"/>
          <w:color w:val="auto"/>
        </w:rPr>
        <w:t>” means, at any time, (i) any of Canadian Dollars, Sterling, Euros, Australian Dollars, Swiss Francs and Swedish Krona, and (ii) with the agreement of each Multicurrency Lender, any other Foreign 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and (c)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xml:space="preserve">” has the meaning assigned to such term in the </w:t>
      </w:r>
      <w:r>
        <w:rPr>
          <w:rFonts w:ascii="Times New Roman" w:cs="Times New Roman" w:eastAsia="Times New Roman" w:hAnsi="Times New Roman"/>
          <w:sz w:val="19"/>
          <w:szCs w:val="19"/>
          <w:u w:val="single" w:color="auto"/>
          <w:color w:val="auto"/>
        </w:rPr>
        <w:t>preamble</w:t>
      </w:r>
      <w:r>
        <w:rPr>
          <w:rFonts w:ascii="Times New Roman" w:cs="Times New Roman" w:eastAsia="Times New Roman" w:hAnsi="Times New Roman"/>
          <w:sz w:val="19"/>
          <w:szCs w:val="19"/>
          <w:color w:val="auto"/>
        </w:rPr>
        <w:t xml:space="preserve"> to this Agreement</w:t>
      </w:r>
    </w:p>
    <w:p>
      <w:pPr>
        <w:spacing w:after="0" w:line="202"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Alternate Base Rate</w:t>
      </w:r>
      <w:r>
        <w:rPr>
          <w:rFonts w:ascii="Times New Roman" w:cs="Times New Roman" w:eastAsia="Times New Roman" w:hAnsi="Times New Roman"/>
          <w:sz w:val="19"/>
          <w:szCs w:val="19"/>
          <w:color w:val="auto"/>
        </w:rPr>
        <w:t xml:space="preserve">” means, for any day, a rate per annum equal to the greatest of (a) the Prime Rate in effect on such day, (b) the Federal Funds Effective Rate for such day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1/2 of 1%, (c) the rate per annum equal to (x) the greater of (A) Term SOFR for an interest period of one (1) month and (B) zero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(y) 1.00% and (d) zero. Any change in the Alternate Base Rate due to a change in the Prime Rate, the Federal Funds Effective Rate or Term SOFR (or successor therefor) as set forth above shall be effective from and including the effective date of such change in the Prime Rate, the Federal Funds Effective Rate or Term SOFR (or successor therefor), respectively.</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3.16</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38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Dollar Percentage</w:t>
      </w:r>
      <w:r>
        <w:rPr>
          <w:rFonts w:ascii="Times New Roman" w:cs="Times New Roman" w:eastAsia="Times New Roman" w:hAnsi="Times New Roman"/>
          <w:sz w:val="19"/>
          <w:szCs w:val="19"/>
          <w:color w:val="auto"/>
        </w:rPr>
        <w:t xml:space="preserve">”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on and after the</w:t>
      </w:r>
    </w:p>
    <w:p>
      <w:pPr>
        <w:spacing w:after="0" w:line="14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3" w:name="page94"/>
    <w:bookmarkEnd w:id="93"/>
    <w:p>
      <w:pPr>
        <w:spacing w:after="0" w:line="26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color w:val="auto"/>
        </w:rPr>
        <w:t>Non-Extended Commitment Termination Date for any Non-Extending Lender, the Applicable Dollar Percentage of such Non-Extending Lender that is a Dollar Lender shall be 0%.</w:t>
      </w:r>
    </w:p>
    <w:p>
      <w:pPr>
        <w:spacing w:after="0" w:line="127" w:lineRule="exact"/>
        <w:rPr>
          <w:sz w:val="20"/>
          <w:szCs w:val="20"/>
          <w:color w:val="auto"/>
        </w:rPr>
      </w:pPr>
    </w:p>
    <w:p>
      <w:pPr>
        <w:ind w:right="6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Financial Statements</w:t>
      </w:r>
      <w:r>
        <w:rPr>
          <w:rFonts w:ascii="Times New Roman" w:cs="Times New Roman" w:eastAsia="Times New Roman" w:hAnsi="Times New Roman"/>
          <w:sz w:val="19"/>
          <w:szCs w:val="19"/>
          <w:color w:val="auto"/>
        </w:rPr>
        <w:t xml:space="preserve">” means, as at any date, the most-recent audited financial statements of the Borrower delivered to the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immediately prior to the delivery to the Lenders of new audited financial statements of the Borrower a Material Adverse Change (the “ </w:t>
      </w:r>
      <w:r>
        <w:rPr>
          <w:rFonts w:ascii="Times New Roman" w:cs="Times New Roman" w:eastAsia="Times New Roman" w:hAnsi="Times New Roman"/>
          <w:sz w:val="19"/>
          <w:szCs w:val="19"/>
          <w:u w:val="single" w:color="auto"/>
          <w:color w:val="auto"/>
        </w:rPr>
        <w:t>Pre-existing MAC</w:t>
      </w:r>
      <w:r>
        <w:rPr>
          <w:rFonts w:ascii="Times New Roman" w:cs="Times New Roman" w:eastAsia="Times New Roman" w:hAnsi="Times New Roman"/>
          <w:sz w:val="19"/>
          <w:szCs w:val="19"/>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54" w:lineRule="exact"/>
        <w:rPr>
          <w:sz w:val="20"/>
          <w:szCs w:val="20"/>
          <w:color w:val="auto"/>
        </w:rPr>
      </w:pPr>
    </w:p>
    <w:p>
      <w:pPr>
        <w:ind w:right="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Margin</w:t>
      </w:r>
      <w:r>
        <w:rPr>
          <w:rFonts w:ascii="Times New Roman" w:cs="Times New Roman" w:eastAsia="Times New Roman" w:hAnsi="Times New Roman"/>
          <w:sz w:val="19"/>
          <w:szCs w:val="19"/>
          <w:color w:val="auto"/>
        </w:rPr>
        <w:t>” means (i) in the case of any Extending Lender, the Extending Lender Applicable Margin and (ii) in the case of any Non-Extending Lender, the Non-Extending Lender Applicable Margin for such Non-Extending Lender.</w:t>
      </w:r>
    </w:p>
    <w:p>
      <w:pPr>
        <w:spacing w:after="0" w:line="127" w:lineRule="exact"/>
        <w:rPr>
          <w:sz w:val="20"/>
          <w:szCs w:val="20"/>
          <w:color w:val="auto"/>
        </w:rPr>
      </w:pPr>
    </w:p>
    <w:p>
      <w:pPr>
        <w:ind w:right="120" w:firstLine="140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Multicurrency Percentage</w:t>
      </w:r>
      <w:r>
        <w:rPr>
          <w:rFonts w:ascii="Times New Roman" w:cs="Times New Roman" w:eastAsia="Times New Roman" w:hAnsi="Times New Roman"/>
          <w:sz w:val="19"/>
          <w:szCs w:val="19"/>
          <w:color w:val="auto"/>
        </w:rPr>
        <w:t xml:space="preserve">”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on and after the Non-Extended Commitment Termination Date for any Non-Extending Lender, the Applicable Multicurrency Percentage of such Non-Extending Lender that is a Multicurrency Lender shall be 0%.</w:t>
      </w:r>
    </w:p>
    <w:p>
      <w:pPr>
        <w:spacing w:after="0" w:line="157" w:lineRule="exact"/>
        <w:rPr>
          <w:sz w:val="20"/>
          <w:szCs w:val="20"/>
          <w:color w:val="auto"/>
        </w:rPr>
      </w:pPr>
    </w:p>
    <w:p>
      <w:pPr>
        <w:ind w:right="14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Percentage</w:t>
      </w:r>
      <w:r>
        <w:rPr>
          <w:rFonts w:ascii="Times New Roman" w:cs="Times New Roman" w:eastAsia="Times New Roman" w:hAnsi="Times New Roman"/>
          <w:sz w:val="19"/>
          <w:szCs w:val="19"/>
          <w:color w:val="auto"/>
        </w:rPr>
        <w:t xml:space="preserve">” means, with respect to any Lender, the percentage of the total Commitments represented by such Lender’s Commitments. If the Commitments have terminated or expired, the Applicable Percentages shall be determined based upon the Commitments most recently in effect, giving effect to any assignments;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on and after the Non-Extended Commitment Termination Date for any Non-Extending Lender, the Applicable Percentage of such Non-Extending Lender shall be 0%.</w:t>
      </w:r>
    </w:p>
    <w:p>
      <w:pPr>
        <w:spacing w:after="0" w:line="154"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Dealer</w:t>
      </w:r>
      <w:r>
        <w:rPr>
          <w:rFonts w:ascii="Times New Roman" w:cs="Times New Roman" w:eastAsia="Times New Roman" w:hAnsi="Times New Roman"/>
          <w:sz w:val="19"/>
          <w:szCs w:val="19"/>
          <w:color w:val="auto"/>
        </w:rPr>
        <w:t xml:space="preserve">” means (a) in the case of any Portfolio Investment that is not a U.S. Government Security, a bank or a broker- dealer registered under the Securities Exchange Act of 1934 of nationally recognized standing or an Affiliate thereof, (b) in the case of a U.S. Government Security, any primary dealer in U.S. Government Securities, and (c) in the case of any foreign Portfolio Investment, any foreign broker-dealer of internationally recognized standing or an Affiliate thereof, in the case of each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above, as set forth on </w:t>
      </w:r>
      <w:r>
        <w:rPr>
          <w:rFonts w:ascii="Times New Roman" w:cs="Times New Roman" w:eastAsia="Times New Roman" w:hAnsi="Times New Roman"/>
          <w:sz w:val="19"/>
          <w:szCs w:val="19"/>
          <w:u w:val="single" w:color="auto"/>
          <w:color w:val="auto"/>
        </w:rPr>
        <w:t>Schedule 1.01(a)</w:t>
      </w:r>
      <w:r>
        <w:rPr>
          <w:rFonts w:ascii="Times New Roman" w:cs="Times New Roman" w:eastAsia="Times New Roman" w:hAnsi="Times New Roman"/>
          <w:sz w:val="19"/>
          <w:szCs w:val="19"/>
          <w:color w:val="auto"/>
        </w:rPr>
        <w:t xml:space="preserve"> or any other bank or broker-dealer acceptable to the Administrative Agent in its reasonable determination.</w:t>
      </w:r>
    </w:p>
    <w:p>
      <w:pPr>
        <w:spacing w:after="0" w:line="157" w:lineRule="exact"/>
        <w:rPr>
          <w:sz w:val="20"/>
          <w:szCs w:val="20"/>
          <w:color w:val="auto"/>
        </w:rPr>
      </w:pPr>
    </w:p>
    <w:p>
      <w:pPr>
        <w:ind w:right="16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Pricing Service</w:t>
      </w:r>
      <w:r>
        <w:rPr>
          <w:rFonts w:ascii="Times New Roman" w:cs="Times New Roman" w:eastAsia="Times New Roman" w:hAnsi="Times New Roman"/>
          <w:sz w:val="19"/>
          <w:szCs w:val="19"/>
          <w:color w:val="auto"/>
        </w:rPr>
        <w:t xml:space="preserve">” means a pricing or quotation service as set forth in </w:t>
      </w:r>
      <w:r>
        <w:rPr>
          <w:rFonts w:ascii="Times New Roman" w:cs="Times New Roman" w:eastAsia="Times New Roman" w:hAnsi="Times New Roman"/>
          <w:sz w:val="19"/>
          <w:szCs w:val="19"/>
          <w:u w:val="single" w:color="auto"/>
          <w:color w:val="auto"/>
        </w:rPr>
        <w:t>Schedule 1.01(a)</w:t>
      </w:r>
      <w:r>
        <w:rPr>
          <w:rFonts w:ascii="Times New Roman" w:cs="Times New Roman" w:eastAsia="Times New Roman" w:hAnsi="Times New Roman"/>
          <w:sz w:val="19"/>
          <w:szCs w:val="19"/>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4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4" w:name="page95"/>
    <w:bookmarkEnd w:id="94"/>
    <w:p>
      <w:pPr>
        <w:spacing w:after="0" w:line="269" w:lineRule="exact"/>
        <w:rPr>
          <w:sz w:val="20"/>
          <w:szCs w:val="20"/>
          <w:color w:val="auto"/>
        </w:rPr>
      </w:pPr>
    </w:p>
    <w:p>
      <w:pPr>
        <w:ind w:right="60" w:firstLine="1404"/>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Third-Party Appraiser</w:t>
      </w:r>
      <w:r>
        <w:rPr>
          <w:rFonts w:ascii="Times New Roman" w:cs="Times New Roman" w:eastAsia="Times New Roman" w:hAnsi="Times New Roman"/>
          <w:sz w:val="19"/>
          <w:szCs w:val="19"/>
          <w:color w:val="auto"/>
        </w:rPr>
        <w:t xml:space="preserve">”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Duff &amp; Phelps LLC, Murray, Devine and Company, Lincoln International LLC and Valuation Research Corporation are acceptable to the Administrative Agent. As used in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60" w:lineRule="exact"/>
        <w:rPr>
          <w:sz w:val="20"/>
          <w:szCs w:val="20"/>
          <w:color w:val="auto"/>
        </w:rPr>
      </w:pPr>
    </w:p>
    <w:p>
      <w:pPr>
        <w:jc w:val="both"/>
        <w:ind w:right="6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Assignment and Assumption</w:t>
      </w:r>
      <w:r>
        <w:rPr>
          <w:rFonts w:ascii="Times New Roman" w:cs="Times New Roman" w:eastAsia="Times New Roman" w:hAnsi="Times New Roman"/>
          <w:sz w:val="19"/>
          <w:szCs w:val="19"/>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and accepted by the Administrative Agent,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(with adjustments thereto to reflect the Classes of Commitments and/or Loans being assigned or outstanding at the time of the respective assignment) or any other form approved by the Administrative Agent.</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Assuming Lender</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2.08(e)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Australian Dollars</w:t>
      </w:r>
      <w:r>
        <w:rPr>
          <w:rFonts w:ascii="Times New Roman" w:cs="Times New Roman" w:eastAsia="Times New Roman" w:hAnsi="Times New Roman"/>
          <w:sz w:val="19"/>
          <w:szCs w:val="19"/>
          <w:color w:val="auto"/>
        </w:rPr>
        <w:t>” means the lawful currency of The Commonwealth of Australia.</w:t>
      </w:r>
    </w:p>
    <w:p>
      <w:pPr>
        <w:spacing w:after="0" w:line="202" w:lineRule="exact"/>
        <w:rPr>
          <w:sz w:val="20"/>
          <w:szCs w:val="20"/>
          <w:color w:val="auto"/>
        </w:rPr>
      </w:pPr>
    </w:p>
    <w:p>
      <w:pPr>
        <w:ind w:right="40" w:firstLine="1404"/>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Tenor</w:t>
      </w:r>
      <w:r>
        <w:rPr>
          <w:rFonts w:ascii="Times New Roman" w:cs="Times New Roman" w:eastAsia="Times New Roman" w:hAnsi="Times New Roman"/>
          <w:sz w:val="19"/>
          <w:szCs w:val="19"/>
          <w:color w:val="auto"/>
        </w:rPr>
        <w:t xml:space="preserve">” means, as of any date of determination and with respect to the then-current Benchmark for any available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9"/>
          <w:szCs w:val="19"/>
          <w:u w:val="single" w:color="auto"/>
          <w:color w:val="auto"/>
        </w:rPr>
        <w:t>Section 2.22(d)</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right="6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Availability Period</w:t>
      </w:r>
      <w:r>
        <w:rPr>
          <w:rFonts w:ascii="Times New Roman" w:cs="Times New Roman" w:eastAsia="Times New Roman" w:hAnsi="Times New Roman"/>
          <w:sz w:val="19"/>
          <w:szCs w:val="19"/>
          <w:color w:val="auto"/>
        </w:rPr>
        <w:t>” means (a) in the case of any Extending Lender (with respect to such Extending Lender’s Extended Loans), the Extended Availability Period or (b) in the case of any Non-Extending Lender (with respect to such Non-Extending Lender’s Non-Extended Loans), the Non-Extended Availability Period for such Non-Extending Lender.</w:t>
      </w:r>
    </w:p>
    <w:p>
      <w:pPr>
        <w:spacing w:after="0" w:line="144" w:lineRule="exact"/>
        <w:rPr>
          <w:sz w:val="20"/>
          <w:szCs w:val="20"/>
          <w:color w:val="auto"/>
        </w:rPr>
      </w:pPr>
    </w:p>
    <w:p>
      <w:pPr>
        <w:ind w:right="7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Action</w:t>
      </w:r>
      <w:r>
        <w:rPr>
          <w:rFonts w:ascii="Times New Roman" w:cs="Times New Roman" w:eastAsia="Times New Roman" w:hAnsi="Times New Roman"/>
          <w:sz w:val="19"/>
          <w:szCs w:val="19"/>
          <w:color w:val="auto"/>
        </w:rPr>
        <w:t>” means the exercise of any Write-Down and Conversion Powers by the applicable Resolution Authority in respect of any liability of an Affected Financial Institution.</w:t>
      </w:r>
    </w:p>
    <w:p>
      <w:pPr>
        <w:spacing w:after="0" w:line="127" w:lineRule="exact"/>
        <w:rPr>
          <w:sz w:val="20"/>
          <w:szCs w:val="20"/>
          <w:color w:val="auto"/>
        </w:rPr>
      </w:pPr>
    </w:p>
    <w:p>
      <w:pPr>
        <w:ind w:right="2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Legislation</w:t>
      </w:r>
      <w:r>
        <w:rPr>
          <w:rFonts w:ascii="Times New Roman" w:cs="Times New Roman" w:eastAsia="Times New Roman" w:hAnsi="Times New Roman"/>
          <w:sz w:val="19"/>
          <w:szCs w:val="19"/>
          <w:color w:val="auto"/>
        </w:rPr>
        <w:t>” means (a) with respect to any EEA Member Country implementing Article 55 of Directive 2014/59/EU of the European Parliament and of the Council of the European Union, the implementing law, regulation rule or requirement for such EEA</w:t>
      </w:r>
    </w:p>
    <w:p>
      <w:pPr>
        <w:spacing w:after="0" w:line="1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5" w:name="page96"/>
    <w:bookmarkEnd w:id="95"/>
    <w:p>
      <w:pPr>
        <w:spacing w:after="0" w:line="2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Rate Term SOFR Determination Day</w:t>
      </w:r>
      <w:r>
        <w:rPr>
          <w:rFonts w:ascii="Times New Roman" w:cs="Times New Roman" w:eastAsia="Times New Roman" w:hAnsi="Times New Roman"/>
          <w:sz w:val="19"/>
          <w:szCs w:val="19"/>
          <w:color w:val="auto"/>
        </w:rPr>
        <w:t>” has the meaning set forth in the definition of “Term SOFR”.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BBSY</w:t>
      </w:r>
      <w:r>
        <w:rPr>
          <w:rFonts w:ascii="Times New Roman" w:cs="Times New Roman" w:eastAsia="Times New Roman" w:hAnsi="Times New Roman"/>
          <w:sz w:val="19"/>
          <w:szCs w:val="19"/>
          <w:color w:val="auto"/>
        </w:rPr>
        <w:t>” has the meaning assigned to such term in clause (d) of the definition of “Term Benchmark Rate”.</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BBSY Screen Rate</w:t>
      </w:r>
      <w:r>
        <w:rPr>
          <w:rFonts w:ascii="Times New Roman" w:cs="Times New Roman" w:eastAsia="Times New Roman" w:hAnsi="Times New Roman"/>
          <w:sz w:val="19"/>
          <w:szCs w:val="19"/>
          <w:color w:val="auto"/>
        </w:rPr>
        <w:t>” has the meaning assigned to such term in clause (d) of the definition of “Term Benchmark Rate”.</w:t>
      </w:r>
    </w:p>
    <w:p>
      <w:pPr>
        <w:spacing w:after="0" w:line="202" w:lineRule="exact"/>
        <w:rPr>
          <w:sz w:val="20"/>
          <w:szCs w:val="20"/>
          <w:color w:val="auto"/>
        </w:rPr>
      </w:pPr>
    </w:p>
    <w:p>
      <w:pPr>
        <w:ind w:right="8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Beneficial Ownership Certification</w:t>
      </w:r>
      <w:r>
        <w:rPr>
          <w:rFonts w:ascii="Times New Roman" w:cs="Times New Roman" w:eastAsia="Times New Roman" w:hAnsi="Times New Roman"/>
          <w:sz w:val="19"/>
          <w:szCs w:val="19"/>
          <w:color w:val="auto"/>
        </w:rPr>
        <w:t>” means a certification regarding beneficial ownership as required by the Beneficial Ownership Regulation.</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Beneficial Ownership Regulation</w:t>
      </w:r>
      <w:r>
        <w:rPr>
          <w:rFonts w:ascii="Times New Roman" w:cs="Times New Roman" w:eastAsia="Times New Roman" w:hAnsi="Times New Roman"/>
          <w:sz w:val="19"/>
          <w:szCs w:val="19"/>
          <w:color w:val="auto"/>
        </w:rPr>
        <w:t>” means 31 C.F.R. § 1010.230.</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w:t>
      </w:r>
      <w:r>
        <w:rPr>
          <w:rFonts w:ascii="Times New Roman" w:cs="Times New Roman" w:eastAsia="Times New Roman" w:hAnsi="Times New Roman"/>
          <w:sz w:val="19"/>
          <w:szCs w:val="19"/>
          <w:color w:val="auto"/>
        </w:rPr>
        <w:t>” means, initially, with respect to any Loans denominated in (a) Dollars, the Term SOFR Reference Rate,</w:t>
      </w:r>
    </w:p>
    <w:p>
      <w:pPr>
        <w:spacing w:after="0" w:line="32" w:lineRule="exact"/>
        <w:rPr>
          <w:sz w:val="20"/>
          <w:szCs w:val="20"/>
          <w:color w:val="auto"/>
        </w:rPr>
      </w:pPr>
    </w:p>
    <w:p>
      <w:pPr>
        <w:ind w:right="80" w:firstLine="6"/>
        <w:spacing w:after="0" w:line="252" w:lineRule="auto"/>
        <w:tabs>
          <w:tab w:leader="none" w:pos="272"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Canadian Dollars, the Term CORRA Reference Rate, (c) Sterling or Swiss Francs, the Daily Simple RFR for such Currency, and (d) any other Agreed Foreign Currency, the Adjusted Term Benchmark Rate for such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and its related Benchmark Replacement Date have occurred with respect to the Term SOFR Reference Rate, the Term CORRA Reference Rate, the Daily Simple RFR or the Adjusted Term Benchmark Rate for such Currency, as applicable, then “Benchmark” shall mean the applicable Benchmark Replacement for such Currency to the extent that such Benchmark Replacement has replaced such prior benchmark rate pursuant to </w:t>
      </w:r>
      <w:r>
        <w:rPr>
          <w:rFonts w:ascii="Times New Roman" w:cs="Times New Roman" w:eastAsia="Times New Roman" w:hAnsi="Times New Roman"/>
          <w:sz w:val="19"/>
          <w:szCs w:val="19"/>
          <w:u w:val="single" w:color="auto"/>
          <w:color w:val="auto"/>
        </w:rPr>
        <w:t>Section 2.22(a)</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ind w:right="14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xml:space="preserve">” means, with respect to any Benchmark Transition Event for any then-current Benchmark, the first alternative set forth in the order below that can be determined by the Administrative Agent for the applicable Benchmark Replacement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other than in the case of the Term SOFR Reference Rate, such alternative shall be the alternative set forth in clause (2) below:</w:t>
      </w:r>
    </w:p>
    <w:p>
      <w:pPr>
        <w:spacing w:after="0" w:line="150" w:lineRule="exact"/>
        <w:rPr>
          <w:sz w:val="20"/>
          <w:szCs w:val="20"/>
          <w:color w:val="auto"/>
        </w:rPr>
      </w:pPr>
    </w:p>
    <w:p>
      <w:pPr>
        <w:ind w:left="1680" w:hanging="270"/>
        <w:spacing w:after="0"/>
        <w:tabs>
          <w:tab w:leader="none" w:pos="1680"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(a) Daily Simple SOFR and (b) 0.15%; and</w:t>
      </w:r>
    </w:p>
    <w:p>
      <w:pPr>
        <w:spacing w:after="0" w:line="201" w:lineRule="exact"/>
        <w:rPr>
          <w:rFonts w:ascii="Times New Roman" w:cs="Times New Roman" w:eastAsia="Times New Roman" w:hAnsi="Times New Roman"/>
          <w:sz w:val="19"/>
          <w:szCs w:val="19"/>
          <w:color w:val="auto"/>
        </w:rPr>
      </w:pPr>
    </w:p>
    <w:p>
      <w:pPr>
        <w:ind w:right="120" w:firstLine="1410"/>
        <w:spacing w:after="0" w:line="258" w:lineRule="auto"/>
        <w:tabs>
          <w:tab w:leader="none" w:pos="1676"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(a) the alternate benchmark rate that has been selected by the Administrative Agent and the Borrower as the replacement for the then-current Benchmark for the applicable Currency giving due consideration to (i) any selection or recommendation of a replacement benchmark rate or the mechanism for determining such a rate by the Relevant Governmental Body or</w:t>
      </w:r>
    </w:p>
    <w:p>
      <w:pPr>
        <w:spacing w:after="0" w:line="1" w:lineRule="exact"/>
        <w:rPr>
          <w:rFonts w:ascii="Times New Roman" w:cs="Times New Roman" w:eastAsia="Times New Roman" w:hAnsi="Times New Roman"/>
          <w:sz w:val="19"/>
          <w:szCs w:val="19"/>
          <w:color w:val="auto"/>
        </w:rPr>
      </w:pPr>
    </w:p>
    <w:p>
      <w:pPr>
        <w:jc w:val="both"/>
        <w:ind w:right="880" w:firstLine="6"/>
        <w:spacing w:after="0" w:line="256" w:lineRule="auto"/>
        <w:tabs>
          <w:tab w:leader="none" w:pos="282"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evolving or then-prevailing market convention for determining a benchmark rate as a replacement for the then-current Benchmark for syndicated credit facilities denominated in the applicable Currency at such time and (b) the related Benchmark Replacement Adjustment.</w:t>
      </w:r>
    </w:p>
    <w:p>
      <w:pPr>
        <w:spacing w:after="0" w:line="15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6" w:name="page97"/>
    <w:bookmarkEnd w:id="96"/>
    <w:p>
      <w:pPr>
        <w:spacing w:after="0" w:line="269"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9"/>
          <w:szCs w:val="19"/>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27"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for a Currency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Currency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in the U.S. syndicated loan market at such time.</w:t>
      </w:r>
    </w:p>
    <w:p>
      <w:pPr>
        <w:spacing w:after="0" w:line="160"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Date</w:t>
      </w:r>
      <w:r>
        <w:rPr>
          <w:rFonts w:ascii="Times New Roman" w:cs="Times New Roman" w:eastAsia="Times New Roman" w:hAnsi="Times New Roman"/>
          <w:sz w:val="19"/>
          <w:szCs w:val="19"/>
          <w:color w:val="auto"/>
        </w:rPr>
        <w:t>” means, (x) with respect to any Benchmark (other than the Term SOFR Reference Rate), the earliest to occur of the following events with respect to such then -current Benchmark and (y) with respect to the Term SOFR Reference Rate, a date and time determined by the Administrative Agent in its reasonable discretion, which date shall be no later than the earliest to occur of the following events with respect to such then-current Benchmark:</w:t>
      </w:r>
    </w:p>
    <w:p>
      <w:pPr>
        <w:spacing w:after="0" w:line="150" w:lineRule="exact"/>
        <w:rPr>
          <w:sz w:val="20"/>
          <w:szCs w:val="20"/>
          <w:color w:val="auto"/>
        </w:rPr>
      </w:pPr>
    </w:p>
    <w:p>
      <w:pPr>
        <w:ind w:right="120" w:firstLine="1410"/>
        <w:spacing w:after="0" w:line="262" w:lineRule="auto"/>
        <w:tabs>
          <w:tab w:leader="none" w:pos="1676"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50" w:lineRule="exact"/>
        <w:rPr>
          <w:rFonts w:ascii="Times New Roman" w:cs="Times New Roman" w:eastAsia="Times New Roman" w:hAnsi="Times New Roman"/>
          <w:sz w:val="19"/>
          <w:szCs w:val="19"/>
          <w:color w:val="auto"/>
        </w:rPr>
      </w:pPr>
    </w:p>
    <w:p>
      <w:pPr>
        <w:ind w:right="180" w:firstLine="1410"/>
        <w:spacing w:after="0" w:line="259" w:lineRule="auto"/>
        <w:tabs>
          <w:tab w:leader="none" w:pos="1676"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For the avoidance of doubt, the “Benchmark Replacement Date” will be deemed to have occurred in the case of clause</w:t>
      </w:r>
    </w:p>
    <w:p>
      <w:pPr>
        <w:spacing w:after="0" w:line="32" w:lineRule="exact"/>
        <w:rPr>
          <w:sz w:val="20"/>
          <w:szCs w:val="20"/>
          <w:color w:val="auto"/>
        </w:rPr>
      </w:pPr>
    </w:p>
    <w:p>
      <w:pPr>
        <w:ind w:right="160" w:firstLine="6"/>
        <w:spacing w:after="0" w:line="262" w:lineRule="auto"/>
        <w:tabs>
          <w:tab w:leader="none" w:pos="272"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(2) with respect to any Benchmark upon the occurrence of the applicable event or events set forth therein with respect to all then-current Available Tenors of such Benchmark (or the published component used in the calculation thereof).</w:t>
      </w:r>
    </w:p>
    <w:p>
      <w:pPr>
        <w:spacing w:after="0" w:line="14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7" w:name="page98"/>
    <w:bookmarkEnd w:id="97"/>
    <w:p>
      <w:pPr>
        <w:spacing w:after="0" w:line="269" w:lineRule="exact"/>
        <w:rPr>
          <w:sz w:val="20"/>
          <w:szCs w:val="20"/>
          <w:color w:val="auto"/>
        </w:rPr>
      </w:pPr>
    </w:p>
    <w:p>
      <w:pPr>
        <w:ind w:right="16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Transition Event</w:t>
      </w:r>
      <w:r>
        <w:rPr>
          <w:rFonts w:ascii="Times New Roman" w:cs="Times New Roman" w:eastAsia="Times New Roman" w:hAnsi="Times New Roman"/>
          <w:sz w:val="19"/>
          <w:szCs w:val="19"/>
          <w:color w:val="auto"/>
        </w:rPr>
        <w:t>” means, with respect to any then-current Benchmark, the occurrence of one or more of the following events with respect to such Benchmark:</w:t>
      </w:r>
    </w:p>
    <w:p>
      <w:pPr>
        <w:spacing w:after="0" w:line="127" w:lineRule="exact"/>
        <w:rPr>
          <w:sz w:val="20"/>
          <w:szCs w:val="20"/>
          <w:color w:val="auto"/>
        </w:rPr>
      </w:pPr>
    </w:p>
    <w:p>
      <w:pPr>
        <w:ind w:firstLine="1410"/>
        <w:spacing w:after="0" w:line="259" w:lineRule="auto"/>
        <w:tabs>
          <w:tab w:leader="none" w:pos="1676"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53" w:lineRule="exact"/>
        <w:rPr>
          <w:rFonts w:ascii="Times New Roman" w:cs="Times New Roman" w:eastAsia="Times New Roman" w:hAnsi="Times New Roman"/>
          <w:sz w:val="19"/>
          <w:szCs w:val="19"/>
          <w:color w:val="auto"/>
        </w:rPr>
      </w:pPr>
    </w:p>
    <w:p>
      <w:pPr>
        <w:ind w:right="60" w:firstLine="1410"/>
        <w:spacing w:after="0" w:line="255" w:lineRule="auto"/>
        <w:tabs>
          <w:tab w:leader="none" w:pos="1676"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including the Board or the Federal Reserve Bank of New York, as applicable,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which states that the administrator of such Benchmark (or such component thereof)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59" w:lineRule="exact"/>
        <w:rPr>
          <w:rFonts w:ascii="Times New Roman" w:cs="Times New Roman" w:eastAsia="Times New Roman" w:hAnsi="Times New Roman"/>
          <w:sz w:val="19"/>
          <w:szCs w:val="19"/>
          <w:color w:val="auto"/>
        </w:rPr>
      </w:pPr>
    </w:p>
    <w:p>
      <w:pPr>
        <w:ind w:right="300" w:firstLine="1410"/>
        <w:spacing w:after="0" w:line="268" w:lineRule="auto"/>
        <w:tabs>
          <w:tab w:leader="none" w:pos="1676"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44" w:lineRule="exact"/>
        <w:rPr>
          <w:sz w:val="20"/>
          <w:szCs w:val="20"/>
          <w:color w:val="auto"/>
        </w:rPr>
      </w:pPr>
    </w:p>
    <w:p>
      <w:pPr>
        <w:ind w:right="220" w:firstLine="1404"/>
        <w:spacing w:after="0" w:line="268" w:lineRule="auto"/>
        <w:rPr>
          <w:sz w:val="20"/>
          <w:szCs w:val="20"/>
          <w:color w:val="auto"/>
        </w:rPr>
      </w:pPr>
      <w:r>
        <w:rPr>
          <w:rFonts w:ascii="Times New Roman" w:cs="Times New Roman" w:eastAsia="Times New Roman" w:hAnsi="Times New Roman"/>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44" w:lineRule="exact"/>
        <w:rPr>
          <w:sz w:val="20"/>
          <w:szCs w:val="20"/>
          <w:color w:val="auto"/>
        </w:rPr>
      </w:pPr>
    </w:p>
    <w:p>
      <w:pPr>
        <w:ind w:right="10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xml:space="preserve">” means, with respect to any then-current Benchmark, the period (if any) (x) beginning at the time that a Benchmark Replacement Date has occurred if, at such time, no Benchmark Replacement has replaced such then-current Benchmark for all purposes hereunder and under any other Loan Document in accordance with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and (y) ending at the time that a Benchmark Replacement has replaced such then-current Benchmark for all purposes hereunder and under any other Loan Document in accordance with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w:t>
      </w:r>
    </w:p>
    <w:p>
      <w:pPr>
        <w:spacing w:after="0" w:line="15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means the Board of Governors of the Federal Reserve System of the United States of America (or 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successor thereof).</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has the meaning assigned to such term in the preamble to this Agreement.</w:t>
      </w:r>
    </w:p>
    <w:p>
      <w:pPr>
        <w:spacing w:after="0" w:line="20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8" w:name="page99"/>
    <w:bookmarkEnd w:id="98"/>
    <w:p>
      <w:pPr>
        <w:spacing w:after="0" w:line="269" w:lineRule="exact"/>
        <w:rPr>
          <w:sz w:val="20"/>
          <w:szCs w:val="20"/>
          <w:color w:val="auto"/>
        </w:rPr>
      </w:pPr>
    </w:p>
    <w:p>
      <w:pPr>
        <w:ind w:right="2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Borrower Asset Coverage Ratio</w:t>
      </w:r>
      <w:r>
        <w:rPr>
          <w:rFonts w:ascii="Times New Roman" w:cs="Times New Roman" w:eastAsia="Times New Roman" w:hAnsi="Times New Roman"/>
          <w:sz w:val="19"/>
          <w:szCs w:val="19"/>
          <w:color w:val="auto"/>
        </w:rPr>
        <w:t xml:space="preserve">” means, as of any date of determination, the ratio, determined on a consolidated basis for the Obligors, without duplication, of (a) Total Assets as of such date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Total Assets Concentration Limitation as of such date to</w:t>
      </w:r>
    </w:p>
    <w:p>
      <w:pPr>
        <w:spacing w:after="0" w:line="1" w:lineRule="exact"/>
        <w:rPr>
          <w:sz w:val="20"/>
          <w:szCs w:val="20"/>
          <w:color w:val="auto"/>
        </w:rPr>
      </w:pPr>
    </w:p>
    <w:p>
      <w:pPr>
        <w:ind w:right="680" w:firstLine="6"/>
        <w:spacing w:after="0" w:line="256" w:lineRule="auto"/>
        <w:tabs>
          <w:tab w:leader="none" w:pos="272"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sum of (i) Total Secured Debt as of such date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 any portion of any (x) Unsecured Longer-Term Indebtedness or (y) Unsecured Shorter-Term Indebtedness that, in the case of this </w:t>
      </w:r>
      <w:r>
        <w:rPr>
          <w:rFonts w:ascii="Times New Roman" w:cs="Times New Roman" w:eastAsia="Times New Roman" w:hAnsi="Times New Roman"/>
          <w:sz w:val="19"/>
          <w:szCs w:val="19"/>
          <w:u w:val="single" w:color="auto"/>
          <w:color w:val="auto"/>
        </w:rPr>
        <w:t>clause (x)</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(y)</w:t>
      </w:r>
      <w:r>
        <w:rPr>
          <w:rFonts w:ascii="Times New Roman" w:cs="Times New Roman" w:eastAsia="Times New Roman" w:hAnsi="Times New Roman"/>
          <w:sz w:val="19"/>
          <w:szCs w:val="19"/>
          <w:color w:val="auto"/>
        </w:rPr>
        <w:t>, becomes subject to a contractually scheduled amortization prepayment or payment in full upon its maturity date within 90 days after such date of determination.</w:t>
      </w:r>
    </w:p>
    <w:p>
      <w:pPr>
        <w:spacing w:after="0" w:line="153" w:lineRule="exact"/>
        <w:rPr>
          <w:sz w:val="20"/>
          <w:szCs w:val="20"/>
          <w:color w:val="auto"/>
        </w:rPr>
      </w:pPr>
    </w:p>
    <w:p>
      <w:pPr>
        <w:ind w:right="40" w:firstLine="1404"/>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Borrower Net Worth</w:t>
      </w:r>
      <w:r>
        <w:rPr>
          <w:rFonts w:ascii="Times New Roman" w:cs="Times New Roman" w:eastAsia="Times New Roman" w:hAnsi="Times New Roman"/>
          <w:sz w:val="19"/>
          <w:szCs w:val="19"/>
          <w:color w:val="auto"/>
        </w:rPr>
        <w:t xml:space="preserve">” means, as of any date of determination, (a) Total Assets as of such date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(b) the sum of (i) Total Assets Concentration Limitation as of such date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 Total Secured Debt as of such date.</w:t>
      </w:r>
    </w:p>
    <w:p>
      <w:pPr>
        <w:spacing w:after="0" w:line="1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w:t>
      </w:r>
      <w:r>
        <w:rPr>
          <w:rFonts w:ascii="Times New Roman" w:cs="Times New Roman" w:eastAsia="Times New Roman" w:hAnsi="Times New Roman"/>
          <w:sz w:val="19"/>
          <w:szCs w:val="19"/>
          <w:color w:val="auto"/>
        </w:rPr>
        <w:t>” means (a) all Syndicated ABR Loans of the same Class made, converted or continued on the same date,</w:t>
      </w:r>
    </w:p>
    <w:p>
      <w:pPr>
        <w:spacing w:after="0" w:line="32" w:lineRule="exact"/>
        <w:rPr>
          <w:sz w:val="20"/>
          <w:szCs w:val="20"/>
          <w:color w:val="auto"/>
        </w:rPr>
      </w:pPr>
    </w:p>
    <w:p>
      <w:pPr>
        <w:ind w:right="480" w:firstLine="6"/>
        <w:spacing w:after="0" w:line="262" w:lineRule="auto"/>
        <w:tabs>
          <w:tab w:leader="none" w:pos="272"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Term Benchmark Loans of the same Class denominated in the same Currency that have the same Interest Period, (c) all RFR Loans of the same Class denominated in the same Currency or (d) a Swingline Loan.</w:t>
      </w:r>
    </w:p>
    <w:p>
      <w:pPr>
        <w:spacing w:after="0" w:line="14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Base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Base Certificate</w:t>
      </w:r>
      <w:r>
        <w:rPr>
          <w:rFonts w:ascii="Times New Roman" w:cs="Times New Roman" w:eastAsia="Times New Roman" w:hAnsi="Times New Roman"/>
          <w:sz w:val="19"/>
          <w:szCs w:val="19"/>
          <w:color w:val="auto"/>
        </w:rPr>
        <w:t xml:space="preserve">” means a certificate of a Financial Officer of the Borrower,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and appropriately completed.</w:t>
      </w:r>
    </w:p>
    <w:p>
      <w:pPr>
        <w:spacing w:after="0" w:line="127" w:lineRule="exact"/>
        <w:rPr>
          <w:sz w:val="20"/>
          <w:szCs w:val="20"/>
          <w:color w:val="auto"/>
        </w:rPr>
      </w:pPr>
    </w:p>
    <w:p>
      <w:pPr>
        <w:ind w:right="4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Base Deficiency</w:t>
      </w:r>
      <w:r>
        <w:rPr>
          <w:rFonts w:ascii="Times New Roman" w:cs="Times New Roman" w:eastAsia="Times New Roman" w:hAnsi="Times New Roman"/>
          <w:sz w:val="19"/>
          <w:szCs w:val="19"/>
          <w:color w:val="auto"/>
        </w:rPr>
        <w:t>” means, at any date on which the same is determined, the amount, if any, that (a) the aggregate Covered Debt Amount as of such date exceeds (b) the Borrowing Base as of such date.</w:t>
      </w:r>
    </w:p>
    <w:p>
      <w:pPr>
        <w:spacing w:after="0" w:line="127"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Request</w:t>
      </w:r>
      <w:r>
        <w:rPr>
          <w:rFonts w:ascii="Times New Roman" w:cs="Times New Roman" w:eastAsia="Times New Roman" w:hAnsi="Times New Roman"/>
          <w:sz w:val="19"/>
          <w:szCs w:val="19"/>
          <w:color w:val="auto"/>
        </w:rPr>
        <w:t xml:space="preserve">” means a request by the Borrower for a Syndicated Borrowing in accordance with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which, if in writing, shall be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xml:space="preserve">” means any day that is not a Saturday, Sunday or other day on which commercial banks in New York City are authorized or required by law to remain closed;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when used in relation to Term Benchmark Loans or any interest rate settings, fundings, disbursements, settlements or payments of any such Term Benchmark Loan, or any other dealings in the applicable Currency of such Term Benchmark Loan, the term “Business Day” shall also exclude any day that is not a Term Benchmark Banking Day for such Currency and (b) when used in relation to RFR Loans or any interest rate settings, fundings, disbursements, settlements or payments of any such RFR Loan, or any other dealings in the applicable Currency of such RFR Loan, the term “Business Day” shall also exclude any day that is not an RFR Business Day for such Currency.</w:t>
      </w:r>
    </w:p>
    <w:p>
      <w:pPr>
        <w:spacing w:after="0" w:line="157" w:lineRule="exact"/>
        <w:rPr>
          <w:sz w:val="20"/>
          <w:szCs w:val="20"/>
          <w:color w:val="auto"/>
        </w:rPr>
      </w:pPr>
    </w:p>
    <w:p>
      <w:pPr>
        <w:ind w:right="160" w:firstLine="1404"/>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Calculation Amount</w:t>
      </w:r>
      <w:r>
        <w:rPr>
          <w:rFonts w:ascii="Times New Roman" w:cs="Times New Roman" w:eastAsia="Times New Roman" w:hAnsi="Times New Roman"/>
          <w:sz w:val="19"/>
          <w:szCs w:val="19"/>
          <w:color w:val="auto"/>
        </w:rPr>
        <w:t xml:space="preserve">” means, as of the end of any Testing Quarter, an amount equal to the greater of: (a) (i) 125% of the Adjusted Covered Debt Balance (as of the end of such Testing Quarter)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the aggregate Value of all Quoted Investments (including, without duplication, Market Value Investments) included in the Borrowing Base (as of the end of such Testing Quarter) and</w:t>
      </w:r>
    </w:p>
    <w:p>
      <w:pPr>
        <w:spacing w:after="0" w:line="2" w:lineRule="exact"/>
        <w:rPr>
          <w:sz w:val="20"/>
          <w:szCs w:val="20"/>
          <w:color w:val="auto"/>
        </w:rPr>
      </w:pPr>
    </w:p>
    <w:p>
      <w:pPr>
        <w:ind w:right="380" w:firstLine="6"/>
        <w:spacing w:after="0" w:line="262" w:lineRule="auto"/>
        <w:tabs>
          <w:tab w:leader="none" w:pos="272"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10% of the aggregate Value (or as near thereto as reasonably practicable) of all Unquoted Investments included in the Borrowing Base (as of the end of such Testing Quarter);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more than 25% (or, if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applies, 10%) of the</w:t>
      </w:r>
    </w:p>
    <w:p>
      <w:pPr>
        <w:spacing w:after="0" w:line="14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9" w:name="page100"/>
    <w:bookmarkEnd w:id="99"/>
    <w:p>
      <w:pPr>
        <w:spacing w:after="0" w:line="2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 xml:space="preserve">aggregate Value (or as near thereto as reasonably practicable) of all Unquoted Investments in the Borrowing Base be subject to testing by the Administrative Agent pursuant to </w:t>
      </w:r>
      <w:r>
        <w:rPr>
          <w:rFonts w:ascii="Times New Roman" w:cs="Times New Roman" w:eastAsia="Times New Roman" w:hAnsi="Times New Roman"/>
          <w:sz w:val="19"/>
          <w:szCs w:val="19"/>
          <w:u w:val="single" w:color="auto"/>
          <w:color w:val="auto"/>
        </w:rPr>
        <w:t>Section 5.12(b)(ii)(E)</w:t>
      </w:r>
      <w:r>
        <w:rPr>
          <w:rFonts w:ascii="Times New Roman" w:cs="Times New Roman" w:eastAsia="Times New Roman" w:hAnsi="Times New Roman"/>
          <w:sz w:val="19"/>
          <w:szCs w:val="19"/>
          <w:color w:val="auto"/>
        </w:rPr>
        <w:t xml:space="preserve"> in respect of any applicable Testing Quarter;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notwithstanding anything to the contrary in this Agreement, Market Value Investments shall be deemed to be Quoted Investments for purposes of this definition.</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CAM Exchange</w:t>
      </w:r>
      <w:r>
        <w:rPr>
          <w:rFonts w:ascii="Times New Roman" w:cs="Times New Roman" w:eastAsia="Times New Roman" w:hAnsi="Times New Roman"/>
          <w:sz w:val="19"/>
          <w:szCs w:val="19"/>
          <w:color w:val="auto"/>
        </w:rPr>
        <w:t xml:space="preserve">” means the exchange of the Lenders’ interests provided for in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CAM Exchange Date</w:t>
      </w:r>
      <w:r>
        <w:rPr>
          <w:rFonts w:ascii="Times New Roman" w:cs="Times New Roman" w:eastAsia="Times New Roman" w:hAnsi="Times New Roman"/>
          <w:sz w:val="19"/>
          <w:szCs w:val="19"/>
          <w:color w:val="auto"/>
        </w:rPr>
        <w:t xml:space="preserve"> ” means the date on which any Event of Default referred to in </w:t>
      </w:r>
      <w:r>
        <w:rPr>
          <w:rFonts w:ascii="Times New Roman" w:cs="Times New Roman" w:eastAsia="Times New Roman" w:hAnsi="Times New Roman"/>
          <w:sz w:val="19"/>
          <w:szCs w:val="19"/>
          <w:u w:val="single" w:color="auto"/>
          <w:color w:val="auto"/>
        </w:rPr>
        <w:t>clause (j)</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shall occur or the date on which the Borrower receives written notice from the Administrative Agent that any Event of Default referred to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has occurred.</w:t>
      </w:r>
    </w:p>
    <w:p>
      <w:pPr>
        <w:spacing w:after="0" w:line="144" w:lineRule="exact"/>
        <w:rPr>
          <w:sz w:val="20"/>
          <w:szCs w:val="20"/>
          <w:color w:val="auto"/>
        </w:rPr>
      </w:pPr>
    </w:p>
    <w:p>
      <w:pPr>
        <w:ind w:right="20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CAM Percentage</w:t>
      </w:r>
      <w:r>
        <w:rPr>
          <w:rFonts w:ascii="Times New Roman" w:cs="Times New Roman" w:eastAsia="Times New Roman" w:hAnsi="Times New Roman"/>
          <w:sz w:val="19"/>
          <w:szCs w:val="19"/>
          <w:color w:val="auto"/>
        </w:rPr>
        <w:t>” means, as to each Lender, a fraction, expressed as a decimal, of which (a) the numerator shall be the aggregate Dollar Equivalent of the Designated Obligations 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Canadian Dollars</w:t>
      </w:r>
      <w:r>
        <w:rPr>
          <w:rFonts w:ascii="Times New Roman" w:cs="Times New Roman" w:eastAsia="Times New Roman" w:hAnsi="Times New Roman"/>
          <w:sz w:val="19"/>
          <w:szCs w:val="19"/>
          <w:color w:val="auto"/>
        </w:rPr>
        <w:t>” means the lawful currency of Canada.</w:t>
      </w:r>
    </w:p>
    <w:p>
      <w:pPr>
        <w:spacing w:after="0" w:line="202" w:lineRule="exact"/>
        <w:rPr>
          <w:sz w:val="20"/>
          <w:szCs w:val="20"/>
          <w:color w:val="auto"/>
        </w:rPr>
      </w:pPr>
    </w:p>
    <w:p>
      <w:pPr>
        <w:ind w:right="80" w:firstLine="1404"/>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Canadian Prime Rate</w:t>
      </w:r>
      <w:r>
        <w:rPr>
          <w:rFonts w:ascii="Times New Roman" w:cs="Times New Roman" w:eastAsia="Times New Roman" w:hAnsi="Times New Roman"/>
          <w:sz w:val="19"/>
          <w:szCs w:val="19"/>
          <w:color w:val="auto"/>
        </w:rPr>
        <w:t xml:space="preserve">” 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rate per annum equal to Term CORRA;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if any of the above rates shall be less than 0%, such rate shall be deemed to be 0% for purposes of this Agreement. Any change in the Canadian Prime Rate due to a change in the PRIMCAN Index or Term CORRA shall be effective from and including the effective date of such change in the PRIMCAN Index or Term CORRA, respectively.</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Canadian Prime Rate Term CORRA Determination Day</w:t>
      </w:r>
      <w:r>
        <w:rPr>
          <w:rFonts w:ascii="Times New Roman" w:cs="Times New Roman" w:eastAsia="Times New Roman" w:hAnsi="Times New Roman"/>
          <w:sz w:val="19"/>
          <w:szCs w:val="19"/>
          <w:color w:val="auto"/>
        </w:rPr>
        <w:t>” has the meaning specified in the definition of “Term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CORRA”.</w:t>
      </w:r>
    </w:p>
    <w:p>
      <w:pPr>
        <w:spacing w:after="0" w:line="180" w:lineRule="exact"/>
        <w:rPr>
          <w:sz w:val="20"/>
          <w:szCs w:val="20"/>
          <w:color w:val="auto"/>
        </w:rPr>
      </w:pPr>
    </w:p>
    <w:p>
      <w:pPr>
        <w:ind w:right="14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Lease Obligations</w:t>
      </w:r>
      <w:r>
        <w:rPr>
          <w:rFonts w:ascii="Times New Roman" w:cs="Times New Roman" w:eastAsia="Times New Roman" w:hAnsi="Times New Roman"/>
          <w:sz w:val="19"/>
          <w:szCs w:val="19"/>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on a balance sheet of such Person under GAAP, and the amount of such obligations shall be the capitalized amount thereof determined in accordance with GAAP.</w:t>
      </w:r>
    </w:p>
    <w:p>
      <w:pPr>
        <w:spacing w:after="0" w:line="150" w:lineRule="exact"/>
        <w:rPr>
          <w:sz w:val="20"/>
          <w:szCs w:val="20"/>
          <w:color w:val="auto"/>
        </w:rPr>
      </w:pPr>
    </w:p>
    <w:p>
      <w:pPr>
        <w:ind w:right="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w:t>
      </w:r>
      <w:r>
        <w:rPr>
          <w:rFonts w:ascii="Times New Roman" w:cs="Times New Roman" w:eastAsia="Times New Roman" w:hAnsi="Times New Roman"/>
          <w:sz w:val="19"/>
          <w:szCs w:val="19"/>
          <w:color w:val="auto"/>
        </w:rPr>
        <w:t>” means any immediately available funds in Dollars or in any currency other than Dollars (measured in terms of the Dollar Equivalent thereof) which is a freely convertible currency.</w:t>
      </w:r>
    </w:p>
    <w:p>
      <w:pPr>
        <w:spacing w:after="0" w:line="12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0" w:name="page101"/>
    <w:bookmarkEnd w:id="100"/>
    <w:p>
      <w:pPr>
        <w:spacing w:after="0" w:line="269" w:lineRule="exact"/>
        <w:rPr>
          <w:sz w:val="20"/>
          <w:szCs w:val="20"/>
          <w:color w:val="auto"/>
        </w:rPr>
      </w:pPr>
    </w:p>
    <w:p>
      <w:pPr>
        <w:ind w:right="30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Collateralize</w:t>
      </w:r>
      <w:r>
        <w:rPr>
          <w:rFonts w:ascii="Times New Roman" w:cs="Times New Roman" w:eastAsia="Times New Roman" w:hAnsi="Times New Roman"/>
          <w:sz w:val="19"/>
          <w:szCs w:val="19"/>
          <w:color w:val="auto"/>
        </w:rPr>
        <w:t xml:space="preserve"> ” means, in respect of a Letter of Credit or any obligation hereunder, to provide and pledge cash collateral pursuant to </w:t>
      </w:r>
      <w:r>
        <w:rPr>
          <w:rFonts w:ascii="Times New Roman" w:cs="Times New Roman" w:eastAsia="Times New Roman" w:hAnsi="Times New Roman"/>
          <w:sz w:val="19"/>
          <w:szCs w:val="19"/>
          <w:u w:val="single" w:color="auto"/>
          <w:color w:val="auto"/>
        </w:rPr>
        <w:t>Section 2.05(k)</w:t>
      </w:r>
      <w:r>
        <w:rPr>
          <w:rFonts w:ascii="Times New Roman" w:cs="Times New Roman" w:eastAsia="Times New Roman" w:hAnsi="Times New Roman"/>
          <w:sz w:val="19"/>
          <w:szCs w:val="19"/>
          <w:color w:val="auto"/>
        </w:rPr>
        <w:t>, at a location and pursuant to documentation in form and substance reasonably satisfactory to Administrative Agent and the Issuing Bank. “</w:t>
      </w:r>
      <w:r>
        <w:rPr>
          <w:rFonts w:ascii="Times New Roman" w:cs="Times New Roman" w:eastAsia="Times New Roman" w:hAnsi="Times New Roman"/>
          <w:sz w:val="19"/>
          <w:szCs w:val="19"/>
          <w:u w:val="single" w:color="auto"/>
          <w:color w:val="auto"/>
        </w:rPr>
        <w:t>Cash Collateral</w:t>
      </w:r>
      <w:r>
        <w:rPr>
          <w:rFonts w:ascii="Times New Roman" w:cs="Times New Roman" w:eastAsia="Times New Roman" w:hAnsi="Times New Roman"/>
          <w:sz w:val="19"/>
          <w:szCs w:val="19"/>
          <w:color w:val="auto"/>
        </w:rPr>
        <w:t>” shall have a meaning correlative to the foregoing and shall include the proceeds of such cash collateral and other credit support.</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Equivalents</w:t>
      </w:r>
      <w:r>
        <w:rPr>
          <w:rFonts w:ascii="Times New Roman" w:cs="Times New Roman" w:eastAsia="Times New Roman" w:hAnsi="Times New Roman"/>
          <w:sz w:val="19"/>
          <w:szCs w:val="19"/>
          <w:color w:val="auto"/>
        </w:rPr>
        <w:t>” means investments (other than Cash) that are one or more of the following obligations:</w:t>
      </w:r>
    </w:p>
    <w:p>
      <w:pPr>
        <w:spacing w:after="0" w:line="202" w:lineRule="exact"/>
        <w:rPr>
          <w:sz w:val="20"/>
          <w:szCs w:val="20"/>
          <w:color w:val="auto"/>
        </w:rPr>
      </w:pPr>
    </w:p>
    <w:p>
      <w:pPr>
        <w:ind w:left="1680" w:hanging="270"/>
        <w:spacing w:after="0"/>
        <w:tabs>
          <w:tab w:leader="none" w:pos="168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 Government Securities, in each case maturing within one year from the date of acquisition thereof;</w:t>
      </w:r>
    </w:p>
    <w:p>
      <w:pPr>
        <w:spacing w:after="0" w:line="201" w:lineRule="exact"/>
        <w:rPr>
          <w:rFonts w:ascii="Times New Roman" w:cs="Times New Roman" w:eastAsia="Times New Roman" w:hAnsi="Times New Roman"/>
          <w:sz w:val="19"/>
          <w:szCs w:val="19"/>
          <w:color w:val="auto"/>
        </w:rPr>
      </w:pPr>
    </w:p>
    <w:p>
      <w:pPr>
        <w:ind w:right="40" w:firstLine="1410"/>
        <w:spacing w:after="0" w:line="235" w:lineRule="exact"/>
        <w:tabs>
          <w:tab w:leader="none" w:pos="1676"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commercial paper maturing within 270 days from the date of acquisition thereof and having, at such date of acquisition, a credit rating of at least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from S&amp;P and at least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from Moody’s (or if only one of S&amp;P or Moody’s provides such rating, such investment shall also have an equivalent credit rating from any other rating agency);</w:t>
      </w:r>
    </w:p>
    <w:p>
      <w:pPr>
        <w:spacing w:after="0" w:line="171" w:lineRule="exact"/>
        <w:rPr>
          <w:rFonts w:ascii="Times New Roman" w:cs="Times New Roman" w:eastAsia="Times New Roman" w:hAnsi="Times New Roman"/>
          <w:sz w:val="19"/>
          <w:szCs w:val="19"/>
          <w:color w:val="auto"/>
        </w:rPr>
      </w:pPr>
    </w:p>
    <w:p>
      <w:pPr>
        <w:ind w:right="60" w:firstLine="1410"/>
        <w:spacing w:after="0" w:line="231" w:lineRule="exact"/>
        <w:tabs>
          <w:tab w:leader="none" w:pos="1665"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in which the Principal Financial Center in respect of any Agreed Foreign Currency is located;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from S&amp;P and at least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from Moody’s (or if only one of S&amp;P or Moody’s provides such rating, such investment shall also have an equivalent credit rating from any other rating agency);</w:t>
      </w:r>
    </w:p>
    <w:p>
      <w:pPr>
        <w:spacing w:after="0" w:line="174" w:lineRule="exact"/>
        <w:rPr>
          <w:rFonts w:ascii="Times New Roman" w:cs="Times New Roman" w:eastAsia="Times New Roman" w:hAnsi="Times New Roman"/>
          <w:sz w:val="19"/>
          <w:szCs w:val="19"/>
          <w:color w:val="auto"/>
        </w:rPr>
      </w:pPr>
    </w:p>
    <w:p>
      <w:pPr>
        <w:ind w:firstLine="1410"/>
        <w:spacing w:after="0" w:line="233" w:lineRule="exact"/>
        <w:tabs>
          <w:tab w:leader="none" w:pos="1676"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fully collateralized repurchase agreements with a term of not more than 15 days from the date of acquisition thereof for U.S. Government Securities and entered into with (i) a financial institution satisfying the criteria described in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of this definition or (ii) an Approved Dealer having (or being a member of a consolidated group having) at such date of acquisition, a credit rating of at least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 from S&amp;P and at least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 from Moody’s (or if only one of S&amp;P or Moody’s provides such rating, such Approved Dealer shall also have an equivalent credit rating from any other rating agency); and</w:t>
      </w:r>
    </w:p>
    <w:p>
      <w:pPr>
        <w:spacing w:after="0" w:line="171" w:lineRule="exact"/>
        <w:rPr>
          <w:rFonts w:ascii="Times New Roman" w:cs="Times New Roman" w:eastAsia="Times New Roman" w:hAnsi="Times New Roman"/>
          <w:sz w:val="19"/>
          <w:szCs w:val="19"/>
          <w:color w:val="auto"/>
        </w:rPr>
      </w:pPr>
    </w:p>
    <w:p>
      <w:pPr>
        <w:ind w:right="20" w:firstLine="1410"/>
        <w:spacing w:after="0" w:line="268" w:lineRule="auto"/>
        <w:tabs>
          <w:tab w:leader="none" w:pos="1665"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in money market funds that invest, and which are restricted by their respective charters to invest, substantially all of their assets in investments of the type described in the immediately preceding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above (including as to credit quality and maturity), in each case rated no lower than the then-current rating of the federal government of the United States;</w:t>
      </w:r>
    </w:p>
    <w:p>
      <w:pPr>
        <w:spacing w:after="0" w:line="14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in no event shall Cash Equivalents include any obligation that provides for the payment of interest alone (for example, interest- only securities or “IOs”); (ii) if any of Moody’s or S&amp;P changes its rating system, then any ratings included in this definition shall be deemed to be an equivalent rating in a successor rating category of Moody’s or S&amp;P, as the case may be; (iii)</w:t>
      </w:r>
    </w:p>
    <w:p>
      <w:pPr>
        <w:spacing w:after="0" w:line="1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1" w:name="page102"/>
    <w:bookmarkEnd w:id="101"/>
    <w:p>
      <w:pPr>
        <w:spacing w:after="0" w:line="26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color w:val="auto"/>
        </w:rPr>
        <w:t xml:space="preserve">Cash Equivalents (other than U.S. Government Securities, repurchase agreements or the money market funds described in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“CDO Rate” has the meaning assigned set forth in the definition of “Term Benchmark Rate”.</w:t>
      </w:r>
    </w:p>
    <w:p>
      <w:pPr>
        <w:spacing w:after="0" w:line="202" w:lineRule="exact"/>
        <w:rPr>
          <w:sz w:val="20"/>
          <w:szCs w:val="20"/>
          <w:color w:val="auto"/>
        </w:rPr>
      </w:pPr>
    </w:p>
    <w:p>
      <w:pPr>
        <w:ind w:right="300" w:firstLine="96"/>
        <w:spacing w:after="0" w:line="286" w:lineRule="auto"/>
        <w:rPr>
          <w:sz w:val="20"/>
          <w:szCs w:val="20"/>
          <w:color w:val="auto"/>
        </w:rPr>
      </w:pPr>
      <w:r>
        <w:rPr>
          <w:rFonts w:ascii="Times New Roman" w:cs="Times New Roman" w:eastAsia="Times New Roman" w:hAnsi="Times New Roman"/>
          <w:sz w:val="19"/>
          <w:szCs w:val="19"/>
          <w:color w:val="auto"/>
        </w:rPr>
        <w:t>“CDO Rate Cessation Date” means the date on which the administrator of the CDO Rate (or the published component used in the calculation thereof) permanently or indefinitely ceases to provide all Available Tenors of the CDO Rate (or such component thereof).</w:t>
      </w:r>
    </w:p>
    <w:p>
      <w:pPr>
        <w:spacing w:after="0" w:line="127" w:lineRule="exact"/>
        <w:rPr>
          <w:sz w:val="20"/>
          <w:szCs w:val="20"/>
          <w:color w:val="auto"/>
        </w:rPr>
      </w:pPr>
    </w:p>
    <w:p>
      <w:pPr>
        <w:ind w:right="60" w:firstLine="1404"/>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Central Bank Rate</w:t>
      </w:r>
      <w:r>
        <w:rPr>
          <w:rFonts w:ascii="Times New Roman" w:cs="Times New Roman" w:eastAsia="Times New Roman" w:hAnsi="Times New Roman"/>
          <w:sz w:val="19"/>
          <w:szCs w:val="19"/>
          <w:color w:val="auto"/>
        </w:rPr>
        <w:t>” means the greater of (A) the sum of (i) for any Loan denominated in (x) Sterling, the Bank of England (or any successor thereto)’s “Bank Rate” as published by the Bank of England (or any successor thereto) from time to time, (y)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or (z) any other Agreed Foreign Currency, a central bank rate as determined by the Administrative Agent in its reasonable discretion; plus (ii) the applicable Central Bank Rate Adjustment and (B) 0%.</w:t>
      </w:r>
    </w:p>
    <w:p>
      <w:pPr>
        <w:spacing w:after="0" w:line="160"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Central Bank Rate Adjustment</w:t>
      </w:r>
      <w:r>
        <w:rPr>
          <w:rFonts w:ascii="Times New Roman" w:cs="Times New Roman" w:eastAsia="Times New Roman" w:hAnsi="Times New Roman"/>
          <w:sz w:val="19"/>
          <w:szCs w:val="19"/>
          <w:color w:val="auto"/>
        </w:rPr>
        <w:t>” means , for any date, for any Loan denominated in (A) Sterling, a rate equal to the difference (which may be a positive or negative value or zero) of (i) the average of the Daily Simple RFR for Sterling for the five most recent RFR Business Days preceding such day for which SONIA was available (excluding, from such averaging, the highest and the lowest SONIA applicable during such period of five RFR Business Days) minus (ii) the Central Bank Rate in respect of Sterling in effect on the last RFR Business Day in such period, (B) Euro, a rate equal to the difference (which may be a positive or negative value or zero) of (i) the average of the Adjusted Term Benchmark Rate for Euros for the five most recent Term Benchmark Banking Days for Euro preceding such day for which the EURIBOR Screen Rate was available (excluding, from such averaging, the highest and the lowest EURIBOR Screen Rate applicable during such period of five Term Benchmark Banking Days for Euro) minus (ii) the Central Bank Rate in respect of Euro in effect on the last Term Benchmark Banking Day for Euro in such period and (C) any other Agreed Foreign Currency, a Central Bank Rate Adjustment as determined by the Administrative Agent in its reasonable discretion. For the purposes of this definition, (x) the term “Central Bank Rate” shall be determined disregarding clause (A)(ii) of the definition of such term and (y) the Adjusted Term Benchmark Rate for Euros on any day shall be based on the EURIBOR Screen Rate, on such day at approximately the time referred to in the definition of such term for deposits in Euro for a maturity of one month.</w:t>
      </w:r>
    </w:p>
    <w:p>
      <w:pPr>
        <w:spacing w:after="0" w:line="16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2" w:name="page103"/>
    <w:bookmarkEnd w:id="102"/>
    <w:p>
      <w:pPr>
        <w:spacing w:after="0" w:line="269" w:lineRule="exact"/>
        <w:rPr>
          <w:sz w:val="20"/>
          <w:szCs w:val="20"/>
          <w:color w:val="auto"/>
        </w:rPr>
      </w:pPr>
    </w:p>
    <w:p>
      <w:pPr>
        <w:ind w:right="160" w:firstLine="1404"/>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or (c) the acquisition of direct or indirect Control of the Borrower by any Person or group other than PennantPark Investment Advisers, LLC.</w:t>
      </w:r>
    </w:p>
    <w:p>
      <w:pPr>
        <w:spacing w:after="0" w:line="157" w:lineRule="exact"/>
        <w:rPr>
          <w:sz w:val="20"/>
          <w:szCs w:val="20"/>
          <w:color w:val="auto"/>
        </w:rPr>
      </w:pPr>
    </w:p>
    <w:p>
      <w:pPr>
        <w:ind w:right="160" w:firstLine="1404"/>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means the occurrence, after the date of this Agreement (or with respect to a Person becoming a Lender by assignment or joinder after the date of this Agreement, the effective date thereof),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with respect to a Person becoming a Lender by assignment or joinder after the date of this Agreement, the effective date thereof)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(or with respect to a Person becoming a Lender by assignment or joinder after the date of this Agreement, the effective date thereof).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69"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Class</w:t>
      </w:r>
      <w:r>
        <w:rPr>
          <w:rFonts w:ascii="Times New Roman" w:cs="Times New Roman" w:eastAsia="Times New Roman" w:hAnsi="Times New Roman"/>
          <w:sz w:val="19"/>
          <w:szCs w:val="19"/>
          <w:color w:val="auto"/>
        </w:rPr>
        <w:t>”, when used in reference to any Loan or Borrowing, refers to whether such Loan, or the Loans constituting such Borrowing, are (x) Syndicated Dollar Loans, Syndicated Multicurrency Loans or Swingline Loans and/or (y) Extended Loans or Non-Extended Loans; when used in reference to any Lender, refers to whether such Lender is (x) a Dollar Lender or a Multicurrency Lender and/or (y) an Extending Lender or a Non -Extending Lender; and, when used in reference to any Commitment, refers to whether such Commitment is a Dollar Commitment or a Multicurrency Commitment. The “</w:t>
      </w:r>
      <w:r>
        <w:rPr>
          <w:rFonts w:ascii="Times New Roman" w:cs="Times New Roman" w:eastAsia="Times New Roman" w:hAnsi="Times New Roman"/>
          <w:sz w:val="19"/>
          <w:szCs w:val="19"/>
          <w:u w:val="single" w:color="auto"/>
          <w:color w:val="auto"/>
        </w:rPr>
        <w:t>Class</w:t>
      </w:r>
      <w:r>
        <w:rPr>
          <w:rFonts w:ascii="Times New Roman" w:cs="Times New Roman" w:eastAsia="Times New Roman" w:hAnsi="Times New Roman"/>
          <w:sz w:val="19"/>
          <w:szCs w:val="19"/>
          <w:color w:val="auto"/>
        </w:rPr>
        <w:t xml:space="preserve">” of a Letter of Credit refers to whether such Letter of Credit is a Dollar Letter of Credit or a Multicurrency Letter of Credit. Other than for purposes of </w:t>
      </w:r>
      <w:r>
        <w:rPr>
          <w:rFonts w:ascii="Times New Roman" w:cs="Times New Roman" w:eastAsia="Times New Roman" w:hAnsi="Times New Roman"/>
          <w:sz w:val="19"/>
          <w:szCs w:val="19"/>
          <w:u w:val="single" w:color="auto"/>
          <w:color w:val="auto"/>
        </w:rPr>
        <w:t>Sections 2.08(f)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2.09(a)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2.10(e)</w:t>
      </w:r>
      <w:r>
        <w:rPr>
          <w:rFonts w:ascii="Times New Roman" w:cs="Times New Roman" w:eastAsia="Times New Roman" w:hAnsi="Times New Roman"/>
          <w:sz w:val="19"/>
          <w:szCs w:val="19"/>
          <w:color w:val="auto"/>
        </w:rPr>
        <w:t>,</w:t>
      </w:r>
    </w:p>
    <w:p>
      <w:pPr>
        <w:spacing w:after="0" w:line="3"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9"/>
          <w:szCs w:val="19"/>
          <w:u w:val="single" w:color="auto"/>
          <w:color w:val="auto"/>
        </w:rPr>
        <w:t>2.17(c)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and the last paragraph of </w:t>
      </w:r>
      <w:r>
        <w:rPr>
          <w:rFonts w:ascii="Times New Roman" w:cs="Times New Roman" w:eastAsia="Times New Roman" w:hAnsi="Times New Roman"/>
          <w:sz w:val="19"/>
          <w:szCs w:val="19"/>
          <w:u w:val="single" w:color="auto"/>
          <w:color w:val="auto"/>
        </w:rPr>
        <w:t>9.02(b)</w:t>
      </w:r>
      <w:r>
        <w:rPr>
          <w:rFonts w:ascii="Times New Roman" w:cs="Times New Roman" w:eastAsia="Times New Roman" w:hAnsi="Times New Roman"/>
          <w:sz w:val="19"/>
          <w:szCs w:val="19"/>
          <w:color w:val="auto"/>
        </w:rPr>
        <w:t>, Extending Lenders and Non-Extending Lenders shall be treated as the same Class of Lenders and Extended Loans and Non-Extended Loans shall be treated as the same Class of Loans.</w:t>
      </w:r>
    </w:p>
    <w:p>
      <w:pPr>
        <w:spacing w:after="0" w:line="14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03" w:name="page104"/>
    <w:bookmarkEnd w:id="103"/>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means the Internal Revenue Code of 1986, as amended from time to time.</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has the meaning assigned to such term in the Guarantee and Security Agreement.</w:t>
      </w:r>
    </w:p>
    <w:p>
      <w:pPr>
        <w:spacing w:after="0" w:line="202" w:lineRule="exact"/>
        <w:rPr>
          <w:sz w:val="20"/>
          <w:szCs w:val="20"/>
          <w:color w:val="auto"/>
        </w:rPr>
      </w:pPr>
    </w:p>
    <w:p>
      <w:pPr>
        <w:ind w:right="16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Agent</w:t>
      </w:r>
      <w:r>
        <w:rPr>
          <w:rFonts w:ascii="Times New Roman" w:cs="Times New Roman" w:eastAsia="Times New Roman" w:hAnsi="Times New Roman"/>
          <w:sz w:val="19"/>
          <w:szCs w:val="19"/>
          <w:color w:val="auto"/>
        </w:rPr>
        <w:t>” means Truist in its capacity as Collateral Agent under the Guarantee and Security Agreement, and includes any successor Collateral Agent thereunder.</w:t>
      </w:r>
    </w:p>
    <w:p>
      <w:pPr>
        <w:spacing w:after="0" w:line="127"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Pool</w:t>
      </w:r>
      <w:r>
        <w:rPr>
          <w:rFonts w:ascii="Times New Roman" w:cs="Times New Roman" w:eastAsia="Times New Roman" w:hAnsi="Times New Roman"/>
          <w:sz w:val="19"/>
          <w:szCs w:val="19"/>
          <w:color w:val="auto"/>
        </w:rPr>
        <w:t xml:space="preserve">” means, at any time, each Portfolio Investment that has been Delivered (as defined in the Guarantee and Security Agreement) to the Collateral Agent and is subject to the Lien of the Guarantee and Security Agreement, and then only for so long as such Portfolio Investment continues to be Delivered as contemplated therein and in which the Collateral Agent has a first- priority perfected Lien as security for the Secured Obligations (as such term is defined in the Guarantee and Security Agreement) (subject to any Lien permitted by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any Portfolio Investment in which the Collateral Agent has a first-priority perfected security interest pursuant to a valid Uniform Commercial Code filing (and for which no other method of perfection with a higher priority is possible), such Portfolio Investment may be included in the Borrowing Base so long as all remaining actions to complete “Delivery” are satisfied in full within 7 days of such inclusion.</w:t>
      </w:r>
    </w:p>
    <w:p>
      <w:pPr>
        <w:spacing w:after="0" w:line="160" w:lineRule="exact"/>
        <w:rPr>
          <w:sz w:val="20"/>
          <w:szCs w:val="20"/>
          <w:color w:val="auto"/>
        </w:rPr>
      </w:pPr>
    </w:p>
    <w:p>
      <w:pPr>
        <w:ind w:right="16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Combined Debt Amount</w:t>
      </w:r>
      <w:r>
        <w:rPr>
          <w:rFonts w:ascii="Times New Roman" w:cs="Times New Roman" w:eastAsia="Times New Roman" w:hAnsi="Times New Roman"/>
          <w:sz w:val="19"/>
          <w:szCs w:val="19"/>
          <w:color w:val="auto"/>
        </w:rPr>
        <w:t>” means, as of any date, (i) the aggregate Commitments as of such date (or, if greater, the Revolving Credit Exposures of all Lenders as of such date) plus (ii)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 means, collectively, the Dollar Commitments and the Multicurrency Commitments.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 Increase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2.08(e)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 Increase Date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2.08(e)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 Termination Date</w:t>
      </w:r>
      <w:r>
        <w:rPr>
          <w:rFonts w:ascii="Times New Roman" w:cs="Times New Roman" w:eastAsia="Times New Roman" w:hAnsi="Times New Roman"/>
          <w:sz w:val="19"/>
          <w:szCs w:val="19"/>
          <w:color w:val="auto"/>
        </w:rPr>
        <w:t>” means the Extended Commitment Termination Date or the relevant Non-Extended Commitment Termination Date, as applicable.</w:t>
      </w:r>
    </w:p>
    <w:p>
      <w:pPr>
        <w:spacing w:after="0" w:line="127" w:lineRule="exact"/>
        <w:rPr>
          <w:sz w:val="20"/>
          <w:szCs w:val="20"/>
          <w:color w:val="auto"/>
        </w:rPr>
      </w:pPr>
    </w:p>
    <w:p>
      <w:pPr>
        <w:ind w:right="20"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Conforming Changes</w:t>
      </w:r>
      <w:r>
        <w:rPr>
          <w:rFonts w:ascii="Times New Roman" w:cs="Times New Roman" w:eastAsia="Times New Roman" w:hAnsi="Times New Roman"/>
          <w:sz w:val="19"/>
          <w:szCs w:val="19"/>
          <w:color w:val="auto"/>
        </w:rPr>
        <w:t>” means with respect to either the use or administration of Term SOFR or the use, administration, adoption or implementation of any Benchmark Replacement, any technical, administrative or operational changes (including changes to the definition of “Term Benchmark Rate”, the definition of “Alternate Base Rate”, the definition of “Business Day”, the definition of “Term Benchmark Banking Day”, the definition of “U.S. Government Securities Business Day”, the definition of “Interest Period”, the definition of “Daily Simple RFR”, the definition of “RFR”, the definition of “RFR Business Day”, the definition of “RFR Interest Day”, the definition of “RFR Reference Day”, the definition of or any similar or analogous definition, timing and frequency of determining rates and making payments of interest, timing of borrowing requests or prepayment, conversion or continuation notices, the applicability</w:t>
      </w:r>
    </w:p>
    <w:p>
      <w:pPr>
        <w:spacing w:after="0" w:line="39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4" w:name="page105"/>
    <w:bookmarkEnd w:id="104"/>
    <w:p>
      <w:pPr>
        <w:spacing w:after="0" w:line="26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 xml:space="preserve">and length of lookback periods, the applicability of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and other technical, administrative or operational matters) that the Administrative Agent (after consultation with the Borrower) decides in its reasonable discretion may be appropriate or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(after consultation with the Borrower)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57" w:lineRule="exact"/>
        <w:rPr>
          <w:sz w:val="20"/>
          <w:szCs w:val="20"/>
          <w:color w:val="auto"/>
        </w:rPr>
      </w:pPr>
    </w:p>
    <w:p>
      <w:pPr>
        <w:ind w:right="120" w:firstLine="140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Asset Coverage Ratio</w:t>
      </w:r>
      <w:r>
        <w:rPr>
          <w:rFonts w:ascii="Times New Roman" w:cs="Times New Roman" w:eastAsia="Times New Roman" w:hAnsi="Times New Roman"/>
          <w:sz w:val="19"/>
          <w:szCs w:val="19"/>
          <w:color w:val="auto"/>
        </w:rPr>
        <w:t>” means the ratio, determined on a consolidated basis for Borrower and its Subsidiaries, without duplication, of (a) the value of total assets of the Borrower and its Subsidiaries, less all liabilities and indebtedness not represented by senior securities to (b) the aggregate amount of senior securities representing indebtedness of Borrower and its Subsidiaries,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Group</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5.13(a)</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Control</w:t>
      </w:r>
      <w:r>
        <w:rPr>
          <w:rFonts w:ascii="Times New Roman" w:cs="Times New Roman" w:eastAsia="Times New Roman" w:hAnsi="Times New Roman"/>
          <w:sz w:val="19"/>
          <w:szCs w:val="19"/>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9"/>
          <w:szCs w:val="19"/>
          <w:u w:val="single" w:color="auto"/>
          <w:color w:val="auto"/>
        </w:rPr>
        <w:t>Controlling</w:t>
      </w:r>
      <w:r>
        <w:rPr>
          <w:rFonts w:ascii="Times New Roman" w:cs="Times New Roman" w:eastAsia="Times New Roman" w:hAnsi="Times New Roman"/>
          <w:sz w:val="19"/>
          <w:szCs w:val="19"/>
          <w:color w:val="auto"/>
        </w:rPr>
        <w:t xml:space="preserve"> ” and “</w:t>
      </w:r>
      <w:r>
        <w:rPr>
          <w:rFonts w:ascii="Times New Roman" w:cs="Times New Roman" w:eastAsia="Times New Roman" w:hAnsi="Times New Roman"/>
          <w:sz w:val="19"/>
          <w:szCs w:val="19"/>
          <w:u w:val="single" w:color="auto"/>
          <w:color w:val="auto"/>
        </w:rPr>
        <w:t>Controlled</w:t>
      </w:r>
      <w:r>
        <w:rPr>
          <w:rFonts w:ascii="Times New Roman" w:cs="Times New Roman" w:eastAsia="Times New Roman" w:hAnsi="Times New Roman"/>
          <w:sz w:val="19"/>
          <w:szCs w:val="19"/>
          <w:color w:val="auto"/>
        </w:rPr>
        <w:t>” have meanings correlative thereto; provided, however, “Control” shall not include “negative” control or “blocking” rights whereby action cannot be taken without the vote or consent of any Person.</w:t>
      </w:r>
    </w:p>
    <w:p>
      <w:pPr>
        <w:spacing w:after="0" w:line="150" w:lineRule="exact"/>
        <w:rPr>
          <w:sz w:val="20"/>
          <w:szCs w:val="20"/>
          <w:color w:val="auto"/>
        </w:rPr>
      </w:pPr>
    </w:p>
    <w:p>
      <w:pPr>
        <w:ind w:right="1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CORRA</w:t>
      </w:r>
      <w:r>
        <w:rPr>
          <w:rFonts w:ascii="Times New Roman" w:cs="Times New Roman" w:eastAsia="Times New Roman" w:hAnsi="Times New Roman"/>
          <w:sz w:val="19"/>
          <w:szCs w:val="19"/>
          <w:color w:val="auto"/>
        </w:rPr>
        <w:t>” means the Canadian Overnight Repo Rate Average administered and published by the Bank of Canada (or any successor administrator of the Canadian Overnight Repo Rate Average).</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CORRA Business Day</w:t>
      </w:r>
      <w:r>
        <w:rPr>
          <w:rFonts w:ascii="Times New Roman" w:cs="Times New Roman" w:eastAsia="Times New Roman" w:hAnsi="Times New Roman"/>
          <w:sz w:val="19"/>
          <w:szCs w:val="19"/>
          <w:color w:val="auto"/>
        </w:rPr>
        <w:t>” means any day (other than a Saturday or Sunday) on which banks are open for business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Toronto, Canada.</w:t>
      </w:r>
    </w:p>
    <w:p>
      <w:pPr>
        <w:spacing w:after="0" w:line="180" w:lineRule="exact"/>
        <w:rPr>
          <w:sz w:val="20"/>
          <w:szCs w:val="20"/>
          <w:color w:val="auto"/>
        </w:rPr>
      </w:pPr>
    </w:p>
    <w:p>
      <w:pPr>
        <w:ind w:right="60"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Debt Amount</w:t>
      </w:r>
      <w:r>
        <w:rPr>
          <w:rFonts w:ascii="Times New Roman" w:cs="Times New Roman" w:eastAsia="Times New Roman" w:hAnsi="Times New Roman"/>
          <w:sz w:val="19"/>
          <w:szCs w:val="19"/>
          <w:color w:val="auto"/>
        </w:rPr>
        <w:t xml:space="preserve">” means, on any date, the sum of (x) all of the Revolving Credit Exposures of all Lenders on such date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(y) the aggregate amount of Other Covered Indebtedness on such date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(z) the LC Exposures fully Cash Collateralized on such date pursuant to </w:t>
      </w:r>
      <w:r>
        <w:rPr>
          <w:rFonts w:ascii="Times New Roman" w:cs="Times New Roman" w:eastAsia="Times New Roman" w:hAnsi="Times New Roman"/>
          <w:sz w:val="19"/>
          <w:szCs w:val="19"/>
          <w:u w:val="single" w:color="auto"/>
          <w:color w:val="auto"/>
        </w:rPr>
        <w:t>Section 2.05(k)</w:t>
      </w:r>
      <w:r>
        <w:rPr>
          <w:rFonts w:ascii="Times New Roman" w:cs="Times New Roman" w:eastAsia="Times New Roman" w:hAnsi="Times New Roman"/>
          <w:sz w:val="19"/>
          <w:szCs w:val="19"/>
          <w:color w:val="auto"/>
        </w:rPr>
        <w:t xml:space="preserve"> and the last paragraph of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2026 May Notes, the 2026 November Notes, Permitted Amortizing Unsecured Longer -Term Indebtedness and Special Permitted Indebtedness shall be excluded from the calculation of the Covered Debt Amount until the date that is nine (9) months prior to the scheduled maturity date of such Indebtedness (provided that to the extent, but only to the extent, any portion of any such Indebtedness (including any portion of any Permitted Amortizing Unsecured Longer-Term Indebtedness) is subject to a contractually scheduled amortization payment, other principal payment or redemption (other than any conversion into Permitted Equity Interests) earlier than the scheduled maturity date of such Indebtedness, such portion of such Indebtedness shall be included</w:t>
      </w:r>
    </w:p>
    <w:p>
      <w:pPr>
        <w:spacing w:after="0" w:line="15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5" w:name="page106"/>
    <w:bookmarkEnd w:id="105"/>
    <w:p>
      <w:pPr>
        <w:spacing w:after="0" w:line="26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9"/>
          <w:szCs w:val="19"/>
          <w:color w:val="auto"/>
        </w:rPr>
        <w:t>in the calculation of the Covered Debt Amount beginning upon the date that is the later of (i) 9 months prior to such scheduled amortization payment, other principal payment or redemption and (ii) the date the Borrower becomes aware that such Indebtedness is required to be paid or redeemed). For the avoidance of doubt, for purposes of calculating the Covered Debt Amount, any Indebtedness that is required to be part of the Covered Debt Amount will be included at the then outstanding principal balance thereof.</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Currency</w:t>
      </w:r>
      <w:r>
        <w:rPr>
          <w:rFonts w:ascii="Times New Roman" w:cs="Times New Roman" w:eastAsia="Times New Roman" w:hAnsi="Times New Roman"/>
          <w:sz w:val="19"/>
          <w:szCs w:val="19"/>
          <w:color w:val="auto"/>
        </w:rPr>
        <w:t>” means Dollars or any Foreign Currency.</w:t>
      </w:r>
    </w:p>
    <w:p>
      <w:pPr>
        <w:spacing w:after="0" w:line="202" w:lineRule="exact"/>
        <w:rPr>
          <w:sz w:val="20"/>
          <w:szCs w:val="20"/>
          <w:color w:val="auto"/>
        </w:rPr>
      </w:pPr>
    </w:p>
    <w:p>
      <w:pPr>
        <w:ind w:right="10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RFR</w:t>
      </w:r>
      <w:r>
        <w:rPr>
          <w:rFonts w:ascii="Times New Roman" w:cs="Times New Roman" w:eastAsia="Times New Roman" w:hAnsi="Times New Roman"/>
          <w:sz w:val="19"/>
          <w:szCs w:val="19"/>
          <w:color w:val="auto"/>
        </w:rPr>
        <w:t>” means, for any day (an “</w:t>
      </w:r>
      <w:r>
        <w:rPr>
          <w:rFonts w:ascii="Times New Roman" w:cs="Times New Roman" w:eastAsia="Times New Roman" w:hAnsi="Times New Roman"/>
          <w:sz w:val="19"/>
          <w:szCs w:val="19"/>
          <w:u w:val="single" w:color="auto"/>
          <w:color w:val="auto"/>
        </w:rPr>
        <w:t>RFR Interest Day</w:t>
      </w:r>
      <w:r>
        <w:rPr>
          <w:rFonts w:ascii="Times New Roman" w:cs="Times New Roman" w:eastAsia="Times New Roman" w:hAnsi="Times New Roman"/>
          <w:sz w:val="19"/>
          <w:szCs w:val="19"/>
          <w:color w:val="auto"/>
        </w:rPr>
        <w:t>”), an interest rate per annum equal to (a) for any RFR Loan denominated in Sterling, the greater of (i) SONIA for the day (the “</w:t>
      </w:r>
      <w:r>
        <w:rPr>
          <w:rFonts w:ascii="Times New Roman" w:cs="Times New Roman" w:eastAsia="Times New Roman" w:hAnsi="Times New Roman"/>
          <w:sz w:val="19"/>
          <w:szCs w:val="19"/>
          <w:u w:val="single" w:color="auto"/>
          <w:color w:val="auto"/>
        </w:rPr>
        <w:t>RFR Reference Day</w:t>
      </w:r>
      <w:r>
        <w:rPr>
          <w:rFonts w:ascii="Times New Roman" w:cs="Times New Roman" w:eastAsia="Times New Roman" w:hAnsi="Times New Roman"/>
          <w:sz w:val="19"/>
          <w:szCs w:val="19"/>
          <w:color w:val="auto"/>
        </w:rPr>
        <w:t>”) that is five RFR Business Days prior to</w:t>
      </w:r>
    </w:p>
    <w:p>
      <w:pPr>
        <w:spacing w:after="0" w:line="1" w:lineRule="exact"/>
        <w:rPr>
          <w:sz w:val="20"/>
          <w:szCs w:val="20"/>
          <w:color w:val="auto"/>
        </w:rPr>
      </w:pPr>
    </w:p>
    <w:p>
      <w:pPr>
        <w:ind w:right="80" w:firstLine="6"/>
        <w:spacing w:after="0" w:line="251" w:lineRule="auto"/>
        <w:tabs>
          <w:tab w:leader="none" w:pos="315"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RFR Interest Day is an RFR Business Day, such RFR Interest Day or (B) if such RFR Interest Day is not an RFR Business Day, the RFR Business Day immediately preceding such RFR Interest Day, in each case plus the applicable RFR Credit Adjustment Spread for the Interest Period in which such RFR Interest Day occurs, and (ii) 0.00%; and (b) for any RFR Loan denominated in Swiss Francs, the greater of (i) SARON for the RFR Reference Day that is five RFR Business Days prior to (A) if such RFR Interest Day is an RFR Business Day, such RFR Interest Day or (B) if such RFR Interest Day is not an RFR Business Day, the RFR Business Day immediately preceding such RFR Interest Day, in each case plus the applicable RFR Credit Adjustment Spread for the Interest Period in which such RFR Interest Day occurs, and (ii) 0.00%. If by 5:00 p.m. (local time for the applicable RFR), on the second RFR Business Day immediately following any RFR Reference Day, the applicable RFR Rate in respect of such RFR Reference Day has not been published on the applicable RFR Administrator’s Website and a Benchmark Replacement Date with respect to the applicable Daily Simple RFR has not occurred, then the RFR Rate for such RFR Reference Day will be the RFR Rate as published in respect of the first preceding RFR Business Day for which such RFR Rate was published on the RFR Administrator’s Website;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RFR Rate as determined pursuant to this sentence shall be utilized for purposes of calculating the Daily Simple RFR for no more than three consecutive RFR Interest Days. Any change in Daily Simple RFR due to a change in the applicable RFR Rate shall be effective from and including the effective date of such change in such RFR Rate without notice to the Borrower.</w:t>
      </w:r>
    </w:p>
    <w:p>
      <w:pPr>
        <w:spacing w:after="0" w:line="164" w:lineRule="exact"/>
        <w:rPr>
          <w:sz w:val="20"/>
          <w:szCs w:val="20"/>
          <w:color w:val="auto"/>
        </w:rPr>
      </w:pPr>
    </w:p>
    <w:p>
      <w:pPr>
        <w:ind w:right="80" w:firstLine="1404"/>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SOFR</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u w:val="single" w:color="auto"/>
          <w:color w:val="auto"/>
        </w:rPr>
        <w:t>SOFR Rate Day</w:t>
      </w:r>
      <w:r>
        <w:rPr>
          <w:rFonts w:ascii="Times New Roman" w:cs="Times New Roman" w:eastAsia="Times New Roman" w:hAnsi="Times New Roman"/>
          <w:sz w:val="19"/>
          <w:szCs w:val="19"/>
          <w:color w:val="auto"/>
        </w:rPr>
        <w:t xml:space="preserve"> ”), a rate per annum equal to SOFR for the day (such day “</w:t>
      </w:r>
      <w:r>
        <w:rPr>
          <w:rFonts w:ascii="Times New Roman" w:cs="Times New Roman" w:eastAsia="Times New Roman" w:hAnsi="Times New Roman"/>
          <w:sz w:val="19"/>
          <w:szCs w:val="19"/>
          <w:u w:val="single" w:color="auto"/>
          <w:color w:val="auto"/>
        </w:rPr>
        <w:t>SOFR Determination Date</w:t>
      </w:r>
      <w:r>
        <w:rPr>
          <w:rFonts w:ascii="Times New Roman" w:cs="Times New Roman" w:eastAsia="Times New Roman" w:hAnsi="Times New Roman"/>
          <w:sz w:val="19"/>
          <w:szCs w:val="19"/>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If by 5:00 p.m. (New York City time)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9"/>
          <w:szCs w:val="19"/>
          <w:color w:val="auto"/>
        </w:rPr>
        <w:t xml:space="preserve">) RFR Business Day immediately following any SOFR Determination Date, the SOFR in respect of such SOFR Determination Date has not been published on the SOFR Administrator’s Website and a Benchmark Replacement Date with respect to the Daily Simple SOFR has not occurred, then the SOFR for such SOFR Determination Date will be the SOFR as published in respect of the first preceding RFR Business Day for which such SOFR was published on the SOFR Administrator’s Website;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SOFR determined pursuant to this sentence shall be utilized for purposes of the calculation of Daily Simple SOFR for no more than three (3) consecutive SOFR Rate Days. Any change in Daily Simple SOFR due to a change in SOFR shall be effective from and including the effective date of such change in SOFR without notice to the Borrower.</w:t>
      </w:r>
    </w:p>
    <w:p>
      <w:pPr>
        <w:spacing w:after="0" w:line="1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6" w:name="page107"/>
    <w:bookmarkEnd w:id="106"/>
    <w:p>
      <w:pPr>
        <w:spacing w:after="0" w:line="269"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means any event or condition which constitutes an Event of Default or which upon notice, lapse of time or both would, unless cured or waived, become an Event of Default.</w:t>
      </w:r>
    </w:p>
    <w:p>
      <w:pPr>
        <w:spacing w:after="0" w:line="127" w:lineRule="exact"/>
        <w:rPr>
          <w:sz w:val="20"/>
          <w:szCs w:val="20"/>
          <w:color w:val="auto"/>
        </w:rPr>
      </w:pPr>
    </w:p>
    <w:p>
      <w:pPr>
        <w:ind w:right="20"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2.19(b)</w:t>
      </w:r>
      <w:r>
        <w:rPr>
          <w:rFonts w:ascii="Times New Roman" w:cs="Times New Roman" w:eastAsia="Times New Roman" w:hAnsi="Times New Roman"/>
          <w:sz w:val="19"/>
          <w:szCs w:val="19"/>
          <w:color w:val="auto"/>
        </w:rPr>
        <w:t>, any Lender that, during such Lender’s Availability Period, (a) has failed to (i) fund all or any portion of its Loans or participations in Letters of Credit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w:t>
      </w:r>
    </w:p>
    <w:p>
      <w:pPr>
        <w:spacing w:after="0" w:line="2" w:lineRule="exact"/>
        <w:rPr>
          <w:sz w:val="20"/>
          <w:szCs w:val="20"/>
          <w:color w:val="auto"/>
        </w:rPr>
      </w:pPr>
    </w:p>
    <w:p>
      <w:pPr>
        <w:ind w:firstLine="6"/>
        <w:spacing w:after="0" w:line="251" w:lineRule="auto"/>
        <w:tabs>
          <w:tab w:leader="none" w:pos="282"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pay to the Administrative Agent, Issuing Bank, Swingline Lender or any other Lender any other amount required to be paid by it hereunder (including in respect of its participation in Letters of Credit or Swingline Loans) within two Business Days of the date when due, (b) has notified the Borrower, the Administrative Agent, Issuing Bank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upon receipt of such written confirmation by the Administrative Agent and the Borrower), or (d) the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19"/>
          <w:szCs w:val="19"/>
          <w:u w:val="single" w:color="auto"/>
          <w:color w:val="auto"/>
        </w:rPr>
        <w:t>Section 2.19(b)</w:t>
      </w:r>
      <w:r>
        <w:rPr>
          <w:rFonts w:ascii="Times New Roman" w:cs="Times New Roman" w:eastAsia="Times New Roman" w:hAnsi="Times New Roman"/>
          <w:sz w:val="19"/>
          <w:szCs w:val="19"/>
          <w:color w:val="auto"/>
        </w:rPr>
        <w:t>) upon such determination (and the Administrative Agent shall deliver written notice of such determination to the Borrower, the Issuing Bank and each Lender and the Swingline Lender).</w:t>
      </w:r>
    </w:p>
    <w:p>
      <w:pPr>
        <w:spacing w:after="0" w:line="1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7" w:name="page108"/>
    <w:bookmarkEnd w:id="107"/>
    <w:p>
      <w:pPr>
        <w:spacing w:after="0" w:line="269" w:lineRule="exact"/>
        <w:rPr>
          <w:sz w:val="20"/>
          <w:szCs w:val="20"/>
          <w:color w:val="auto"/>
        </w:rPr>
      </w:pPr>
    </w:p>
    <w:p>
      <w:pPr>
        <w:ind w:right="4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Designated Obligations</w:t>
      </w:r>
      <w:r>
        <w:rPr>
          <w:rFonts w:ascii="Times New Roman" w:cs="Times New Roman" w:eastAsia="Times New Roman" w:hAnsi="Times New Roman"/>
          <w:sz w:val="19"/>
          <w:szCs w:val="19"/>
          <w:color w:val="auto"/>
        </w:rPr>
        <w:t>” means all obligations of the Borrower with respect to (a) principal of and interest on the Loans and (b) accrued and unpaid fees under the Loan Documents.</w:t>
      </w:r>
    </w:p>
    <w:p>
      <w:pPr>
        <w:spacing w:after="0" w:line="127" w:lineRule="exact"/>
        <w:rPr>
          <w:sz w:val="20"/>
          <w:szCs w:val="20"/>
          <w:color w:val="auto"/>
        </w:rPr>
      </w:pPr>
    </w:p>
    <w:p>
      <w:pPr>
        <w:ind w:right="22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Disposition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Dispose</w:t>
      </w:r>
      <w:r>
        <w:rPr>
          <w:rFonts w:ascii="Times New Roman" w:cs="Times New Roman" w:eastAsia="Times New Roman" w:hAnsi="Times New Roman"/>
          <w:sz w:val="19"/>
          <w:szCs w:val="19"/>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“Disposition” or “Dispose” shall not include the disposition of Portfolio Investments originated by the Borrower and immediately transferred to a Financing Subsidiary pursuant to a transaction not prohibited hereunder.</w:t>
      </w:r>
    </w:p>
    <w:p>
      <w:pPr>
        <w:spacing w:after="0" w:line="154"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Commitment</w:t>
      </w:r>
      <w:r>
        <w:rPr>
          <w:rFonts w:ascii="Times New Roman" w:cs="Times New Roman" w:eastAsia="Times New Roman" w:hAnsi="Times New Roman"/>
          <w:sz w:val="19"/>
          <w:szCs w:val="19"/>
          <w:color w:val="auto"/>
        </w:rPr>
        <w:t xml:space="preserve">” means, with respect to each Dollar Lender, the commitment of such Dollar Lender to make Syndicated Loans, and to acquire participations in Letters of Credit and Swingline Loans, denominated in Dollars hereunder, during such Lender’s Availability Period, expressed as an amount representing the maximum aggregate amount of such Lender’s Revolving Dollar Credit Exposure hereunder, as such commitment may be (a) reduced or increased from time to time pursuant to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and (b) reduced or increased from time to time pursuant to assignments by or to such Lender pursuant to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The initial amount of each Lender’s Dollar Commitment is set forth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 or in the Assignment and Assumption pursuant to which such Lender shall have assumed its Dollar Commitment, as applicable. The aggregate amount of the Lenders’ Dollar Commitments as of the Fifth Amendment Effective Date is $85,000,000.</w:t>
      </w:r>
    </w:p>
    <w:p>
      <w:pPr>
        <w:spacing w:after="0" w:line="160" w:lineRule="exact"/>
        <w:rPr>
          <w:sz w:val="20"/>
          <w:szCs w:val="20"/>
          <w:color w:val="auto"/>
        </w:rPr>
      </w:pPr>
    </w:p>
    <w:p>
      <w:pPr>
        <w:ind w:right="40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Equivalent</w:t>
      </w:r>
      <w:r>
        <w:rPr>
          <w:rFonts w:ascii="Times New Roman" w:cs="Times New Roman" w:eastAsia="Times New Roman" w:hAnsi="Times New Roman"/>
          <w:sz w:val="19"/>
          <w:szCs w:val="19"/>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150" w:lineRule="exact"/>
        <w:rPr>
          <w:sz w:val="20"/>
          <w:szCs w:val="20"/>
          <w:color w:val="auto"/>
        </w:rPr>
      </w:pPr>
    </w:p>
    <w:p>
      <w:pPr>
        <w:ind w:right="2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LC Exposure</w:t>
      </w:r>
      <w:r>
        <w:rPr>
          <w:rFonts w:ascii="Times New Roman" w:cs="Times New Roman" w:eastAsia="Times New Roman" w:hAnsi="Times New Roman"/>
          <w:sz w:val="19"/>
          <w:szCs w:val="19"/>
          <w:color w:val="auto"/>
        </w:rPr>
        <w:t xml:space="preserve">” means, at any time, the sum of (a) the aggregate undrawn amount of all outstanding Dollar Letters of Credit at such time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50" w:lineRule="exact"/>
        <w:rPr>
          <w:sz w:val="20"/>
          <w:szCs w:val="20"/>
          <w:color w:val="auto"/>
        </w:rPr>
      </w:pPr>
    </w:p>
    <w:p>
      <w:pPr>
        <w:ind w:right="12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Lender</w:t>
      </w:r>
      <w:r>
        <w:rPr>
          <w:rFonts w:ascii="Times New Roman" w:cs="Times New Roman" w:eastAsia="Times New Roman" w:hAnsi="Times New Roman"/>
          <w:sz w:val="19"/>
          <w:szCs w:val="19"/>
          <w:color w:val="auto"/>
        </w:rPr>
        <w:t xml:space="preserve">” means the Persons listed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 xml:space="preserve"> 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Letters of Credit</w:t>
      </w:r>
      <w:r>
        <w:rPr>
          <w:rFonts w:ascii="Times New Roman" w:cs="Times New Roman" w:eastAsia="Times New Roman" w:hAnsi="Times New Roman"/>
          <w:sz w:val="19"/>
          <w:szCs w:val="19"/>
          <w:color w:val="auto"/>
        </w:rPr>
        <w:t>” means Letters of Credit that utilize the Dollar Commitments.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Loan</w:t>
      </w:r>
      <w:r>
        <w:rPr>
          <w:rFonts w:ascii="Times New Roman" w:cs="Times New Roman" w:eastAsia="Times New Roman" w:hAnsi="Times New Roman"/>
          <w:sz w:val="19"/>
          <w:szCs w:val="19"/>
          <w:color w:val="auto"/>
        </w:rPr>
        <w:t>” means a Loan denominated in Dollars.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refers to lawful money of the United States of America.</w:t>
      </w:r>
    </w:p>
    <w:p>
      <w:pPr>
        <w:spacing w:after="0" w:line="20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08" w:name="page109"/>
    <w:bookmarkEnd w:id="108"/>
    <w:p>
      <w:pPr>
        <w:spacing w:after="0" w:line="269" w:lineRule="exact"/>
        <w:rPr>
          <w:sz w:val="20"/>
          <w:szCs w:val="20"/>
          <w:color w:val="auto"/>
        </w:rPr>
      </w:pPr>
    </w:p>
    <w:p>
      <w:pPr>
        <w:ind w:right="10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Member Country</w:t>
      </w:r>
      <w:r>
        <w:rPr>
          <w:rFonts w:ascii="Times New Roman" w:cs="Times New Roman" w:eastAsia="Times New Roman" w:hAnsi="Times New Roman"/>
          <w:sz w:val="19"/>
          <w:szCs w:val="19"/>
          <w:color w:val="auto"/>
        </w:rPr>
        <w:t>” means any of the member states of the European Union, Iceland, Liechtenstein and Norway.</w:t>
      </w:r>
    </w:p>
    <w:p>
      <w:pPr>
        <w:spacing w:after="0" w:line="202" w:lineRule="exact"/>
        <w:rPr>
          <w:sz w:val="20"/>
          <w:szCs w:val="20"/>
          <w:color w:val="auto"/>
        </w:rPr>
      </w:pPr>
    </w:p>
    <w:p>
      <w:pPr>
        <w:ind w:right="58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Resolution Authority</w:t>
      </w:r>
      <w:r>
        <w:rPr>
          <w:rFonts w:ascii="Times New Roman" w:cs="Times New Roman" w:eastAsia="Times New Roman" w:hAnsi="Times New Roman"/>
          <w:sz w:val="19"/>
          <w:szCs w:val="19"/>
          <w:color w:val="auto"/>
        </w:rPr>
        <w:t xml:space="preserve"> ” means any public administrative authority or any Person entrusted with public administrative authority of any EEA Member Country (including any delegee) having responsibility for the resolution of any EEA Financial Institution.</w:t>
      </w:r>
    </w:p>
    <w:p>
      <w:pPr>
        <w:spacing w:after="0" w:line="144" w:lineRule="exact"/>
        <w:rPr>
          <w:sz w:val="20"/>
          <w:szCs w:val="20"/>
          <w:color w:val="auto"/>
        </w:rPr>
      </w:pPr>
    </w:p>
    <w:p>
      <w:pPr>
        <w:ind w:right="8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xml:space="preserve">” means the date on which the conditions specified in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are satisfied (or waived in accordance with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which date is June 25, 2014.</w:t>
      </w:r>
    </w:p>
    <w:p>
      <w:pPr>
        <w:spacing w:after="0" w:line="127" w:lineRule="exact"/>
        <w:rPr>
          <w:sz w:val="20"/>
          <w:szCs w:val="20"/>
          <w:color w:val="auto"/>
        </w:rPr>
      </w:pPr>
    </w:p>
    <w:p>
      <w:pPr>
        <w:ind w:right="12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Interests</w:t>
      </w:r>
      <w:r>
        <w:rPr>
          <w:rFonts w:ascii="Times New Roman" w:cs="Times New Roman" w:eastAsia="Times New Roman" w:hAnsi="Times New Roman"/>
          <w:sz w:val="19"/>
          <w:szCs w:val="19"/>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As used in this Agreement, “Equity Interests” shall not include convertible debt unless and until such debt has been converted to capital stock.</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means the Employee Retirement Income Security Act of 1974, as amended from time to time.</w:t>
      </w:r>
    </w:p>
    <w:p>
      <w:pPr>
        <w:spacing w:after="0" w:line="202" w:lineRule="exact"/>
        <w:rPr>
          <w:sz w:val="20"/>
          <w:szCs w:val="20"/>
          <w:color w:val="auto"/>
        </w:rPr>
      </w:pPr>
    </w:p>
    <w:p>
      <w:pPr>
        <w:ind w:right="8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Affiliate</w:t>
      </w:r>
      <w:r>
        <w:rPr>
          <w:rFonts w:ascii="Times New Roman" w:cs="Times New Roman" w:eastAsia="Times New Roman" w:hAnsi="Times New Roman"/>
          <w:sz w:val="19"/>
          <w:szCs w:val="19"/>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44"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xml:space="preserve"> ”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5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09" w:name="page110"/>
    <w:bookmarkEnd w:id="109"/>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8.09(a)</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Deficiency Assignment</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8.09(d)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Impacted Class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8.09(d)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Return Deficiency</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8.09(d)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Subrogation Rights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8.09(d)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7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 Bail-In Legislation Schedule</w:t>
      </w:r>
      <w:r>
        <w:rPr>
          <w:rFonts w:ascii="Times New Roman" w:cs="Times New Roman" w:eastAsia="Times New Roman" w:hAnsi="Times New Roman"/>
          <w:sz w:val="19"/>
          <w:szCs w:val="19"/>
          <w:color w:val="auto"/>
        </w:rPr>
        <w:t>” means the EU Bail-In Legislation Schedule published by the Loan Market Association (or any successor person), as in effect from time to time.</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EURIBOR Screen Rate</w:t>
      </w:r>
      <w:r>
        <w:rPr>
          <w:rFonts w:ascii="Times New Roman" w:cs="Times New Roman" w:eastAsia="Times New Roman" w:hAnsi="Times New Roman"/>
          <w:sz w:val="19"/>
          <w:szCs w:val="19"/>
          <w:color w:val="auto"/>
        </w:rPr>
        <w:t>” has the meaning assigned to such term in clause (b) of the definition of “Term Benchmark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Rate”.</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w:t>
      </w:r>
      <w:r>
        <w:rPr>
          <w:rFonts w:ascii="Times New Roman" w:cs="Times New Roman" w:eastAsia="Times New Roman" w:hAnsi="Times New Roman"/>
          <w:sz w:val="19"/>
          <w:szCs w:val="19"/>
          <w:color w:val="auto"/>
        </w:rPr>
        <w:t>” means a single currency of the Participating Member States.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60" w:firstLine="1404"/>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xml:space="preserve">” means, with respect to the Administrative Agent, any Lender, the Issuing Bank or any other recipient of any payment to be made by or on account of any obligation of the Borrower hereunder, (a) income, corporate, franchise or other similar Taxes imposed on (or measured by) its net income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of America or any similar Tax imposed by any other jurisdiction in which the Borrower is located, (c) in the case of a Lender, any U.S. federal withholding Tax imposed on amounts payable to such Lender (i) at the time such Lender (other than an assignee pursuant to a request by the Borrower under </w:t>
      </w:r>
      <w:r>
        <w:rPr>
          <w:rFonts w:ascii="Times New Roman" w:cs="Times New Roman" w:eastAsia="Times New Roman" w:hAnsi="Times New Roman"/>
          <w:sz w:val="19"/>
          <w:szCs w:val="19"/>
          <w:u w:val="single" w:color="auto"/>
          <w:color w:val="auto"/>
        </w:rPr>
        <w:t>Section 2.18(b)</w:t>
      </w:r>
      <w:r>
        <w:rPr>
          <w:rFonts w:ascii="Times New Roman" w:cs="Times New Roman" w:eastAsia="Times New Roman" w:hAnsi="Times New Roman"/>
          <w:sz w:val="19"/>
          <w:szCs w:val="19"/>
          <w:color w:val="auto"/>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at the time of such assignment or designation (other than to the extent such withholding is as a result of a CAM Exchange), or (ii) that is attributable to such Lender’s failure or inability (other than as a result of a Change in Law occurring after the date such Lender becomes a party to this Agreement) to comply with </w:t>
      </w:r>
      <w:r>
        <w:rPr>
          <w:rFonts w:ascii="Times New Roman" w:cs="Times New Roman" w:eastAsia="Times New Roman" w:hAnsi="Times New Roman"/>
          <w:sz w:val="19"/>
          <w:szCs w:val="19"/>
          <w:u w:val="single" w:color="auto"/>
          <w:color w:val="auto"/>
        </w:rPr>
        <w:t>Section 2.16(f)</w:t>
      </w:r>
      <w:r>
        <w:rPr>
          <w:rFonts w:ascii="Times New Roman" w:cs="Times New Roman" w:eastAsia="Times New Roman" w:hAnsi="Times New Roman"/>
          <w:sz w:val="19"/>
          <w:szCs w:val="19"/>
          <w:color w:val="auto"/>
        </w:rPr>
        <w:t>, (d) any U.S. federal, state or local backup withholding Taxes imposed on payments made under any Loan Document, and (e) any U.S. federal withholding Tax that is imposed pursuant to FATCA.</w:t>
      </w:r>
    </w:p>
    <w:p>
      <w:pPr>
        <w:spacing w:after="0" w:line="16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xml:space="preserve">” has the meaning assigned to such term in the </w:t>
      </w:r>
      <w:r>
        <w:rPr>
          <w:rFonts w:ascii="Times New Roman" w:cs="Times New Roman" w:eastAsia="Times New Roman" w:hAnsi="Times New Roman"/>
          <w:sz w:val="19"/>
          <w:szCs w:val="19"/>
          <w:u w:val="single" w:color="auto"/>
          <w:color w:val="auto"/>
        </w:rPr>
        <w:t>preamble</w:t>
      </w:r>
      <w:r>
        <w:rPr>
          <w:rFonts w:ascii="Times New Roman" w:cs="Times New Roman" w:eastAsia="Times New Roman" w:hAnsi="Times New Roman"/>
          <w:sz w:val="19"/>
          <w:szCs w:val="19"/>
          <w:color w:val="auto"/>
        </w:rPr>
        <w:t xml:space="preserve"> to this Agreement.</w:t>
      </w:r>
    </w:p>
    <w:p>
      <w:pPr>
        <w:spacing w:after="0" w:line="20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0" w:name="page111"/>
    <w:bookmarkEnd w:id="110"/>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Lenders</w:t>
      </w:r>
      <w:r>
        <w:rPr>
          <w:rFonts w:ascii="Times New Roman" w:cs="Times New Roman" w:eastAsia="Times New Roman" w:hAnsi="Times New Roman"/>
          <w:sz w:val="19"/>
          <w:szCs w:val="19"/>
          <w:color w:val="auto"/>
        </w:rPr>
        <w:t xml:space="preserve">” has the meaning assigned to such term in the </w:t>
      </w:r>
      <w:r>
        <w:rPr>
          <w:rFonts w:ascii="Times New Roman" w:cs="Times New Roman" w:eastAsia="Times New Roman" w:hAnsi="Times New Roman"/>
          <w:sz w:val="19"/>
          <w:szCs w:val="19"/>
          <w:u w:val="single" w:color="auto"/>
          <w:color w:val="auto"/>
        </w:rPr>
        <w:t>preamble</w:t>
      </w:r>
      <w:r>
        <w:rPr>
          <w:rFonts w:ascii="Times New Roman" w:cs="Times New Roman" w:eastAsia="Times New Roman" w:hAnsi="Times New Roman"/>
          <w:sz w:val="19"/>
          <w:szCs w:val="19"/>
          <w:color w:val="auto"/>
        </w:rPr>
        <w:t xml:space="preserve"> to this Agreement.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Loans</w:t>
      </w:r>
      <w:r>
        <w:rPr>
          <w:rFonts w:ascii="Times New Roman" w:cs="Times New Roman" w:eastAsia="Times New Roman" w:hAnsi="Times New Roman"/>
          <w:sz w:val="19"/>
          <w:szCs w:val="19"/>
          <w:color w:val="auto"/>
        </w:rPr>
        <w:t xml:space="preserve">” has the meaning assigned to such term in the </w:t>
      </w:r>
      <w:r>
        <w:rPr>
          <w:rFonts w:ascii="Times New Roman" w:cs="Times New Roman" w:eastAsia="Times New Roman" w:hAnsi="Times New Roman"/>
          <w:sz w:val="19"/>
          <w:szCs w:val="19"/>
          <w:u w:val="single" w:color="auto"/>
          <w:color w:val="auto"/>
        </w:rPr>
        <w:t>preamble</w:t>
      </w:r>
      <w:r>
        <w:rPr>
          <w:rFonts w:ascii="Times New Roman" w:cs="Times New Roman" w:eastAsia="Times New Roman" w:hAnsi="Times New Roman"/>
          <w:sz w:val="19"/>
          <w:szCs w:val="19"/>
          <w:color w:val="auto"/>
        </w:rPr>
        <w:t xml:space="preserve"> to this Agreement.</w:t>
      </w:r>
    </w:p>
    <w:p>
      <w:pPr>
        <w:spacing w:after="0" w:line="202" w:lineRule="exact"/>
        <w:rPr>
          <w:sz w:val="20"/>
          <w:szCs w:val="20"/>
          <w:color w:val="auto"/>
        </w:rPr>
      </w:pPr>
    </w:p>
    <w:p>
      <w:pPr>
        <w:ind w:right="58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Extended Availability Period</w:t>
      </w:r>
      <w:r>
        <w:rPr>
          <w:rFonts w:ascii="Times New Roman" w:cs="Times New Roman" w:eastAsia="Times New Roman" w:hAnsi="Times New Roman"/>
          <w:sz w:val="19"/>
          <w:szCs w:val="19"/>
          <w:color w:val="auto"/>
        </w:rPr>
        <w:t xml:space="preserve"> ” means, with respect to any Extending Lender, the period from and including the Effective Date to but excluding the earlier of the Extended Commitment Termination Date and the date of termination of the Commitments.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Extended Commitment Termination Date</w:t>
      </w:r>
      <w:r>
        <w:rPr>
          <w:rFonts w:ascii="Times New Roman" w:cs="Times New Roman" w:eastAsia="Times New Roman" w:hAnsi="Times New Roman"/>
          <w:sz w:val="19"/>
          <w:szCs w:val="19"/>
          <w:color w:val="auto"/>
        </w:rPr>
        <w:t>” means, with respect to each Extending Lender, July 29, 2026.</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Extended Final Maturity Date</w:t>
      </w:r>
      <w:r>
        <w:rPr>
          <w:rFonts w:ascii="Times New Roman" w:cs="Times New Roman" w:eastAsia="Times New Roman" w:hAnsi="Times New Roman"/>
          <w:sz w:val="19"/>
          <w:szCs w:val="19"/>
          <w:color w:val="auto"/>
        </w:rPr>
        <w:t>” means, with respect to each Extending Lender, July 29, 2027.</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Extended Loans</w:t>
      </w:r>
      <w:r>
        <w:rPr>
          <w:rFonts w:ascii="Times New Roman" w:cs="Times New Roman" w:eastAsia="Times New Roman" w:hAnsi="Times New Roman"/>
          <w:sz w:val="19"/>
          <w:szCs w:val="19"/>
          <w:color w:val="auto"/>
        </w:rPr>
        <w:t>” means Loans or Borrowings of any Extending Lender maturing on the Extended Final Maturity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Extending Lender</w:t>
      </w:r>
      <w:r>
        <w:rPr>
          <w:rFonts w:ascii="Times New Roman" w:cs="Times New Roman" w:eastAsia="Times New Roman" w:hAnsi="Times New Roman"/>
          <w:sz w:val="19"/>
          <w:szCs w:val="19"/>
          <w:color w:val="auto"/>
        </w:rPr>
        <w:t xml:space="preserve">” means each Lender designated as an “Extending Lender”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0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Extending Lender Applicable Margin</w:t>
      </w:r>
      <w:r>
        <w:rPr>
          <w:rFonts w:ascii="Times New Roman" w:cs="Times New Roman" w:eastAsia="Times New Roman" w:hAnsi="Times New Roman"/>
          <w:sz w:val="19"/>
          <w:szCs w:val="19"/>
          <w:color w:val="auto"/>
        </w:rPr>
        <w:t>” means (a) if the Borrowing Base (as of the most recently delivered Borrowing Base Certificate) is greater than or equal to the product of 1.60 and the Combined Debt Amount, (i) with respect to any ABR Loan,</w:t>
      </w:r>
    </w:p>
    <w:p>
      <w:pPr>
        <w:spacing w:after="0" w:line="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1.00% per annum, (ii) with respect to any Term Benchmark Loan, 2.00% per annum and (iii) with respect to any RFR Loan, 2.00% per annum; and (b) if the Borrowing Base (as of the most recently delivered Borrowing Base Certificate) is less than the product of 1.60 and the Combined Debt Amount, (i) with respect to any ABR Loan, 1.25% per annum, (ii) with respect to any Term Benchmark Loan, 2.25% per annum and (iii) with respect to any RFR Loan, 2.25% per annum.</w:t>
      </w:r>
    </w:p>
    <w:p>
      <w:pPr>
        <w:spacing w:after="0" w:line="157"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Extraordinary Receipts</w:t>
      </w:r>
      <w:r>
        <w:rPr>
          <w:rFonts w:ascii="Times New Roman" w:cs="Times New Roman" w:eastAsia="Times New Roman" w:hAnsi="Times New Roman"/>
          <w:sz w:val="19"/>
          <w:szCs w:val="19"/>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Extraordinary Receipts shall not include any (x) amounts that the Borrower receives from the Administrative Agent or any Lender pursuant to </w:t>
      </w:r>
      <w:r>
        <w:rPr>
          <w:rFonts w:ascii="Times New Roman" w:cs="Times New Roman" w:eastAsia="Times New Roman" w:hAnsi="Times New Roman"/>
          <w:sz w:val="19"/>
          <w:szCs w:val="19"/>
          <w:u w:val="single" w:color="auto"/>
          <w:color w:val="auto"/>
        </w:rPr>
        <w:t>Section 2.16(f)</w:t>
      </w:r>
      <w:r>
        <w:rPr>
          <w:rFonts w:ascii="Times New Roman" w:cs="Times New Roman" w:eastAsia="Times New Roman" w:hAnsi="Times New Roman"/>
          <w:sz w:val="19"/>
          <w:szCs w:val="19"/>
          <w:color w:val="auto"/>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5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11" w:name="page112"/>
    <w:bookmarkEnd w:id="111"/>
    <w:p>
      <w:pPr>
        <w:spacing w:after="0" w:line="269" w:lineRule="exact"/>
        <w:rPr>
          <w:sz w:val="20"/>
          <w:szCs w:val="20"/>
          <w:color w:val="auto"/>
        </w:rPr>
      </w:pPr>
    </w:p>
    <w:p>
      <w:pPr>
        <w:ind w:right="10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FATCA</w:t>
      </w:r>
      <w:r>
        <w:rPr>
          <w:rFonts w:ascii="Times New Roman" w:cs="Times New Roman" w:eastAsia="Times New Roman" w:hAnsi="Times New Roman"/>
          <w:sz w:val="19"/>
          <w:szCs w:val="19"/>
          <w:color w:val="auto"/>
        </w:rPr>
        <w:t>” means Section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any intergovernmental agreement entered into in connection with the foregoing, and any legislation or regulations adopted or promulgated pursuant to any such intergovernmental agreement.</w:t>
      </w:r>
    </w:p>
    <w:p>
      <w:pPr>
        <w:spacing w:after="0" w:line="154" w:lineRule="exact"/>
        <w:rPr>
          <w:sz w:val="20"/>
          <w:szCs w:val="20"/>
          <w:color w:val="auto"/>
        </w:rPr>
      </w:pPr>
    </w:p>
    <w:p>
      <w:pPr>
        <w:ind w:right="12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Federal Funds Effective Rate</w:t>
      </w:r>
      <w:r>
        <w:rPr>
          <w:rFonts w:ascii="Times New Roman" w:cs="Times New Roman" w:eastAsia="Times New Roman" w:hAnsi="Times New Roman"/>
          <w:sz w:val="19"/>
          <w:szCs w:val="19"/>
          <w:color w:val="auto"/>
        </w:rPr>
        <w:t>” means, for any day, the greater of (a) zero and (b) weighted average (rounded upwards, if necessary, to the next 1/100 of 1%) of the rates on overnight Federal funds transactions,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54" w:lineRule="exact"/>
        <w:rPr>
          <w:sz w:val="20"/>
          <w:szCs w:val="20"/>
          <w:color w:val="auto"/>
        </w:rPr>
      </w:pPr>
    </w:p>
    <w:p>
      <w:pPr>
        <w:ind w:right="480" w:firstLine="1404"/>
        <w:spacing w:after="0" w:line="286" w:lineRule="auto"/>
        <w:rPr>
          <w:sz w:val="20"/>
          <w:szCs w:val="20"/>
          <w:color w:val="auto"/>
        </w:rPr>
      </w:pPr>
      <w:r>
        <w:rPr>
          <w:rFonts w:ascii="Times New Roman" w:cs="Times New Roman" w:eastAsia="Times New Roman" w:hAnsi="Times New Roman"/>
          <w:sz w:val="19"/>
          <w:szCs w:val="19"/>
          <w:u w:val="single" w:color="auto"/>
          <w:color w:val="auto"/>
        </w:rPr>
        <w:t>“Federal Reserve Bank of New York’s Website</w:t>
      </w:r>
      <w:r>
        <w:rPr>
          <w:rFonts w:ascii="Times New Roman" w:cs="Times New Roman" w:eastAsia="Times New Roman" w:hAnsi="Times New Roman"/>
          <w:sz w:val="19"/>
          <w:szCs w:val="19"/>
          <w:color w:val="auto"/>
        </w:rPr>
        <w:t>” means the website of the Federal Reserve Bank of New York at http://www.newyorkfed.org, or any successor source.</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Fee Letter</w:t>
      </w:r>
      <w:r>
        <w:rPr>
          <w:rFonts w:ascii="Times New Roman" w:cs="Times New Roman" w:eastAsia="Times New Roman" w:hAnsi="Times New Roman"/>
          <w:sz w:val="19"/>
          <w:szCs w:val="19"/>
          <w:color w:val="auto"/>
        </w:rPr>
        <w:t>” means that certain fee letter, dated July 25, 2022, among the Borrower, Truist Bank and Truist Securities,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Fifth Amendment Effective Date</w:t>
      </w:r>
      <w:r>
        <w:rPr>
          <w:rFonts w:ascii="Times New Roman" w:cs="Times New Roman" w:eastAsia="Times New Roman" w:hAnsi="Times New Roman"/>
          <w:sz w:val="19"/>
          <w:szCs w:val="19"/>
          <w:color w:val="auto"/>
        </w:rPr>
        <w:t>” means July 29, 2022.</w:t>
      </w:r>
    </w:p>
    <w:p>
      <w:pPr>
        <w:spacing w:after="0" w:line="202" w:lineRule="exact"/>
        <w:rPr>
          <w:sz w:val="20"/>
          <w:szCs w:val="20"/>
          <w:color w:val="auto"/>
        </w:rPr>
      </w:pPr>
    </w:p>
    <w:p>
      <w:pPr>
        <w:ind w:right="2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Final Maturity Date</w:t>
      </w:r>
      <w:r>
        <w:rPr>
          <w:rFonts w:ascii="Times New Roman" w:cs="Times New Roman" w:eastAsia="Times New Roman" w:hAnsi="Times New Roman"/>
          <w:sz w:val="19"/>
          <w:szCs w:val="19"/>
          <w:color w:val="auto"/>
        </w:rPr>
        <w:t>” means (i) in the case of any Extending Lender (with respect to such Extending Lender’s Extended Loans), the Extended Final Maturity Date or (ii) in the case of any Non-Extending Lender (with respect to such Non-Extending Lender’s Non-Extended Loans), such Non-Extending Lender’s applicable Non-Extended Final Maturity Date.</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Financial Officer</w:t>
      </w:r>
      <w:r>
        <w:rPr>
          <w:rFonts w:ascii="Times New Roman" w:cs="Times New Roman" w:eastAsia="Times New Roman" w:hAnsi="Times New Roman"/>
          <w:sz w:val="19"/>
          <w:szCs w:val="19"/>
          <w:color w:val="auto"/>
        </w:rPr>
        <w:t>” means the chief financial officer, principal accounting officer, treasurer or controller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Borrower.</w:t>
      </w:r>
    </w:p>
    <w:p>
      <w:pPr>
        <w:spacing w:after="0" w:line="180" w:lineRule="exact"/>
        <w:rPr>
          <w:sz w:val="20"/>
          <w:szCs w:val="20"/>
          <w:color w:val="auto"/>
        </w:rPr>
      </w:pPr>
    </w:p>
    <w:p>
      <w:pPr>
        <w:ind w:right="3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Financial Stability Board</w:t>
      </w:r>
      <w:r>
        <w:rPr>
          <w:rFonts w:ascii="Times New Roman" w:cs="Times New Roman" w:eastAsia="Times New Roman" w:hAnsi="Times New Roman"/>
          <w:sz w:val="19"/>
          <w:szCs w:val="19"/>
          <w:color w:val="auto"/>
        </w:rPr>
        <w:t>” means the Financial Stability Board established after the G20 London summit in April 2009 as a successor to the Financial Stability Forum.</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Financing Subsidiary</w:t>
      </w:r>
      <w:r>
        <w:rPr>
          <w:rFonts w:ascii="Times New Roman" w:cs="Times New Roman" w:eastAsia="Times New Roman" w:hAnsi="Times New Roman"/>
          <w:sz w:val="19"/>
          <w:szCs w:val="19"/>
          <w:color w:val="auto"/>
        </w:rPr>
        <w:t>” means an SPE Subsidiary or an SBIC Subsidiary.</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Floor</w:t>
      </w:r>
      <w:r>
        <w:rPr>
          <w:rFonts w:ascii="Times New Roman" w:cs="Times New Roman" w:eastAsia="Times New Roman" w:hAnsi="Times New Roman"/>
          <w:sz w:val="19"/>
          <w:szCs w:val="19"/>
          <w:color w:val="auto"/>
        </w:rPr>
        <w:t>” means zero percent (0.00%).</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Currency</w:t>
      </w:r>
      <w:r>
        <w:rPr>
          <w:rFonts w:ascii="Times New Roman" w:cs="Times New Roman" w:eastAsia="Times New Roman" w:hAnsi="Times New Roman"/>
          <w:sz w:val="19"/>
          <w:szCs w:val="19"/>
          <w:color w:val="auto"/>
        </w:rPr>
        <w:t>” means at any time any Currency other than Dollars.</w:t>
      </w:r>
    </w:p>
    <w:p>
      <w:pPr>
        <w:spacing w:after="0" w:line="202"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Currency Equivalent</w:t>
      </w:r>
      <w:r>
        <w:rPr>
          <w:rFonts w:ascii="Times New Roman" w:cs="Times New Roman" w:eastAsia="Times New Roman" w:hAnsi="Times New Roman"/>
          <w:sz w:val="19"/>
          <w:szCs w:val="19"/>
          <w:color w:val="auto"/>
        </w:rPr>
        <w:t xml:space="preserve"> ”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Lender</w:t>
      </w:r>
      <w:r>
        <w:rPr>
          <w:rFonts w:ascii="Times New Roman" w:cs="Times New Roman" w:eastAsia="Times New Roman" w:hAnsi="Times New Roman"/>
          <w:sz w:val="19"/>
          <w:szCs w:val="19"/>
          <w:color w:val="auto"/>
        </w:rPr>
        <w:t>” means any Lender that is not a “United States person” as defined under Section 7701(a)(30)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Code.</w:t>
      </w:r>
    </w:p>
    <w:p>
      <w:pPr>
        <w:spacing w:after="0" w:line="17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2" w:name="page113"/>
    <w:bookmarkEnd w:id="112"/>
    <w:p>
      <w:pPr>
        <w:spacing w:after="0" w:line="269" w:lineRule="exact"/>
        <w:rPr>
          <w:sz w:val="20"/>
          <w:szCs w:val="20"/>
          <w:color w:val="auto"/>
        </w:rPr>
      </w:pPr>
    </w:p>
    <w:p>
      <w:pPr>
        <w:ind w:right="160" w:firstLine="140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Subsidiary</w:t>
      </w:r>
      <w:r>
        <w:rPr>
          <w:rFonts w:ascii="Times New Roman" w:cs="Times New Roman" w:eastAsia="Times New Roman" w:hAnsi="Times New Roman"/>
          <w:sz w:val="19"/>
          <w:szCs w:val="19"/>
          <w:color w:val="auto"/>
        </w:rPr>
        <w:t>” means any (a) direct or indirect Subsidiary of the Borrower that is resident or organized under the laws of any jurisdiction other than the United States or its states,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57"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Fronting Exposure</w:t>
      </w:r>
      <w:r>
        <w:rPr>
          <w:rFonts w:ascii="Times New Roman" w:cs="Times New Roman" w:eastAsia="Times New Roman" w:hAnsi="Times New Roman"/>
          <w:sz w:val="19"/>
          <w:szCs w:val="19"/>
          <w:color w:val="auto"/>
        </w:rPr>
        <w:t>” means, at any time there is a Defaulting Lender, with respect to the Issuing Bank, such Defaulting Lender’s (a) Applicable Dollar Percentage of the outstanding Dollar LC Exposure and (b) Applicable Multicurrency Percentage of the outstanding Multicurrency LC Exposure, in each case with respect to Letters of Credit issued by the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means generally accepted accounting principles in the United States of America.</w:t>
      </w:r>
    </w:p>
    <w:p>
      <w:pPr>
        <w:spacing w:after="0" w:line="202" w:lineRule="exact"/>
        <w:rPr>
          <w:sz w:val="20"/>
          <w:szCs w:val="20"/>
          <w:color w:val="auto"/>
        </w:rPr>
      </w:pPr>
    </w:p>
    <w:p>
      <w:pPr>
        <w:ind w:right="28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Authority</w:t>
      </w:r>
      <w:r>
        <w:rPr>
          <w:rFonts w:ascii="Times New Roman" w:cs="Times New Roman" w:eastAsia="Times New Roman" w:hAnsi="Times New Roman"/>
          <w:sz w:val="19"/>
          <w:szCs w:val="19"/>
          <w:color w:val="auto"/>
        </w:rPr>
        <w:t>” means the government of the United States of America, or of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54"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of or by any Person (the “</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xml:space="preserve">”) means any obligation, contingent or otherwise, of the guarantor guaranteeing or having the economic effect of guaranteeing any Indebtedness or other obligation of any other Person (the “ </w:t>
      </w:r>
      <w:r>
        <w:rPr>
          <w:rFonts w:ascii="Times New Roman" w:cs="Times New Roman" w:eastAsia="Times New Roman" w:hAnsi="Times New Roman"/>
          <w:sz w:val="19"/>
          <w:szCs w:val="19"/>
          <w:u w:val="single" w:color="auto"/>
          <w:color w:val="auto"/>
        </w:rPr>
        <w:t>primary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obligor</w:t>
      </w:r>
      <w:r>
        <w:rPr>
          <w:rFonts w:ascii="Times New Roman" w:cs="Times New Roman" w:eastAsia="Times New Roman" w:hAnsi="Times New Roman"/>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65" w:lineRule="exact"/>
        <w:rPr>
          <w:sz w:val="20"/>
          <w:szCs w:val="20"/>
          <w:color w:val="auto"/>
        </w:rPr>
      </w:pPr>
    </w:p>
    <w:p>
      <w:pPr>
        <w:ind w:right="56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 and Security Agreement</w:t>
      </w:r>
      <w:r>
        <w:rPr>
          <w:rFonts w:ascii="Times New Roman" w:cs="Times New Roman" w:eastAsia="Times New Roman" w:hAnsi="Times New Roman"/>
          <w:sz w:val="19"/>
          <w:szCs w:val="19"/>
          <w:color w:val="auto"/>
        </w:rPr>
        <w:t>” means that certain Second Amended and Restated Guarantee and Security Agreement dated as of the date hereof among the Borrower, the</w:t>
      </w:r>
    </w:p>
    <w:p>
      <w:pPr>
        <w:spacing w:after="0" w:line="12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3" w:name="page114"/>
    <w:bookmarkEnd w:id="113"/>
    <w:p>
      <w:pPr>
        <w:spacing w:after="0" w:line="26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9"/>
          <w:szCs w:val="19"/>
          <w:color w:val="auto"/>
        </w:rPr>
        <w:t>Administrative Agent, each Subsidiary of the Borrower from time to time party thereto, each holder (or a representative or trustee therefor) from time to time of any Secured Longer-Term Indebtedness or Secured Shorter-Term Indebtedness, and the Collateral Agent, as the same shall be amended, modified, restated and supplemented and in effect from time to time.</w:t>
      </w:r>
    </w:p>
    <w:p>
      <w:pPr>
        <w:spacing w:after="0" w:line="144" w:lineRule="exact"/>
        <w:rPr>
          <w:sz w:val="20"/>
          <w:szCs w:val="20"/>
          <w:color w:val="auto"/>
        </w:rPr>
      </w:pPr>
    </w:p>
    <w:p>
      <w:pPr>
        <w:ind w:right="4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 Assumption Agreement</w:t>
      </w:r>
      <w:r>
        <w:rPr>
          <w:rFonts w:ascii="Times New Roman" w:cs="Times New Roman" w:eastAsia="Times New Roman" w:hAnsi="Times New Roman"/>
          <w:sz w:val="19"/>
          <w:szCs w:val="19"/>
          <w:color w:val="auto"/>
        </w:rPr>
        <w:t xml:space="preserve"> ” means a Guarantee Assumption Agreement substantially in the form of Exhibit B to the Guarantee and Security Agreement between the Collateral Agent and an entity that pursuant to </w:t>
      </w:r>
      <w:r>
        <w:rPr>
          <w:rFonts w:ascii="Times New Roman" w:cs="Times New Roman" w:eastAsia="Times New Roman" w:hAnsi="Times New Roman"/>
          <w:sz w:val="19"/>
          <w:szCs w:val="19"/>
          <w:u w:val="single" w:color="auto"/>
          <w:color w:val="auto"/>
        </w:rPr>
        <w:t>Section 5.08</w:t>
      </w:r>
      <w:r>
        <w:rPr>
          <w:rFonts w:ascii="Times New Roman" w:cs="Times New Roman" w:eastAsia="Times New Roman" w:hAnsi="Times New Roman"/>
          <w:sz w:val="19"/>
          <w:szCs w:val="19"/>
          <w:color w:val="auto"/>
        </w:rPr>
        <w:t xml:space="preserve"> is required to become a “Subsidiary Guarantor” under the Guarantee and Security Agreement (with such changes as the Administrative Agent shall request consistent with the requirements of </w:t>
      </w:r>
      <w:r>
        <w:rPr>
          <w:rFonts w:ascii="Times New Roman" w:cs="Times New Roman" w:eastAsia="Times New Roman" w:hAnsi="Times New Roman"/>
          <w:sz w:val="19"/>
          <w:szCs w:val="19"/>
          <w:u w:val="single" w:color="auto"/>
          <w:color w:val="auto"/>
        </w:rPr>
        <w:t>Section 5.08</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right="1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Hedging Agreement</w:t>
      </w:r>
      <w:r>
        <w:rPr>
          <w:rFonts w:ascii="Times New Roman" w:cs="Times New Roman" w:eastAsia="Times New Roman" w:hAnsi="Times New Roman"/>
          <w:sz w:val="19"/>
          <w:szCs w:val="19"/>
          <w:color w:val="auto"/>
        </w:rPr>
        <w:t>” means any interest rate protection agreement, foreign currency exchange protection agreement, commodity price protection agreement or other interest or currency exchange rate or commodity price hedging arrangement.</w:t>
      </w:r>
    </w:p>
    <w:p>
      <w:pPr>
        <w:spacing w:after="0" w:line="127" w:lineRule="exact"/>
        <w:rPr>
          <w:sz w:val="20"/>
          <w:szCs w:val="20"/>
          <w:color w:val="auto"/>
        </w:rPr>
      </w:pPr>
    </w:p>
    <w:p>
      <w:pPr>
        <w:ind w:right="20" w:firstLine="1404"/>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Immaterial Subsidiaries</w:t>
      </w:r>
      <w:r>
        <w:rPr>
          <w:rFonts w:ascii="Times New Roman" w:cs="Times New Roman" w:eastAsia="Times New Roman" w:hAnsi="Times New Roman"/>
          <w:sz w:val="19"/>
          <w:szCs w:val="19"/>
          <w:color w:val="auto"/>
        </w:rPr>
        <w:t xml:space="preserve">” means those Subsidiaries of the Borrower that are “designated” as Immaterial Subsidiaries by the Borrower from time to time (it being understood that the Borrower may at any time change any such designation);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designated Immaterial Subsidiaries shall collectively meet all of the following criteria as of the date of the most recent balance sheet required to be delivered pursuant to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Increasing Lender</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2.08(e)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debt being the lower of the outstanding amount of such debt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purchase price holdbacks arising in the ordinary course of business in respect of a portion of the purchase price of an asset</w:t>
      </w:r>
    </w:p>
    <w:p>
      <w:pPr>
        <w:spacing w:after="0" w:line="15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4" w:name="page115"/>
    <w:bookmarkEnd w:id="114"/>
    <w:p>
      <w:pPr>
        <w:spacing w:after="0" w:line="26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9"/>
          <w:szCs w:val="19"/>
          <w:color w:val="auto"/>
        </w:rPr>
        <w:t>or Investment to satisfy unperformed obligations of the seller of such asset or Investment or (y) a commitment arising in the ordinary course of business to make a future Portfolio Investment, but shall include any SBIC Equity Commitment.</w:t>
      </w:r>
    </w:p>
    <w:p>
      <w:pPr>
        <w:spacing w:after="0" w:line="127"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Taxes</w:t>
      </w:r>
      <w:r>
        <w:rPr>
          <w:rFonts w:ascii="Times New Roman" w:cs="Times New Roman" w:eastAsia="Times New Roman" w:hAnsi="Times New Roman"/>
          <w:sz w:val="19"/>
          <w:szCs w:val="19"/>
          <w:color w:val="auto"/>
        </w:rPr>
        <w:t xml:space="preserve">” means (a) Taxes, other than Excluded Taxes, imposed on or with respect to any payment made by or on account of any obligation of the Borrower or any Obligor under any Loan Document and (b) to the extent not otherwise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Other Taxes.</w:t>
      </w:r>
    </w:p>
    <w:p>
      <w:pPr>
        <w:spacing w:after="0" w:line="144" w:lineRule="exact"/>
        <w:rPr>
          <w:sz w:val="20"/>
          <w:szCs w:val="20"/>
          <w:color w:val="auto"/>
        </w:rPr>
      </w:pPr>
    </w:p>
    <w:p>
      <w:pPr>
        <w:ind w:right="20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Independent</w:t>
      </w:r>
      <w:r>
        <w:rPr>
          <w:rFonts w:ascii="Times New Roman" w:cs="Times New Roman" w:eastAsia="Times New Roman" w:hAnsi="Times New Roman"/>
          <w:sz w:val="19"/>
          <w:szCs w:val="19"/>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54" w:lineRule="exact"/>
        <w:rPr>
          <w:sz w:val="20"/>
          <w:szCs w:val="20"/>
          <w:color w:val="auto"/>
        </w:rPr>
      </w:pPr>
    </w:p>
    <w:p>
      <w:pPr>
        <w:ind w:right="48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Industry Classification Group</w:t>
      </w:r>
      <w:r>
        <w:rPr>
          <w:rFonts w:ascii="Times New Roman" w:cs="Times New Roman" w:eastAsia="Times New Roman" w:hAnsi="Times New Roman"/>
          <w:sz w:val="19"/>
          <w:szCs w:val="19"/>
          <w:color w:val="auto"/>
        </w:rPr>
        <w:t xml:space="preserve">” means (a) any of the classification groups set forth in </w:t>
      </w:r>
      <w:r>
        <w:rPr>
          <w:rFonts w:ascii="Times New Roman" w:cs="Times New Roman" w:eastAsia="Times New Roman" w:hAnsi="Times New Roman"/>
          <w:sz w:val="19"/>
          <w:szCs w:val="19"/>
          <w:u w:val="single" w:color="auto"/>
          <w:color w:val="auto"/>
        </w:rPr>
        <w:t>Schedule 1.01(c)</w:t>
      </w:r>
      <w:r>
        <w:rPr>
          <w:rFonts w:ascii="Times New Roman" w:cs="Times New Roman" w:eastAsia="Times New Roman" w:hAnsi="Times New Roman"/>
          <w:sz w:val="19"/>
          <w:szCs w:val="19"/>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right="6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Election Request</w:t>
      </w:r>
      <w:r>
        <w:rPr>
          <w:rFonts w:ascii="Times New Roman" w:cs="Times New Roman" w:eastAsia="Times New Roman" w:hAnsi="Times New Roman"/>
          <w:sz w:val="19"/>
          <w:szCs w:val="19"/>
          <w:color w:val="auto"/>
        </w:rPr>
        <w:t xml:space="preserve">” means a request by the Borrower to convert or continue a Syndicated Borrowing in accordance with </w:t>
      </w:r>
      <w:r>
        <w:rPr>
          <w:rFonts w:ascii="Times New Roman" w:cs="Times New Roman" w:eastAsia="Times New Roman" w:hAnsi="Times New Roman"/>
          <w:sz w:val="19"/>
          <w:szCs w:val="19"/>
          <w:u w:val="single" w:color="auto"/>
          <w:color w:val="auto"/>
        </w:rPr>
        <w:t>Section 2.07</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right="18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means (a) with respect to any Syndicated ABR Loan or RFR Loan, each Quarterly Date, (b) with respect to any Term Benchmark Loan or RFR Loan, the last day of each Interest Period therefor and, in the case of any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50" w:lineRule="exact"/>
        <w:rPr>
          <w:sz w:val="20"/>
          <w:szCs w:val="20"/>
          <w:color w:val="auto"/>
        </w:rPr>
      </w:pPr>
    </w:p>
    <w:p>
      <w:pPr>
        <w:ind w:right="60" w:firstLine="1404"/>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Period</w:t>
      </w:r>
      <w:r>
        <w:rPr>
          <w:rFonts w:ascii="Times New Roman" w:cs="Times New Roman" w:eastAsia="Times New Roman" w:hAnsi="Times New Roman"/>
          <w:sz w:val="19"/>
          <w:szCs w:val="19"/>
          <w:color w:val="auto"/>
        </w:rPr>
        <w:t xml:space="preserve">” means, for any Term Benchmark Loan or Borrowing or any RFR Loan or Borrowing, the period commencing on the date of such Loan or Borrowing and ending on the numerically corresponding day in the calendar month that is one month, three months or, except with respect to Term Benchmark Loans and Borrowings denominated in Canadian Dollars and RFR Loans and Borrowings, six months thereafter or, with respect to such portion of any Term Benchmark Loan or Borrowing or any RFR Loan or Borrowing denominated in a Foreign Currency that is scheduled to be repaid on the applicable Final Maturity Date, a period of less than one month’s duration commencing on the date of such Loan or Borrowing and ending on the applicable Final Maturity Date, as specified in the applicable Borrowing Request or Interest Election Request;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w:t>
      </w:r>
    </w:p>
    <w:p>
      <w:pPr>
        <w:spacing w:after="0" w:line="2" w:lineRule="exact"/>
        <w:rPr>
          <w:sz w:val="20"/>
          <w:szCs w:val="20"/>
          <w:color w:val="auto"/>
        </w:rPr>
      </w:pPr>
    </w:p>
    <w:p>
      <w:pPr>
        <w:ind w:right="80" w:firstLine="6"/>
        <w:spacing w:after="0" w:line="256" w:lineRule="auto"/>
        <w:tabs>
          <w:tab w:leader="none" w:pos="282"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Interest Period (other than an Interest Period pertaining to a Term Benchmark Borrowing or RFR Borrowing denominated in a Foreign Currency that ends on the applicable Final Maturity Date that is permitted to be of less than one month’s duration as provided in this definition) that commences on the last Business Day of a</w:t>
      </w:r>
    </w:p>
    <w:p>
      <w:pPr>
        <w:spacing w:after="0" w:line="15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5" w:name="page116"/>
    <w:bookmarkEnd w:id="115"/>
    <w:p>
      <w:pPr>
        <w:spacing w:after="0" w:line="2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 xml:space="preserve">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 w:cs="Times New Roman" w:eastAsia="Times New Roman" w:hAnsi="Times New Roman"/>
          <w:sz w:val="19"/>
          <w:szCs w:val="19"/>
          <w:u w:val="single" w:color="auto"/>
          <w:color w:val="auto"/>
        </w:rPr>
        <w:t>Section 2.22(d)</w:t>
      </w:r>
      <w:r>
        <w:rPr>
          <w:rFonts w:ascii="Times New Roman" w:cs="Times New Roman" w:eastAsia="Times New Roman" w:hAnsi="Times New Roman"/>
          <w:sz w:val="19"/>
          <w:szCs w:val="19"/>
          <w:color w:val="auto"/>
        </w:rPr>
        <w:t xml:space="preserve"> shall be available for specification in such Borrowing Request or notice of conversion or continuation unless or until it is reinstated pursuant to </w:t>
      </w:r>
      <w:r>
        <w:rPr>
          <w:rFonts w:ascii="Times New Roman" w:cs="Times New Roman" w:eastAsia="Times New Roman" w:hAnsi="Times New Roman"/>
          <w:sz w:val="19"/>
          <w:szCs w:val="19"/>
          <w:u w:val="single" w:color="auto"/>
          <w:color w:val="auto"/>
        </w:rPr>
        <w:t>Section 2.22(d)</w:t>
      </w:r>
      <w:r>
        <w:rPr>
          <w:rFonts w:ascii="Times New Roman" w:cs="Times New Roman" w:eastAsia="Times New Roman" w:hAnsi="Times New Roman"/>
          <w:sz w:val="19"/>
          <w:szCs w:val="19"/>
          <w:color w:val="auto"/>
        </w:rPr>
        <w:t>.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57" w:lineRule="exact"/>
        <w:rPr>
          <w:sz w:val="20"/>
          <w:szCs w:val="20"/>
          <w:color w:val="auto"/>
        </w:rPr>
      </w:pPr>
    </w:p>
    <w:p>
      <w:pPr>
        <w:ind w:right="2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w:t>
      </w:r>
      <w:r>
        <w:rPr>
          <w:rFonts w:ascii="Times New Roman" w:cs="Times New Roman" w:eastAsia="Times New Roman" w:hAnsi="Times New Roman"/>
          <w:sz w:val="19"/>
          <w:szCs w:val="19"/>
          <w:color w:val="auto"/>
        </w:rPr>
        <w:t>” means, for any Person: (a) Equity Interests, bonds, notes, debentures or other securities of any other Person or any agreement to acquire any Equity Interests, bonds, notes, debentures or other securities of any other Person (including any “short sale” or any sale of any securities at a time when such securities are not owned by the Person entering into such sale);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 Company Act</w:t>
      </w:r>
      <w:r>
        <w:rPr>
          <w:rFonts w:ascii="Times New Roman" w:cs="Times New Roman" w:eastAsia="Times New Roman" w:hAnsi="Times New Roman"/>
          <w:sz w:val="19"/>
          <w:szCs w:val="19"/>
          <w:color w:val="auto"/>
        </w:rPr>
        <w:t>” means the Investment Company Act of 1940, as amended from time to time.</w:t>
      </w:r>
    </w:p>
    <w:p>
      <w:pPr>
        <w:spacing w:after="0" w:line="202" w:lineRule="exact"/>
        <w:rPr>
          <w:sz w:val="20"/>
          <w:szCs w:val="20"/>
          <w:color w:val="auto"/>
        </w:rPr>
      </w:pPr>
    </w:p>
    <w:p>
      <w:pPr>
        <w:ind w:right="10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 Policies</w:t>
      </w:r>
      <w:r>
        <w:rPr>
          <w:rFonts w:ascii="Times New Roman" w:cs="Times New Roman" w:eastAsia="Times New Roman" w:hAnsi="Times New Roman"/>
          <w:sz w:val="19"/>
          <w:szCs w:val="19"/>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IRS</w:t>
      </w:r>
      <w:r>
        <w:rPr>
          <w:rFonts w:ascii="Times New Roman" w:cs="Times New Roman" w:eastAsia="Times New Roman" w:hAnsi="Times New Roman"/>
          <w:sz w:val="19"/>
          <w:szCs w:val="19"/>
          <w:color w:val="auto"/>
        </w:rPr>
        <w:t>” means the United States Internal Revenue Service.</w:t>
      </w:r>
    </w:p>
    <w:p>
      <w:pPr>
        <w:spacing w:after="0" w:line="202" w:lineRule="exact"/>
        <w:rPr>
          <w:sz w:val="20"/>
          <w:szCs w:val="20"/>
          <w:color w:val="auto"/>
        </w:rPr>
      </w:pPr>
    </w:p>
    <w:p>
      <w:pPr>
        <w:ind w:right="38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Issuing Bank</w:t>
      </w:r>
      <w:r>
        <w:rPr>
          <w:rFonts w:ascii="Times New Roman" w:cs="Times New Roman" w:eastAsia="Times New Roman" w:hAnsi="Times New Roman"/>
          <w:sz w:val="19"/>
          <w:szCs w:val="19"/>
          <w:color w:val="auto"/>
        </w:rPr>
        <w:t xml:space="preserve">” means Truist, in its capacity as the issuer of Letters of Credit hereunder, and its successors in such capacity as provided in </w:t>
      </w:r>
      <w:r>
        <w:rPr>
          <w:rFonts w:ascii="Times New Roman" w:cs="Times New Roman" w:eastAsia="Times New Roman" w:hAnsi="Times New Roman"/>
          <w:sz w:val="19"/>
          <w:szCs w:val="19"/>
          <w:u w:val="single" w:color="auto"/>
          <w:color w:val="auto"/>
        </w:rPr>
        <w:t>Section 2.05(j)</w:t>
      </w:r>
      <w:r>
        <w:rPr>
          <w:rFonts w:ascii="Times New Roman" w:cs="Times New Roman" w:eastAsia="Times New Roman" w:hAnsi="Times New Roman"/>
          <w:sz w:val="19"/>
          <w:szCs w:val="19"/>
          <w:color w:val="auto"/>
        </w:rPr>
        <w:t>. In the case of any Letter of Credit to be issued in an Agreed Foreign Currency, Truist may designate any of its affiliates as the “Issuing Bank” for purposes of such Letter of Credit.</w:t>
      </w:r>
    </w:p>
    <w:p>
      <w:pPr>
        <w:spacing w:after="0" w:line="14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Disbursement</w:t>
      </w:r>
      <w:r>
        <w:rPr>
          <w:rFonts w:ascii="Times New Roman" w:cs="Times New Roman" w:eastAsia="Times New Roman" w:hAnsi="Times New Roman"/>
          <w:sz w:val="19"/>
          <w:szCs w:val="19"/>
          <w:color w:val="auto"/>
        </w:rPr>
        <w:t>” means a payment made by the Issuing Bank pursuant to a Letter of Credit.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Exposure</w:t>
      </w:r>
      <w:r>
        <w:rPr>
          <w:rFonts w:ascii="Times New Roman" w:cs="Times New Roman" w:eastAsia="Times New Roman" w:hAnsi="Times New Roman"/>
          <w:sz w:val="19"/>
          <w:szCs w:val="19"/>
          <w:color w:val="auto"/>
        </w:rPr>
        <w:t>” means, at any time, the sum of the Dollar LC Exposure and the Multicurrency LC Exposure.</w:t>
      </w:r>
    </w:p>
    <w:p>
      <w:pPr>
        <w:spacing w:after="0" w:line="202" w:lineRule="exact"/>
        <w:rPr>
          <w:sz w:val="20"/>
          <w:szCs w:val="20"/>
          <w:color w:val="auto"/>
        </w:rPr>
      </w:pPr>
    </w:p>
    <w:p>
      <w:pPr>
        <w:ind w:right="5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means, collectively, the Dollar Lenders and the Multicurrency Lenders. Unless the context otherwise requires, the term “Lenders” includes the Swingline Lender.</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w:t>
      </w:r>
      <w:r>
        <w:rPr>
          <w:rFonts w:ascii="Times New Roman" w:cs="Times New Roman" w:eastAsia="Times New Roman" w:hAnsi="Times New Roman"/>
          <w:sz w:val="19"/>
          <w:szCs w:val="19"/>
          <w:color w:val="auto"/>
        </w:rPr>
        <w:t>” means any letter of credit issued pursuant to this Agreement.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 Collateral Account</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2.05(k)</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3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 Documents</w:t>
      </w:r>
      <w:r>
        <w:rPr>
          <w:rFonts w:ascii="Times New Roman" w:cs="Times New Roman" w:eastAsia="Times New Roman" w:hAnsi="Times New Roman"/>
          <w:sz w:val="19"/>
          <w:szCs w:val="19"/>
          <w:color w:val="auto"/>
        </w:rPr>
        <w:t>” means, with respect to any Letter of Credit, collectively, any application therefor and any other agreements, instruments, guarantees or other</w:t>
      </w:r>
    </w:p>
    <w:p>
      <w:pPr>
        <w:spacing w:after="0" w:line="12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6" w:name="page117"/>
    <w:bookmarkEnd w:id="116"/>
    <w:p>
      <w:pPr>
        <w:spacing w:after="0" w:line="269"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9"/>
          <w:szCs w:val="19"/>
          <w:color w:val="auto"/>
        </w:rPr>
        <w:t>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spacing w:after="0" w:line="144" w:lineRule="exact"/>
        <w:rPr>
          <w:sz w:val="20"/>
          <w:szCs w:val="20"/>
          <w:color w:val="auto"/>
        </w:rPr>
      </w:pPr>
    </w:p>
    <w:p>
      <w:pPr>
        <w:ind w:right="140"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for the avoidance of doubt, in the case of Portfolio Investments that are loans or other debt obligations, customary restrictions on assignments or transfers thereof pursuant to the underlying documentation for such Portfolio Investment shall not be deemed to be a “Lien” and in the case of Investments that are securities, excluding customary drag-along, tag-along, right of first refusal, restrictions on assignments or transfers (so long as such restrictions do not preclude the granting to the Collateral Agent of a Lien on such securities) and other similar rights in favor of the equity holders of the same issuer).</w:t>
      </w:r>
    </w:p>
    <w:p>
      <w:pPr>
        <w:spacing w:after="0" w:line="155" w:lineRule="exact"/>
        <w:rPr>
          <w:sz w:val="20"/>
          <w:szCs w:val="20"/>
          <w:color w:val="auto"/>
        </w:rPr>
      </w:pPr>
    </w:p>
    <w:p>
      <w:pPr>
        <w:ind w:right="6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Documents</w:t>
      </w:r>
      <w:r>
        <w:rPr>
          <w:rFonts w:ascii="Times New Roman" w:cs="Times New Roman" w:eastAsia="Times New Roman" w:hAnsi="Times New Roman"/>
          <w:sz w:val="19"/>
          <w:szCs w:val="19"/>
          <w:color w:val="auto"/>
        </w:rPr>
        <w:t>” means, collectively, this Agreement, the Fee Letter, the Letter of Credit Documents and the Security Documents.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 means the loans made by the Lenders to the Borrower pursuant to this Agreement.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Losses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9.03(b)</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Margin Stock</w:t>
      </w:r>
      <w:r>
        <w:rPr>
          <w:rFonts w:ascii="Times New Roman" w:cs="Times New Roman" w:eastAsia="Times New Roman" w:hAnsi="Times New Roman"/>
          <w:sz w:val="19"/>
          <w:szCs w:val="19"/>
          <w:color w:val="auto"/>
        </w:rPr>
        <w:t>” means “margin stock” within the meaning of Regulations T, U and X.</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Market Value Investments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5.12(b)(ii)(B)(z)</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Change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3.04(b)</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6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Administrative Agent and the Lenders thereunder.</w:t>
      </w:r>
    </w:p>
    <w:p>
      <w:pPr>
        <w:spacing w:after="0" w:line="154" w:lineRule="exact"/>
        <w:rPr>
          <w:sz w:val="20"/>
          <w:szCs w:val="20"/>
          <w:color w:val="auto"/>
        </w:rPr>
      </w:pPr>
    </w:p>
    <w:p>
      <w:pPr>
        <w:ind w:right="4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Indebtedness</w:t>
      </w:r>
      <w:r>
        <w:rPr>
          <w:rFonts w:ascii="Times New Roman" w:cs="Times New Roman" w:eastAsia="Times New Roman" w:hAnsi="Times New Roman"/>
          <w:sz w:val="19"/>
          <w:szCs w:val="19"/>
          <w:color w:val="auto"/>
        </w:rPr>
        <w:t>” means (a) Indebtedness (other than the Loans, Letters of Credit and Hedging Agreements), of any one or more of the Borrower and its Subsidiaries in an aggregate principal amount exceeding $15,000,000 and (b) obligations in respect of one or more Hedging Agreements under which the maximum aggregate amount (giving effect to any netting</w:t>
      </w:r>
    </w:p>
    <w:p>
      <w:pPr>
        <w:spacing w:after="0" w:line="1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7" w:name="page118"/>
    <w:bookmarkEnd w:id="117"/>
    <w:p>
      <w:pPr>
        <w:spacing w:after="0" w:line="26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color w:val="auto"/>
        </w:rPr>
        <w:t>agreements) that the Borrower and its Subsidiaries would be required to pay if such Hedging Agreement(s) were terminated at such time would exceed $15,000,000.</w:t>
      </w:r>
    </w:p>
    <w:p>
      <w:pPr>
        <w:spacing w:after="0" w:line="127" w:lineRule="exact"/>
        <w:rPr>
          <w:sz w:val="20"/>
          <w:szCs w:val="20"/>
          <w:color w:val="auto"/>
        </w:rPr>
      </w:pPr>
    </w:p>
    <w:p>
      <w:pPr>
        <w:ind w:right="32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Minimum Collateral Amount</w:t>
      </w:r>
      <w:r>
        <w:rPr>
          <w:rFonts w:ascii="Times New Roman" w:cs="Times New Roman" w:eastAsia="Times New Roman" w:hAnsi="Times New Roman"/>
          <w:sz w:val="19"/>
          <w:szCs w:val="19"/>
          <w:color w:val="auto"/>
        </w:rPr>
        <w:t>” means, at any time, with respect to Cash Collateral consisting of Cash or deposit account balances, an amount equal to 100% of the Fronting Exposure of the Issuing Bank with respect to Letters of Credit issued and outstanding at such time.</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Moody’s</w:t>
      </w:r>
      <w:r>
        <w:rPr>
          <w:rFonts w:ascii="Times New Roman" w:cs="Times New Roman" w:eastAsia="Times New Roman" w:hAnsi="Times New Roman"/>
          <w:sz w:val="19"/>
          <w:szCs w:val="19"/>
          <w:color w:val="auto"/>
        </w:rPr>
        <w:t>” means Moody’s Investors Service, Inc. or any successor thereto.</w:t>
      </w:r>
    </w:p>
    <w:p>
      <w:pPr>
        <w:spacing w:after="0" w:line="202" w:lineRule="exact"/>
        <w:rPr>
          <w:sz w:val="20"/>
          <w:szCs w:val="20"/>
          <w:color w:val="auto"/>
        </w:rPr>
      </w:pPr>
    </w:p>
    <w:p>
      <w:pPr>
        <w:ind w:right="40"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Multicurrency Commitment</w:t>
      </w:r>
      <w:r>
        <w:rPr>
          <w:rFonts w:ascii="Times New Roman" w:cs="Times New Roman" w:eastAsia="Times New Roman" w:hAnsi="Times New Roman"/>
          <w:sz w:val="19"/>
          <w:szCs w:val="19"/>
          <w:color w:val="auto"/>
        </w:rPr>
        <w:t xml:space="preserve">” means, with respect to each Multicurrency Lender , the commitment of such Multicurrency Lender to make Syndicated Loans, and to acquire participations in Letters of Credit and Swingline Loans, denominated in Dollars and in Agreed Foreign Currencies hereunder, during such Multicurrency Lender’s Availability Period, expressed as an amount representing the maximum aggregate amount of such Lender’s Revolving Multicurrency Credit Exposure hereunder, as such commitment may be (a) reduced or increased from time to time pursuant to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and (b) reduced or increased from time to time pursuant to assignments by or to such Lender pursuant to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The initial amount of each Lender’s Multicurrency Commitment is set forth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 or in the Assignment and Assumption pursuant to which such Lender shall have assumed its Multicurrency commitment, as applicable. The aggregate amount of the Lenders’ Multicurrency Commitments as of the Fifth Amendment Effective Date is $415,000,000.</w:t>
      </w:r>
    </w:p>
    <w:p>
      <w:pPr>
        <w:spacing w:after="0" w:line="155" w:lineRule="exact"/>
        <w:rPr>
          <w:sz w:val="20"/>
          <w:szCs w:val="20"/>
          <w:color w:val="auto"/>
        </w:rPr>
      </w:pPr>
    </w:p>
    <w:p>
      <w:pPr>
        <w:ind w:right="18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Multicurrency LC Exposure</w:t>
      </w:r>
      <w:r>
        <w:rPr>
          <w:rFonts w:ascii="Times New Roman" w:cs="Times New Roman" w:eastAsia="Times New Roman" w:hAnsi="Times New Roman"/>
          <w:sz w:val="19"/>
          <w:szCs w:val="19"/>
          <w:color w:val="auto"/>
        </w:rPr>
        <w:t xml:space="preserve">” means, at any time, the sum of (a) the aggregate undrawn amount of all outstanding Multicurrency Letters of Credit at such time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50" w:lineRule="exact"/>
        <w:rPr>
          <w:sz w:val="20"/>
          <w:szCs w:val="20"/>
          <w:color w:val="auto"/>
        </w:rPr>
      </w:pPr>
    </w:p>
    <w:p>
      <w:pPr>
        <w:ind w:right="4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Multicurrency Lender</w:t>
      </w:r>
      <w:r>
        <w:rPr>
          <w:rFonts w:ascii="Times New Roman" w:cs="Times New Roman" w:eastAsia="Times New Roman" w:hAnsi="Times New Roman"/>
          <w:sz w:val="19"/>
          <w:szCs w:val="19"/>
          <w:color w:val="auto"/>
        </w:rPr>
        <w:t xml:space="preserve">” means the Persons listed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 xml:space="preserve"> 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150" w:lineRule="exact"/>
        <w:rPr>
          <w:sz w:val="20"/>
          <w:szCs w:val="20"/>
          <w:color w:val="auto"/>
        </w:rPr>
      </w:pPr>
    </w:p>
    <w:p>
      <w:pPr>
        <w:ind w:left="1420" w:right="1240"/>
        <w:spacing w:after="0" w:line="4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Multicurrency Letters of Credit</w:t>
      </w:r>
      <w:r>
        <w:rPr>
          <w:rFonts w:ascii="Times New Roman" w:cs="Times New Roman" w:eastAsia="Times New Roman" w:hAnsi="Times New Roman"/>
          <w:sz w:val="19"/>
          <w:szCs w:val="19"/>
          <w:color w:val="auto"/>
        </w:rPr>
        <w:t>” means Letters of Credit that utilize the Multicurrency Commitments. “</w:t>
      </w:r>
      <w:r>
        <w:rPr>
          <w:rFonts w:ascii="Times New Roman" w:cs="Times New Roman" w:eastAsia="Times New Roman" w:hAnsi="Times New Roman"/>
          <w:sz w:val="19"/>
          <w:szCs w:val="19"/>
          <w:u w:val="single" w:color="auto"/>
          <w:color w:val="auto"/>
        </w:rPr>
        <w:t>Multicurrency Loan</w:t>
      </w:r>
      <w:r>
        <w:rPr>
          <w:rFonts w:ascii="Times New Roman" w:cs="Times New Roman" w:eastAsia="Times New Roman" w:hAnsi="Times New Roman"/>
          <w:sz w:val="19"/>
          <w:szCs w:val="19"/>
          <w:color w:val="auto"/>
        </w:rPr>
        <w:t>” means a Loan denominated in Dollars or an Agreed Foreign Currency. “</w:t>
      </w:r>
      <w:r>
        <w:rPr>
          <w:rFonts w:ascii="Times New Roman" w:cs="Times New Roman" w:eastAsia="Times New Roman" w:hAnsi="Times New Roman"/>
          <w:sz w:val="19"/>
          <w:szCs w:val="19"/>
          <w:u w:val="single" w:color="auto"/>
          <w:color w:val="auto"/>
        </w:rPr>
        <w:t>Multiemployer Plan</w:t>
      </w:r>
      <w:r>
        <w:rPr>
          <w:rFonts w:ascii="Times New Roman" w:cs="Times New Roman" w:eastAsia="Times New Roman" w:hAnsi="Times New Roman"/>
          <w:sz w:val="19"/>
          <w:szCs w:val="19"/>
          <w:color w:val="auto"/>
        </w:rPr>
        <w:t>” means a multiemployer plan as defined in Section 4001(a)(3) of ERISA. “</w:t>
      </w:r>
      <w:r>
        <w:rPr>
          <w:rFonts w:ascii="Times New Roman" w:cs="Times New Roman" w:eastAsia="Times New Roman" w:hAnsi="Times New Roman"/>
          <w:sz w:val="19"/>
          <w:szCs w:val="19"/>
          <w:u w:val="single" w:color="auto"/>
          <w:color w:val="auto"/>
        </w:rPr>
        <w:t>National Currency</w:t>
      </w:r>
      <w:r>
        <w:rPr>
          <w:rFonts w:ascii="Times New Roman" w:cs="Times New Roman" w:eastAsia="Times New Roman" w:hAnsi="Times New Roman"/>
          <w:sz w:val="19"/>
          <w:szCs w:val="19"/>
          <w:color w:val="auto"/>
        </w:rPr>
        <w:t>” means the currency, other than the Euro, of a Participating Member State. “</w:t>
      </w:r>
      <w:r>
        <w:rPr>
          <w:rFonts w:ascii="Times New Roman" w:cs="Times New Roman" w:eastAsia="Times New Roman" w:hAnsi="Times New Roman"/>
          <w:sz w:val="19"/>
          <w:szCs w:val="19"/>
          <w:u w:val="single" w:color="auto"/>
          <w:color w:val="auto"/>
        </w:rPr>
        <w:t>Net Cash Proceeds</w:t>
      </w:r>
      <w:r>
        <w:rPr>
          <w:rFonts w:ascii="Times New Roman" w:cs="Times New Roman" w:eastAsia="Times New Roman" w:hAnsi="Times New Roman"/>
          <w:sz w:val="19"/>
          <w:szCs w:val="19"/>
          <w:color w:val="auto"/>
        </w:rPr>
        <w:t>” means:</w:t>
      </w: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8" w:name="page119"/>
    <w:bookmarkEnd w:id="118"/>
    <w:p>
      <w:pPr>
        <w:spacing w:after="0" w:line="269" w:lineRule="exact"/>
        <w:rPr>
          <w:sz w:val="20"/>
          <w:szCs w:val="20"/>
          <w:color w:val="auto"/>
        </w:rPr>
      </w:pPr>
    </w:p>
    <w:p>
      <w:pPr>
        <w:ind w:firstLine="1410"/>
        <w:spacing w:after="0" w:line="252" w:lineRule="auto"/>
        <w:tabs>
          <w:tab w:leader="none" w:pos="1665"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Times New Roman" w:cs="Times New Roman" w:eastAsia="Times New Roman" w:hAnsi="Times New Roman"/>
          <w:sz w:val="19"/>
          <w:szCs w:val="19"/>
          <w:u w:val="single" w:color="auto"/>
          <w:color w:val="auto"/>
        </w:rPr>
        <w:t>Section 2.10(e)</w:t>
      </w:r>
      <w:r>
        <w:rPr>
          <w:rFonts w:ascii="Times New Roman" w:cs="Times New Roman" w:eastAsia="Times New Roman" w:hAnsi="Times New Roman"/>
          <w:sz w:val="19"/>
          <w:szCs w:val="19"/>
          <w:color w:val="auto"/>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amount of any estimated taxes pursuant to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exceeds the amount of taxes actually required to be paid in cash in respect of such Disposition, the aggregate amount of such excess shall constitute Net Cash Proceeds (as of the date the Borrower determines such excess exists), (iv) any reasonable costs, fees, commissions, premiums and expenses incurred by the Borrower or any of its Subsidiaries in connection with such Disposition, and (v) reserves for indemnification, purchase price adjustments or analogous arrangements reasonably estimated by the Borrower or the relevant Subsidiary in connection with such Disposition; provided that, if the amount of any estimated reserves pursuant to this </w:t>
      </w:r>
      <w:r>
        <w:rPr>
          <w:rFonts w:ascii="Times New Roman" w:cs="Times New Roman" w:eastAsia="Times New Roman" w:hAnsi="Times New Roman"/>
          <w:sz w:val="19"/>
          <w:szCs w:val="19"/>
          <w:u w:val="single" w:color="auto"/>
          <w:color w:val="auto"/>
        </w:rPr>
        <w:t>clause (v)</w:t>
      </w:r>
      <w:r>
        <w:rPr>
          <w:rFonts w:ascii="Times New Roman" w:cs="Times New Roman" w:eastAsia="Times New Roman" w:hAnsi="Times New Roman"/>
          <w:sz w:val="19"/>
          <w:szCs w:val="19"/>
          <w:color w:val="auto"/>
        </w:rPr>
        <w:t xml:space="preserve"> exceeds the amount actually required to be paid in cash in respect of indemnification, purchase price adjustments or analogous arrangements for such Disposition, the aggregate amount of such excess shall constitute Net Cash Proceeds (as of the date the Borrower determines such excess exists); and</w:t>
      </w:r>
    </w:p>
    <w:p>
      <w:pPr>
        <w:spacing w:after="0" w:line="169" w:lineRule="exact"/>
        <w:rPr>
          <w:rFonts w:ascii="Times New Roman" w:cs="Times New Roman" w:eastAsia="Times New Roman" w:hAnsi="Times New Roman"/>
          <w:sz w:val="19"/>
          <w:szCs w:val="19"/>
          <w:color w:val="auto"/>
        </w:rPr>
      </w:pPr>
    </w:p>
    <w:p>
      <w:pPr>
        <w:ind w:right="20" w:firstLine="1410"/>
        <w:spacing w:after="0" w:line="254" w:lineRule="auto"/>
        <w:tabs>
          <w:tab w:leader="none" w:pos="1676"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Times New Roman" w:cs="Times New Roman" w:eastAsia="Times New Roman" w:hAnsi="Times New Roman"/>
          <w:sz w:val="19"/>
          <w:szCs w:val="19"/>
          <w:u w:val="single" w:color="auto"/>
          <w:color w:val="auto"/>
        </w:rPr>
        <w:t>Section 2.10(e)</w:t>
      </w:r>
      <w:r>
        <w:rPr>
          <w:rFonts w:ascii="Times New Roman" w:cs="Times New Roman" w:eastAsia="Times New Roman" w:hAnsi="Times New Roman"/>
          <w:sz w:val="19"/>
          <w:szCs w:val="19"/>
          <w:color w:val="auto"/>
        </w:rPr>
        <w:t xml:space="preserve">), an amount equal to (i) the sum of the cash and Cash Equivalents received in connection with such transaction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the sum of (1) reasonable out-of-pocket fees, costs and expenses, incurred by the Borrower or such Subsidiary in connection therewith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(2) any reasonable costs, fees, commissions, premiums, expenses, or underwriting discounts or commissions incurred by the Borrower or any of its Subsidiaries in connection with such sale or issuance.</w:t>
      </w:r>
    </w:p>
    <w:p>
      <w:pPr>
        <w:spacing w:after="0" w:line="16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Non-Defaulting Lender</w:t>
      </w:r>
      <w:r>
        <w:rPr>
          <w:rFonts w:ascii="Times New Roman" w:cs="Times New Roman" w:eastAsia="Times New Roman" w:hAnsi="Times New Roman"/>
          <w:sz w:val="19"/>
          <w:szCs w:val="19"/>
          <w:color w:val="auto"/>
        </w:rPr>
        <w:t>” means, at any time, a Lender that is not a Defaulting Lender at such time.</w:t>
      </w:r>
    </w:p>
    <w:p>
      <w:pPr>
        <w:spacing w:after="0" w:line="202" w:lineRule="exact"/>
        <w:rPr>
          <w:sz w:val="20"/>
          <w:szCs w:val="20"/>
          <w:color w:val="auto"/>
        </w:rPr>
      </w:pPr>
    </w:p>
    <w:p>
      <w:pPr>
        <w:jc w:val="both"/>
        <w:ind w:right="6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Non-Extended Availability Period</w:t>
      </w:r>
      <w:r>
        <w:rPr>
          <w:rFonts w:ascii="Times New Roman" w:cs="Times New Roman" w:eastAsia="Times New Roman" w:hAnsi="Times New Roman"/>
          <w:sz w:val="19"/>
          <w:szCs w:val="19"/>
          <w:color w:val="auto"/>
        </w:rPr>
        <w:t>” means, with respect to any Non-Extending Lender, the period from and including the Effective Date to but excluding the earlier of the Non-Extended Commitment Termination Date for such Non-Extending Lender and the date of termination of the Commitments.</w:t>
      </w:r>
    </w:p>
    <w:p>
      <w:pPr>
        <w:spacing w:after="0" w:line="1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9" w:name="page120"/>
    <w:bookmarkEnd w:id="119"/>
    <w:p>
      <w:pPr>
        <w:spacing w:after="0" w:line="269" w:lineRule="exact"/>
        <w:rPr>
          <w:sz w:val="20"/>
          <w:szCs w:val="20"/>
          <w:color w:val="auto"/>
        </w:rPr>
      </w:pPr>
    </w:p>
    <w:p>
      <w:pPr>
        <w:ind w:right="5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 -Extended Commitment Termination Date</w:t>
      </w:r>
      <w:r>
        <w:rPr>
          <w:rFonts w:ascii="Times New Roman" w:cs="Times New Roman" w:eastAsia="Times New Roman" w:hAnsi="Times New Roman"/>
          <w:sz w:val="19"/>
          <w:szCs w:val="19"/>
          <w:color w:val="auto"/>
        </w:rPr>
        <w:t xml:space="preserve">” means, with respect to each Non-Extending Lender, the “Non-Extended Commitment Termination Date” set forth next to such Non-Extending Lender’s name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right="2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 Extended Final Maturity Date</w:t>
      </w:r>
      <w:r>
        <w:rPr>
          <w:rFonts w:ascii="Times New Roman" w:cs="Times New Roman" w:eastAsia="Times New Roman" w:hAnsi="Times New Roman"/>
          <w:sz w:val="19"/>
          <w:szCs w:val="19"/>
          <w:color w:val="auto"/>
        </w:rPr>
        <w:t xml:space="preserve">” means, with respect to each Non-Extending Lender, the “Non-Extended Final Maturity Date” set forth next to such Non-Extending Lender’s name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right="3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 -Extended Loans</w:t>
      </w:r>
      <w:r>
        <w:rPr>
          <w:rFonts w:ascii="Times New Roman" w:cs="Times New Roman" w:eastAsia="Times New Roman" w:hAnsi="Times New Roman"/>
          <w:sz w:val="19"/>
          <w:szCs w:val="19"/>
          <w:color w:val="auto"/>
        </w:rPr>
        <w:t>” means Loans or Borrowings of any Non-Extending Lender maturing on the Non-Extended Final Maturity Date for such Non-Extending Lender.</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Non-Extending Lender</w:t>
      </w:r>
      <w:r>
        <w:rPr>
          <w:rFonts w:ascii="Times New Roman" w:cs="Times New Roman" w:eastAsia="Times New Roman" w:hAnsi="Times New Roman"/>
          <w:sz w:val="19"/>
          <w:szCs w:val="19"/>
          <w:color w:val="auto"/>
        </w:rPr>
        <w:t xml:space="preserve">” means each Lender designated as a “Non-Extending Lender”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Non-Extending Lender Applicable Margin</w:t>
      </w:r>
      <w:r>
        <w:rPr>
          <w:rFonts w:ascii="Times New Roman" w:cs="Times New Roman" w:eastAsia="Times New Roman" w:hAnsi="Times New Roman"/>
          <w:sz w:val="19"/>
          <w:szCs w:val="19"/>
          <w:color w:val="auto"/>
        </w:rPr>
        <w:t xml:space="preserve">” means, with respect to each Non-Extending Lender, the “Non-Extending Lender Applicable Margin” set forth next to such Non-Extending Lender’s name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Non-Public Information</w:t>
      </w:r>
      <w:r>
        <w:rPr>
          <w:rFonts w:ascii="Times New Roman" w:cs="Times New Roman" w:eastAsia="Times New Roman" w:hAnsi="Times New Roman"/>
          <w:sz w:val="19"/>
          <w:szCs w:val="19"/>
          <w:color w:val="auto"/>
        </w:rPr>
        <w:t>” means material non-public information (within the meaning of United States federal, state or other applicable securities laws) with respect to Borrower or its Affiliates or their Securities.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Obligor</w:t>
      </w:r>
      <w:r>
        <w:rPr>
          <w:rFonts w:ascii="Times New Roman" w:cs="Times New Roman" w:eastAsia="Times New Roman" w:hAnsi="Times New Roman"/>
          <w:sz w:val="19"/>
          <w:szCs w:val="19"/>
          <w:color w:val="auto"/>
        </w:rPr>
        <w:t>” means, collectively, the Borrower and the Subsidiary Guarantors.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3.15</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Original Currency</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2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Covered Indebtedness</w:t>
      </w:r>
      <w:r>
        <w:rPr>
          <w:rFonts w:ascii="Times New Roman" w:cs="Times New Roman" w:eastAsia="Times New Roman" w:hAnsi="Times New Roman"/>
          <w:sz w:val="19"/>
          <w:szCs w:val="19"/>
          <w:color w:val="auto"/>
        </w:rPr>
        <w:t>” means, collectively, Secured Longer-Term Indebtedness, Secured Shorter-Term Indebtedness, Unsecured Shorter-Term Indebtedness, Special Permitted Indebtedness, the 2026 May Notes, the 2026 November Notes and Permitted Amortizing Unsecured Longer-Term Indebtedness.</w:t>
      </w:r>
    </w:p>
    <w:p>
      <w:pPr>
        <w:spacing w:after="0" w:line="144" w:lineRule="exact"/>
        <w:rPr>
          <w:sz w:val="20"/>
          <w:szCs w:val="20"/>
          <w:color w:val="auto"/>
        </w:rPr>
      </w:pPr>
    </w:p>
    <w:p>
      <w:pPr>
        <w:ind w:right="40" w:firstLine="1404"/>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Permitted Indebtedness</w:t>
      </w:r>
      <w:r>
        <w:rPr>
          <w:rFonts w:ascii="Times New Roman" w:cs="Times New Roman" w:eastAsia="Times New Roman" w:hAnsi="Times New Roman"/>
          <w:sz w:val="19"/>
          <w:szCs w:val="19"/>
          <w:color w:val="auto"/>
        </w:rPr>
        <w:t>”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purchasing of securities, loans,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w:t>
      </w:r>
    </w:p>
    <w:p>
      <w:pPr>
        <w:spacing w:after="0" w:line="6" w:lineRule="exact"/>
        <w:rPr>
          <w:sz w:val="20"/>
          <w:szCs w:val="20"/>
          <w:color w:val="auto"/>
        </w:rPr>
      </w:pPr>
    </w:p>
    <w:p>
      <w:pPr>
        <w:ind w:right="20" w:firstLine="6"/>
        <w:spacing w:after="0" w:line="262" w:lineRule="auto"/>
        <w:tabs>
          <w:tab w:leader="none" w:pos="261"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in respect of judgments or awards that have been in force for less than the applicable period for taking an appeal so long as such judgments or awards do not constitute an Event of Default under </w:t>
      </w:r>
      <w:r>
        <w:rPr>
          <w:rFonts w:ascii="Times New Roman" w:cs="Times New Roman" w:eastAsia="Times New Roman" w:hAnsi="Times New Roman"/>
          <w:sz w:val="19"/>
          <w:szCs w:val="19"/>
          <w:u w:val="single" w:color="auto"/>
          <w:color w:val="auto"/>
        </w:rPr>
        <w:t>clause (l)</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w:t>
      </w:r>
    </w:p>
    <w:p>
      <w:pPr>
        <w:spacing w:after="0" w:line="14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0" w:name="page121"/>
    <w:bookmarkEnd w:id="120"/>
    <w:p>
      <w:pPr>
        <w:spacing w:after="0" w:line="269" w:lineRule="exact"/>
        <w:rPr>
          <w:sz w:val="20"/>
          <w:szCs w:val="20"/>
          <w:color w:val="auto"/>
        </w:rPr>
      </w:pPr>
    </w:p>
    <w:p>
      <w:pPr>
        <w:ind w:right="4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Taxes</w:t>
      </w:r>
      <w:r>
        <w:rPr>
          <w:rFonts w:ascii="Times New Roman" w:cs="Times New Roman" w:eastAsia="Times New Roman" w:hAnsi="Times New Roman"/>
          <w:sz w:val="19"/>
          <w:szCs w:val="19"/>
          <w:color w:val="auto"/>
        </w:rPr>
        <w:t xml:space="preserve">” means any and all present or future stamp, court or documentary, intangible, recording, filing or similar Taxes, arising from any payment made under any Loan Document or from the execution, delivery, performance, enforcement or registration of, from the receipt or perfection of a security interest under, or otherwise with respect to, any Loan Document, excluding any such Taxes, resulting from an assignment by any Lender in accordance with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hereof (unless such assignment is made pursuant to </w:t>
      </w:r>
      <w:r>
        <w:rPr>
          <w:rFonts w:ascii="Times New Roman" w:cs="Times New Roman" w:eastAsia="Times New Roman" w:hAnsi="Times New Roman"/>
          <w:sz w:val="19"/>
          <w:szCs w:val="19"/>
          <w:u w:val="single" w:color="auto"/>
          <w:color w:val="auto"/>
        </w:rPr>
        <w:t>Section 2.18(b)</w:t>
      </w:r>
      <w:r>
        <w:rPr>
          <w:rFonts w:ascii="Times New Roman" w:cs="Times New Roman" w:eastAsia="Times New Roman" w:hAnsi="Times New Roman"/>
          <w:sz w:val="19"/>
          <w:szCs w:val="19"/>
          <w:color w:val="auto"/>
        </w:rPr>
        <w:t>).</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36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Participating Member State</w:t>
      </w:r>
      <w:r>
        <w:rPr>
          <w:rFonts w:ascii="Times New Roman" w:cs="Times New Roman" w:eastAsia="Times New Roman" w:hAnsi="Times New Roman"/>
          <w:sz w:val="19"/>
          <w:szCs w:val="19"/>
          <w:color w:val="auto"/>
        </w:rPr>
        <w:t xml:space="preserve"> ” means any member state of the European Community that adopts or has adopted the Euro as its lawful currency in accordance with the legislation of the European Union relating to the European Monetary Union.</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Payment Recipient</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8.09(a)</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PBGC</w:t>
      </w:r>
      <w:r>
        <w:rPr>
          <w:rFonts w:ascii="Times New Roman" w:cs="Times New Roman" w:eastAsia="Times New Roman" w:hAnsi="Times New Roman"/>
          <w:sz w:val="19"/>
          <w:szCs w:val="19"/>
          <w:color w:val="auto"/>
        </w:rPr>
        <w:t>” means the Pension Benefit Guaranty Corporation referred to and defined in ERISA and any successor entity performing similar functions.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Periodic Term CORRA Determination Day</w:t>
      </w:r>
      <w:r>
        <w:rPr>
          <w:rFonts w:ascii="Times New Roman" w:cs="Times New Roman" w:eastAsia="Times New Roman" w:hAnsi="Times New Roman"/>
          <w:sz w:val="19"/>
          <w:szCs w:val="19"/>
          <w:color w:val="auto"/>
        </w:rPr>
        <w:t>” has the meaning set forth in the definition of “Term CORRA”.</w:t>
      </w:r>
    </w:p>
    <w:p>
      <w:pPr>
        <w:spacing w:after="0" w:line="202" w:lineRule="exact"/>
        <w:rPr>
          <w:sz w:val="20"/>
          <w:szCs w:val="20"/>
          <w:color w:val="auto"/>
        </w:rPr>
      </w:pPr>
    </w:p>
    <w:p>
      <w:pPr>
        <w:ind w:right="16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Amortizing Unsecured Longer-Term Indebtedness</w:t>
      </w:r>
      <w:r>
        <w:rPr>
          <w:rFonts w:ascii="Times New Roman" w:cs="Times New Roman" w:eastAsia="Times New Roman" w:hAnsi="Times New Roman"/>
          <w:sz w:val="19"/>
          <w:szCs w:val="19"/>
          <w:color w:val="auto"/>
        </w:rPr>
        <w:t xml:space="preserve">” means Indebtedness of any Obligor (which may be Guaranteed by any other Obligor) incurred after the Effective Date which (a) has a final maturity date not earlier than six months after the Extended Final Maturity Date and pursuant to which an aggregate principal amount of up to, but not exceeding, 30% of the original principal amount of such Indebtedness may amortize prior to the Extended Final Maturity Date and (b) satisfies all of the criteria specified in the definition of “Unsecured Longer-Term Indebtedness” other than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thereof.</w:t>
      </w:r>
    </w:p>
    <w:p>
      <w:pPr>
        <w:spacing w:after="0" w:line="154" w:lineRule="exact"/>
        <w:rPr>
          <w:sz w:val="20"/>
          <w:szCs w:val="20"/>
          <w:color w:val="auto"/>
        </w:rPr>
      </w:pPr>
    </w:p>
    <w:p>
      <w:pPr>
        <w:ind w:right="56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Convertible Indebtedness</w:t>
      </w:r>
      <w:r>
        <w:rPr>
          <w:rFonts w:ascii="Times New Roman" w:cs="Times New Roman" w:eastAsia="Times New Roman" w:hAnsi="Times New Roman"/>
          <w:sz w:val="19"/>
          <w:szCs w:val="19"/>
          <w:color w:val="auto"/>
        </w:rPr>
        <w:t>” means Indebtedness incurred by an Obligor that is convertible solely into Permitted Equity Interests of the Borrower.</w:t>
      </w:r>
    </w:p>
    <w:p>
      <w:pPr>
        <w:spacing w:after="0" w:line="127" w:lineRule="exact"/>
        <w:rPr>
          <w:sz w:val="20"/>
          <w:szCs w:val="20"/>
          <w:color w:val="auto"/>
        </w:rPr>
      </w:pPr>
    </w:p>
    <w:p>
      <w:pPr>
        <w:ind w:right="50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Equity Interests</w:t>
      </w:r>
      <w:r>
        <w:rPr>
          <w:rFonts w:ascii="Times New Roman" w:cs="Times New Roman" w:eastAsia="Times New Roman" w:hAnsi="Times New Roman"/>
          <w:sz w:val="19"/>
          <w:szCs w:val="19"/>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44"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Liens</w:t>
      </w:r>
      <w:r>
        <w:rPr>
          <w:rFonts w:ascii="Times New Roman" w:cs="Times New Roman" w:eastAsia="Times New Roman" w:hAnsi="Times New Roman"/>
          <w:sz w:val="19"/>
          <w:szCs w:val="19"/>
          <w:color w:val="auto"/>
        </w:rPr>
        <w:t>”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w:t>
      </w:r>
    </w:p>
    <w:p>
      <w:pPr>
        <w:spacing w:after="0" w:line="1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1" w:name="page122"/>
    <w:bookmarkEnd w:id="121"/>
    <w:p>
      <w:pPr>
        <w:spacing w:after="0" w:line="2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 xml:space="preserve">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 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Times New Roman" w:cs="Times New Roman" w:eastAsia="Times New Roman" w:hAnsi="Times New Roman"/>
          <w:sz w:val="19"/>
          <w:szCs w:val="19"/>
          <w:u w:val="single" w:color="auto"/>
          <w:color w:val="auto"/>
        </w:rPr>
        <w:t>clause (l)</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or in respect of assets sold or otherwise disposed of to a non -Obligor in a transaction permitted by this Agreement; and (i) deposits of money securing leases to which Borrower is a party as lessee made in the ordinary course of business.</w:t>
      </w:r>
    </w:p>
    <w:p>
      <w:pPr>
        <w:spacing w:after="0" w:line="169" w:lineRule="exact"/>
        <w:rPr>
          <w:sz w:val="20"/>
          <w:szCs w:val="20"/>
          <w:color w:val="auto"/>
        </w:rPr>
      </w:pPr>
    </w:p>
    <w:p>
      <w:pPr>
        <w:ind w:right="180" w:firstLine="1404"/>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Policy Amendment</w:t>
      </w:r>
      <w:r>
        <w:rPr>
          <w:rFonts w:ascii="Times New Roman" w:cs="Times New Roman" w:eastAsia="Times New Roman" w:hAnsi="Times New Roman"/>
          <w:sz w:val="19"/>
          <w:szCs w:val="19"/>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materially adverse to the rights, remedies or interests of the Lenders in the reasonable discretion of the Administrative Agent (for the avoidance of doubt, no change, alteration, expansion, amendment, modification, termination or restatement of the Investment Policies shall be deemed “material” if (i) investment size proportionately increases as the size of the Borrower’s capital base changes or (ii) the Borrower and its Subsidiaries, taken as a whole, invest up to 30% of their assets in non-U.S. companies).</w:t>
      </w:r>
    </w:p>
    <w:p>
      <w:pPr>
        <w:spacing w:after="0" w:line="157" w:lineRule="exact"/>
        <w:rPr>
          <w:sz w:val="20"/>
          <w:szCs w:val="20"/>
          <w:color w:val="auto"/>
        </w:rPr>
      </w:pPr>
    </w:p>
    <w:p>
      <w:pPr>
        <w:jc w:val="both"/>
        <w:ind w:right="2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SBIC Guarantee</w:t>
      </w:r>
      <w:r>
        <w:rPr>
          <w:rFonts w:ascii="Times New Roman" w:cs="Times New Roman" w:eastAsia="Times New Roman" w:hAnsi="Times New Roman"/>
          <w:sz w:val="19"/>
          <w:szCs w:val="19"/>
          <w:color w:val="auto"/>
        </w:rPr>
        <w:t>”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clause (s) of Article VII, it shall be an Event of Default hereunder if any such event or condition giving rise to such recourse occurs).</w:t>
      </w:r>
    </w:p>
    <w:p>
      <w:pPr>
        <w:spacing w:after="0" w:line="150" w:lineRule="exact"/>
        <w:rPr>
          <w:sz w:val="20"/>
          <w:szCs w:val="20"/>
          <w:color w:val="auto"/>
        </w:rPr>
      </w:pPr>
    </w:p>
    <w:p>
      <w:pPr>
        <w:ind w:right="1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any natural person, corporation, limited liability company, trust, joint venture, association, company, partnership, Governmental Authority or other entity.</w:t>
      </w:r>
    </w:p>
    <w:p>
      <w:pPr>
        <w:spacing w:after="0" w:line="127" w:lineRule="exact"/>
        <w:rPr>
          <w:sz w:val="20"/>
          <w:szCs w:val="20"/>
          <w:color w:val="auto"/>
        </w:rPr>
      </w:pPr>
    </w:p>
    <w:p>
      <w:pPr>
        <w:ind w:right="2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means any employee pension benefit plan (other than a Multiemployer Plan) subject to the provisions of Title IV of ERISA or Section 412 of the Code or Section 302 of ERISA,</w:t>
      </w:r>
    </w:p>
    <w:p>
      <w:pPr>
        <w:spacing w:after="0" w:line="12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2" w:name="page123"/>
    <w:bookmarkEnd w:id="122"/>
    <w:p>
      <w:pPr>
        <w:spacing w:after="0" w:line="26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and in respect of which the Borrower or any ERISA Affiliate is (or, if such plan were terminated, would under Section 4069 of ERISA be deemed to be) an “employer” as defined in Section 3(5) of ERISA.</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5.01(i)</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Portfolio Investment</w:t>
      </w:r>
      <w:r>
        <w:rPr>
          <w:rFonts w:ascii="Times New Roman" w:cs="Times New Roman" w:eastAsia="Times New Roman" w:hAnsi="Times New Roman"/>
          <w:sz w:val="19"/>
          <w:szCs w:val="19"/>
          <w:color w:val="auto"/>
        </w:rPr>
        <w:t>” means any Investment held by the Obligors in their asset portfolio (and solely for purposes of determining the Borrowing Base, Cash).</w:t>
      </w:r>
    </w:p>
    <w:p>
      <w:pPr>
        <w:spacing w:after="0" w:line="1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Prime Rate</w:t>
      </w:r>
      <w:r>
        <w:rPr>
          <w:rFonts w:ascii="Times New Roman" w:cs="Times New Roman" w:eastAsia="Times New Roman" w:hAnsi="Times New Roman"/>
          <w:sz w:val="19"/>
          <w:szCs w:val="19"/>
          <w:color w:val="auto"/>
        </w:rPr>
        <w:t xml:space="preserve">” means the rate which is quoted as the “prime rate” in the print edition of </w:t>
      </w:r>
      <w:r>
        <w:rPr>
          <w:rFonts w:ascii="Times New Roman" w:cs="Times New Roman" w:eastAsia="Times New Roman" w:hAnsi="Times New Roman"/>
          <w:sz w:val="19"/>
          <w:szCs w:val="19"/>
          <w:i w:val="1"/>
          <w:iCs w:val="1"/>
          <w:color w:val="auto"/>
        </w:rPr>
        <w:t>The Wall Street Journal</w:t>
      </w:r>
      <w:r>
        <w:rPr>
          <w:rFonts w:ascii="Times New Roman" w:cs="Times New Roman" w:eastAsia="Times New Roman" w:hAnsi="Times New Roman"/>
          <w:sz w:val="19"/>
          <w:szCs w:val="19"/>
          <w:color w:val="auto"/>
        </w:rPr>
        <w:t>, Money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Rates Section.</w:t>
      </w:r>
    </w:p>
    <w:p>
      <w:pPr>
        <w:spacing w:after="0" w:line="180"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Principal Financial Center</w:t>
      </w:r>
      <w:r>
        <w:rPr>
          <w:rFonts w:ascii="Times New Roman" w:cs="Times New Roman" w:eastAsia="Times New Roman" w:hAnsi="Times New Roman"/>
          <w:sz w:val="19"/>
          <w:szCs w:val="19"/>
          <w:color w:val="auto"/>
        </w:rPr>
        <w:t>” means, in the case of any Currency, the principal financial center where such Currency is cleared and settled, as determined by the Administrative Agent.</w:t>
      </w:r>
    </w:p>
    <w:p>
      <w:pPr>
        <w:spacing w:after="0" w:line="127" w:lineRule="exact"/>
        <w:rPr>
          <w:sz w:val="20"/>
          <w:szCs w:val="20"/>
          <w:color w:val="auto"/>
        </w:rPr>
      </w:pPr>
    </w:p>
    <w:p>
      <w:pPr>
        <w:ind w:right="2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Prohibited Assignees and Participants Side Letter</w:t>
      </w:r>
      <w:r>
        <w:rPr>
          <w:rFonts w:ascii="Times New Roman" w:cs="Times New Roman" w:eastAsia="Times New Roman" w:hAnsi="Times New Roman"/>
          <w:sz w:val="19"/>
          <w:szCs w:val="19"/>
          <w:color w:val="auto"/>
        </w:rPr>
        <w:t>” means that certain Side Letter, dated as of the date hereof, between the Borrower and the Administrative Agent (as amended, restated, modified or otherwise supplemented from time to time with the consent of the Administrative Agent and each Lender).</w:t>
      </w:r>
    </w:p>
    <w:p>
      <w:pPr>
        <w:spacing w:after="0" w:line="144" w:lineRule="exact"/>
        <w:rPr>
          <w:sz w:val="20"/>
          <w:szCs w:val="20"/>
          <w:color w:val="auto"/>
        </w:rPr>
      </w:pPr>
    </w:p>
    <w:p>
      <w:pPr>
        <w:ind w:right="3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Public Lender</w:t>
      </w:r>
      <w:r>
        <w:rPr>
          <w:rFonts w:ascii="Times New Roman" w:cs="Times New Roman" w:eastAsia="Times New Roman" w:hAnsi="Times New Roman"/>
          <w:sz w:val="19"/>
          <w:szCs w:val="19"/>
          <w:color w:val="auto"/>
        </w:rPr>
        <w:t>” means Lenders that do not wish to receive Non-Public Information with respect to the Borrower or any of its Subsidiaries or their Securities.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Quarterly Dates</w:t>
      </w:r>
      <w:r>
        <w:rPr>
          <w:rFonts w:ascii="Times New Roman" w:cs="Times New Roman" w:eastAsia="Times New Roman" w:hAnsi="Times New Roman"/>
          <w:sz w:val="19"/>
          <w:szCs w:val="19"/>
          <w:color w:val="auto"/>
        </w:rPr>
        <w:t>” means the last Business Day of March, June, September and December in each year, commencing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June 30, 2014.</w:t>
      </w:r>
    </w:p>
    <w:p>
      <w:pPr>
        <w:spacing w:after="0" w:line="180" w:lineRule="exact"/>
        <w:rPr>
          <w:sz w:val="20"/>
          <w:szCs w:val="20"/>
          <w:color w:val="auto"/>
        </w:rPr>
      </w:pPr>
    </w:p>
    <w:p>
      <w:pPr>
        <w:ind w:right="4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Quoted Investment</w:t>
      </w:r>
      <w:r>
        <w:rPr>
          <w:rFonts w:ascii="Times New Roman" w:cs="Times New Roman" w:eastAsia="Times New Roman" w:hAnsi="Times New Roman"/>
          <w:sz w:val="19"/>
          <w:szCs w:val="19"/>
          <w:color w:val="auto"/>
        </w:rPr>
        <w:t xml:space="preserve">” means a Portfolio Investment with a value that may be assigned by the Borrower pursuant to </w:t>
      </w:r>
      <w:r>
        <w:rPr>
          <w:rFonts w:ascii="Times New Roman" w:cs="Times New Roman" w:eastAsia="Times New Roman" w:hAnsi="Times New Roman"/>
          <w:sz w:val="19"/>
          <w:szCs w:val="19"/>
          <w:u w:val="single" w:color="auto"/>
          <w:color w:val="auto"/>
        </w:rPr>
        <w:t>Section 5.12(b)(ii)(A)</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3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Registration Statement</w:t>
      </w:r>
      <w:r>
        <w:rPr>
          <w:rFonts w:ascii="Times New Roman" w:cs="Times New Roman" w:eastAsia="Times New Roman" w:hAnsi="Times New Roman"/>
          <w:sz w:val="19"/>
          <w:szCs w:val="19"/>
          <w:color w:val="auto"/>
        </w:rPr>
        <w:t>” means the Registration Statement filed by the Borrower with the Securities and Exchange Commission on April 19, 2007.</w:t>
      </w:r>
    </w:p>
    <w:p>
      <w:pPr>
        <w:spacing w:after="0" w:line="127" w:lineRule="exact"/>
        <w:rPr>
          <w:sz w:val="20"/>
          <w:szCs w:val="20"/>
          <w:color w:val="auto"/>
        </w:rPr>
      </w:pPr>
    </w:p>
    <w:p>
      <w:pPr>
        <w:ind w:right="6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Regulations D, T, U and X</w:t>
      </w:r>
      <w:r>
        <w:rPr>
          <w:rFonts w:ascii="Times New Roman" w:cs="Times New Roman" w:eastAsia="Times New Roman" w:hAnsi="Times New Roman"/>
          <w:sz w:val="19"/>
          <w:szCs w:val="19"/>
          <w:color w:val="auto"/>
        </w:rPr>
        <w:t>” means, respectively, Regulations D, T, U and X of the Board, as the same may be modified and supplemented and in effect from time to time.</w:t>
      </w:r>
    </w:p>
    <w:p>
      <w:pPr>
        <w:spacing w:after="0" w:line="127" w:lineRule="exact"/>
        <w:rPr>
          <w:sz w:val="20"/>
          <w:szCs w:val="20"/>
          <w:color w:val="auto"/>
        </w:rPr>
      </w:pPr>
    </w:p>
    <w:p>
      <w:pPr>
        <w:ind w:right="4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Parties</w:t>
      </w:r>
      <w:r>
        <w:rPr>
          <w:rFonts w:ascii="Times New Roman" w:cs="Times New Roman" w:eastAsia="Times New Roman" w:hAnsi="Times New Roman"/>
          <w:sz w:val="19"/>
          <w:szCs w:val="19"/>
          <w:color w:val="auto"/>
        </w:rPr>
        <w:t>” means, with respect to any specified Person, such Person’s Affiliates and the respective partners, directors, officers, employees, agents and advisors of such Person and such Person’s Affiliates.</w:t>
      </w:r>
    </w:p>
    <w:p>
      <w:pPr>
        <w:spacing w:after="0" w:line="127" w:lineRule="exact"/>
        <w:rPr>
          <w:sz w:val="20"/>
          <w:szCs w:val="20"/>
          <w:color w:val="auto"/>
        </w:rPr>
      </w:pPr>
    </w:p>
    <w:p>
      <w:pPr>
        <w:jc w:val="both"/>
        <w:ind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Governmental Body</w:t>
      </w:r>
      <w:r>
        <w:rPr>
          <w:rFonts w:ascii="Times New Roman" w:cs="Times New Roman" w:eastAsia="Times New Roman" w:hAnsi="Times New Roman"/>
          <w:sz w:val="19"/>
          <w:szCs w:val="19"/>
          <w:color w:val="auto"/>
        </w:rPr>
        <w:t>” means (a) with respect to a Benchmark Replacement in respect of obligations, interest, fees, commissions or other amounts owing hereunder denominated in, or calculated with respect to, Dollars, the Board and/or the Federal Reserve Bank of New York, or a committee officially endorsed or convened by the Board and/or the Federal Reserve Bank of New York or, in each case, any successor thereto, (b) with respect to a Benchmark Replacement in respect of obligations, interest, fees, commissions or other amounts</w:t>
      </w:r>
    </w:p>
    <w:p>
      <w:pPr>
        <w:spacing w:after="0" w:line="15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23" w:name="page124"/>
    <w:bookmarkEnd w:id="123"/>
    <w:p>
      <w:pPr>
        <w:spacing w:after="0" w:line="26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color w:val="auto"/>
        </w:rPr>
        <w:t>owing hereunder denominated in, or calculated with respect to, Sterling, the Bank of England, or a committee officially endorsed or convened by the Bank of England or, in each case, any successor thereto, (c) with respect to a Benchmark Replacement in respect of obligations, interest, fees, commissions or other amounts owing hereunder denominated in, or calculated with respect to, Euro, the European Central Bank, or a committee officially endorsed or convened by the European Central Bank or, in each case, any successor thereto, and (d) with respect to a Benchmark Replacement in respect of obligations, interest, fees, commissions or other amounts owing hereunder denominated in, or calculated with respect to, any Currency (other than Dollars, Sterling or Euro), (1)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63" w:lineRule="exact"/>
        <w:rPr>
          <w:sz w:val="20"/>
          <w:szCs w:val="20"/>
          <w:color w:val="auto"/>
        </w:rPr>
      </w:pPr>
    </w:p>
    <w:p>
      <w:pPr>
        <w:ind w:right="280"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Lenders</w:t>
      </w:r>
      <w:r>
        <w:rPr>
          <w:rFonts w:ascii="Times New Roman" w:cs="Times New Roman" w:eastAsia="Times New Roman" w:hAnsi="Times New Roman"/>
          <w:sz w:val="19"/>
          <w:szCs w:val="19"/>
          <w:color w:val="auto"/>
        </w:rPr>
        <w:t xml:space="preserve">” means, at any time, Lenders having Revolving Credit Exposures and unused Commitments representing more than 50% of the sum of the total Revolving Credit Exposures and unused Commitments at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at any time, Lenders having Revolving Credit Exposures and unused Commitments of such Class representing more than 50% of the sum of the total Revolving Credit Exposures and unused Commitments of such Class at such time; provided that the Revolving Credit Exposures and unused Commitments of any Defaulting Lenders shall be disregarded in the determination of the Required Lenders of a Class.</w:t>
      </w:r>
    </w:p>
    <w:p>
      <w:pPr>
        <w:spacing w:after="0" w:line="160" w:lineRule="exact"/>
        <w:rPr>
          <w:sz w:val="20"/>
          <w:szCs w:val="20"/>
          <w:color w:val="auto"/>
        </w:rPr>
      </w:pPr>
    </w:p>
    <w:p>
      <w:pPr>
        <w:ind w:right="3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Resolution Authority</w:t>
      </w:r>
      <w:r>
        <w:rPr>
          <w:rFonts w:ascii="Times New Roman" w:cs="Times New Roman" w:eastAsia="Times New Roman" w:hAnsi="Times New Roman"/>
          <w:sz w:val="19"/>
          <w:szCs w:val="19"/>
          <w:color w:val="auto"/>
        </w:rPr>
        <w:t>” means an EEA Resolution Authority or, with respect to any UK Financial Institution, a UK Resolution Authority.</w:t>
      </w:r>
    </w:p>
    <w:p>
      <w:pPr>
        <w:spacing w:after="0" w:line="127"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Responsible Officer</w:t>
      </w:r>
      <w:r>
        <w:rPr>
          <w:rFonts w:ascii="Times New Roman" w:cs="Times New Roman" w:eastAsia="Times New Roman" w:hAnsi="Times New Roman"/>
          <w:sz w:val="19"/>
          <w:szCs w:val="19"/>
          <w:color w:val="auto"/>
        </w:rPr>
        <w:t>” means the chief executive officer, president, chief financial officer, treasurer, assistant treasurer or controller of an Obligor. Any document delivered hereunder that is signed by a Responsible Officer of an Obligor shall be conclusively presumed to have been authorized by all necessary corporate, partnership and/or other action on the part of such Obligor and such Responsible Officer shall be conclusively presumed to have acted on behalf of such Obligor.</w:t>
      </w:r>
    </w:p>
    <w:p>
      <w:pPr>
        <w:spacing w:after="0" w:line="150" w:lineRule="exact"/>
        <w:rPr>
          <w:sz w:val="20"/>
          <w:szCs w:val="20"/>
          <w:color w:val="auto"/>
        </w:rPr>
      </w:pPr>
    </w:p>
    <w:p>
      <w:pPr>
        <w:ind w:right="120" w:firstLine="140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Payment</w:t>
      </w:r>
      <w:r>
        <w:rPr>
          <w:rFonts w:ascii="Times New Roman" w:cs="Times New Roman" w:eastAsia="Times New Roman" w:hAnsi="Times New Roman"/>
          <w:sz w:val="19"/>
          <w:szCs w:val="19"/>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w:t>
      </w:r>
    </w:p>
    <w:p>
      <w:pPr>
        <w:spacing w:after="0" w:line="1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4" w:name="page125"/>
    <w:bookmarkEnd w:id="124"/>
    <w:p>
      <w:pPr>
        <w:spacing w:after="0" w:line="26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9"/>
          <w:szCs w:val="19"/>
          <w:color w:val="auto"/>
        </w:rPr>
        <w:t>and/or settlement thereof; or (y) any cash payment made by the Borrower in respect thereof, shall constitute a Restricted Payment hereunder).</w:t>
      </w:r>
    </w:p>
    <w:p>
      <w:pPr>
        <w:spacing w:after="0" w:line="127"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Return of Capital</w:t>
      </w:r>
      <w:r>
        <w:rPr>
          <w:rFonts w:ascii="Times New Roman" w:cs="Times New Roman" w:eastAsia="Times New Roman" w:hAnsi="Times New Roman"/>
          <w:sz w:val="19"/>
          <w:szCs w:val="19"/>
          <w:color w:val="auto"/>
        </w:rPr>
        <w:t xml:space="preserve">” means (a) any cash amount (and net cash proceeds of any noncash amount) received by any Obligor in respect of the outstanding principal of any Portfolio Investment (whether at stated maturity, by acceleration or otherwise), (b) without duplication of amounts received under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any net cash proceeds (including net cash proceeds of any noncash consideration) received by any Obligor from the sale of any property or assets pledged as collateral in respect of any Portfolio Investment to the extent such net cash proceeds are less than or equal to the outstanding principal balance of such Portfolio Investment, (c) any net cash amount (and net cash proceeds of any noncash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(net of any fees, costs and expenses) received by any Obligor in cash (and net cash proceeds of any noncash amount) in respect of any Portfolio Investment.</w:t>
      </w:r>
    </w:p>
    <w:p>
      <w:pPr>
        <w:spacing w:after="0" w:line="160" w:lineRule="exact"/>
        <w:rPr>
          <w:sz w:val="20"/>
          <w:szCs w:val="20"/>
          <w:color w:val="auto"/>
        </w:rPr>
      </w:pPr>
    </w:p>
    <w:p>
      <w:pPr>
        <w:ind w:right="46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Credit Exposure</w:t>
      </w:r>
      <w:r>
        <w:rPr>
          <w:rFonts w:ascii="Times New Roman" w:cs="Times New Roman" w:eastAsia="Times New Roman" w:hAnsi="Times New Roman"/>
          <w:sz w:val="19"/>
          <w:szCs w:val="19"/>
          <w:color w:val="auto"/>
        </w:rPr>
        <w:t>” means, with respect to any Lender at any time, the sum of the outstanding principal amount of such Lender’s Revolving Dollar Credit Exposure and Revolving Multicurrency Credit Exposure at such time.</w:t>
      </w:r>
    </w:p>
    <w:p>
      <w:pPr>
        <w:spacing w:after="0" w:line="127" w:lineRule="exact"/>
        <w:rPr>
          <w:sz w:val="20"/>
          <w:szCs w:val="20"/>
          <w:color w:val="auto"/>
        </w:rPr>
      </w:pPr>
    </w:p>
    <w:p>
      <w:pPr>
        <w:ind w:right="6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Dollar Credit Exposure</w:t>
      </w:r>
      <w:r>
        <w:rPr>
          <w:rFonts w:ascii="Times New Roman" w:cs="Times New Roman" w:eastAsia="Times New Roman" w:hAnsi="Times New Roman"/>
          <w:sz w:val="19"/>
          <w:szCs w:val="19"/>
          <w:color w:val="auto"/>
        </w:rPr>
        <w:t xml:space="preserve"> ” means, with respect to any Lender at any time, the sum of the outstanding principal amount of such Lender’s Syndicated Loans, and its LC Exposure and Swingline Exposure, at such time made or incurred under the Dollar Commitments.</w:t>
      </w:r>
    </w:p>
    <w:p>
      <w:pPr>
        <w:spacing w:after="0" w:line="144" w:lineRule="exact"/>
        <w:rPr>
          <w:sz w:val="20"/>
          <w:szCs w:val="20"/>
          <w:color w:val="auto"/>
        </w:rPr>
      </w:pPr>
    </w:p>
    <w:p>
      <w:pPr>
        <w:jc w:val="both"/>
        <w:ind w:right="4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Multicurrency Credit Exposure</w:t>
      </w:r>
      <w:r>
        <w:rPr>
          <w:rFonts w:ascii="Times New Roman" w:cs="Times New Roman" w:eastAsia="Times New Roman" w:hAnsi="Times New Roman"/>
          <w:sz w:val="19"/>
          <w:szCs w:val="19"/>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144" w:lineRule="exact"/>
        <w:rPr>
          <w:sz w:val="20"/>
          <w:szCs w:val="20"/>
          <w:color w:val="auto"/>
        </w:rPr>
      </w:pPr>
    </w:p>
    <w:p>
      <w:pPr>
        <w:jc w:val="both"/>
        <w:ind w:right="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Percentage</w:t>
      </w:r>
      <w:r>
        <w:rPr>
          <w:rFonts w:ascii="Times New Roman" w:cs="Times New Roman" w:eastAsia="Times New Roman" w:hAnsi="Times New Roman"/>
          <w:sz w:val="19"/>
          <w:szCs w:val="19"/>
          <w:color w:val="auto"/>
        </w:rPr>
        <w:t>” means, as of any date of determination, the result, expressed as a percentage, of the Revolving Credit Exposure on such date divided by the aggregate outstanding Covered Debt Amount on such date.</w:t>
      </w:r>
    </w:p>
    <w:p>
      <w:pPr>
        <w:spacing w:after="0" w:line="127" w:lineRule="exact"/>
        <w:rPr>
          <w:sz w:val="20"/>
          <w:szCs w:val="20"/>
          <w:color w:val="auto"/>
        </w:rPr>
      </w:pPr>
    </w:p>
    <w:p>
      <w:pPr>
        <w:ind w:right="3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w:t>
      </w:r>
      <w:r>
        <w:rPr>
          <w:rFonts w:ascii="Times New Roman" w:cs="Times New Roman" w:eastAsia="Times New Roman" w:hAnsi="Times New Roman"/>
          <w:sz w:val="19"/>
          <w:szCs w:val="19"/>
          <w:color w:val="auto"/>
        </w:rPr>
        <w:t>”, when used in reference to any Loan or Borrowing, refers to whether such Loan is, or the Loans constituting such Borrowing are, bearing interest at a rate determined by reference to Daily Simple RFR for the applicable Currency.</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Administrator</w:t>
      </w:r>
      <w:r>
        <w:rPr>
          <w:rFonts w:ascii="Times New Roman" w:cs="Times New Roman" w:eastAsia="Times New Roman" w:hAnsi="Times New Roman"/>
          <w:sz w:val="19"/>
          <w:szCs w:val="19"/>
          <w:color w:val="auto"/>
        </w:rPr>
        <w:t>” means the SONIA Administrator or the SARON Administrator, as applicable.</w:t>
      </w:r>
    </w:p>
    <w:p>
      <w:pPr>
        <w:spacing w:after="0" w:line="202" w:lineRule="exact"/>
        <w:rPr>
          <w:sz w:val="20"/>
          <w:szCs w:val="20"/>
          <w:color w:val="auto"/>
        </w:rPr>
      </w:pPr>
    </w:p>
    <w:p>
      <w:pPr>
        <w:ind w:right="4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Business Day</w:t>
      </w:r>
      <w:r>
        <w:rPr>
          <w:rFonts w:ascii="Times New Roman" w:cs="Times New Roman" w:eastAsia="Times New Roman" w:hAnsi="Times New Roman"/>
          <w:sz w:val="19"/>
          <w:szCs w:val="19"/>
          <w:color w:val="auto"/>
        </w:rPr>
        <w:t>” means, for any Loans, Borrowings, interest, fees, commissions or other amounts denominated in, or calculated with respect to, (a) Sterling, any day except for (i) a Saturday, (ii) a Sunday or (iii) a day on which banks are closed for general business in London, (b) Swiss Francs, any day except for (i) a Saturday, (ii) a Sunday or (iii) a day on which banks are closed for the settlement of payments and foreign exchange transactions in Zurich and (c) Dollars, any day except for (i) a Saturday, (ii) a Sunday or (iii) a day on which the Securities</w:t>
      </w:r>
    </w:p>
    <w:p>
      <w:pPr>
        <w:spacing w:after="0" w:line="15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5" w:name="page126"/>
    <w:bookmarkEnd w:id="125"/>
    <w:p>
      <w:pPr>
        <w:spacing w:after="0" w:line="26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9"/>
          <w:szCs w:val="19"/>
          <w:color w:val="auto"/>
        </w:rPr>
        <w:t>Industry and Financial Markets Association recommends that the fixed income departments of its members be closed for the entire day for purposes of trading in United States government securities.</w:t>
      </w:r>
    </w:p>
    <w:p>
      <w:pPr>
        <w:spacing w:after="0" w:line="127" w:lineRule="exact"/>
        <w:rPr>
          <w:sz w:val="20"/>
          <w:szCs w:val="20"/>
          <w:color w:val="auto"/>
        </w:rPr>
      </w:pPr>
    </w:p>
    <w:p>
      <w:pPr>
        <w:ind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Credit Adjustment Spread</w:t>
      </w:r>
      <w:r>
        <w:rPr>
          <w:rFonts w:ascii="Times New Roman" w:cs="Times New Roman" w:eastAsia="Times New Roman" w:hAnsi="Times New Roman"/>
          <w:sz w:val="19"/>
          <w:szCs w:val="19"/>
          <w:color w:val="auto"/>
        </w:rPr>
        <w:t>” means (a) with respect to RFR Loans denominated in Sterling, 0.1193% and (b) with respect to RFR Loans denominated in Swiss Francs, 0.0031%.</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Interest Day</w:t>
      </w:r>
      <w:r>
        <w:rPr>
          <w:rFonts w:ascii="Times New Roman" w:cs="Times New Roman" w:eastAsia="Times New Roman" w:hAnsi="Times New Roman"/>
          <w:sz w:val="19"/>
          <w:szCs w:val="19"/>
          <w:color w:val="auto"/>
        </w:rPr>
        <w:t>” has the meaning specified in the definition of “Daily Simple RFR”.</w:t>
      </w:r>
    </w:p>
    <w:p>
      <w:pPr>
        <w:spacing w:after="0" w:line="202" w:lineRule="exact"/>
        <w:rPr>
          <w:sz w:val="20"/>
          <w:szCs w:val="20"/>
          <w:color w:val="auto"/>
        </w:rPr>
      </w:pPr>
    </w:p>
    <w:p>
      <w:pPr>
        <w:ind w:right="5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Rate</w:t>
      </w:r>
      <w:r>
        <w:rPr>
          <w:rFonts w:ascii="Times New Roman" w:cs="Times New Roman" w:eastAsia="Times New Roman" w:hAnsi="Times New Roman"/>
          <w:sz w:val="19"/>
          <w:szCs w:val="19"/>
          <w:color w:val="auto"/>
        </w:rPr>
        <w:t xml:space="preserve"> ” means, for any Loans, Borrowings, interest, fees, commissions or other amounts denominated in, or calculated with respect to (a) Sterling, SONIA, and (b) Swiss Francs, SARON.</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Reference Day</w:t>
      </w:r>
      <w:r>
        <w:rPr>
          <w:rFonts w:ascii="Times New Roman" w:cs="Times New Roman" w:eastAsia="Times New Roman" w:hAnsi="Times New Roman"/>
          <w:sz w:val="19"/>
          <w:szCs w:val="19"/>
          <w:color w:val="auto"/>
        </w:rPr>
        <w:t>” has the meaning specified in the definition of “Daily Simple RFR”.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RIC</w:t>
      </w:r>
      <w:r>
        <w:rPr>
          <w:rFonts w:ascii="Times New Roman" w:cs="Times New Roman" w:eastAsia="Times New Roman" w:hAnsi="Times New Roman"/>
          <w:sz w:val="19"/>
          <w:szCs w:val="19"/>
          <w:color w:val="auto"/>
        </w:rPr>
        <w:t>” means a person qualifying for treatment as a “regulated investment company,” as defined in Section 851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Code.</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S&amp;P</w:t>
      </w:r>
      <w:r>
        <w:rPr>
          <w:rFonts w:ascii="Times New Roman" w:cs="Times New Roman" w:eastAsia="Times New Roman" w:hAnsi="Times New Roman"/>
          <w:sz w:val="19"/>
          <w:szCs w:val="19"/>
          <w:color w:val="auto"/>
        </w:rPr>
        <w:t>” means S&amp;P Global Ratings or any successor thereto.</w:t>
      </w:r>
    </w:p>
    <w:p>
      <w:pPr>
        <w:spacing w:after="0" w:line="202" w:lineRule="exact"/>
        <w:rPr>
          <w:sz w:val="20"/>
          <w:szCs w:val="20"/>
          <w:color w:val="auto"/>
        </w:rPr>
      </w:pPr>
    </w:p>
    <w:p>
      <w:pPr>
        <w:ind w:right="4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Country</w:t>
      </w:r>
      <w:r>
        <w:rPr>
          <w:rFonts w:ascii="Times New Roman" w:cs="Times New Roman" w:eastAsia="Times New Roman" w:hAnsi="Times New Roman"/>
          <w:sz w:val="19"/>
          <w:szCs w:val="19"/>
          <w:color w:val="auto"/>
        </w:rPr>
        <w:t>” means, at any time, a country, territory or region that is the subject or the target of country-wide or territory -wide Sanctions broadly prohibiting dealings with such country, territory or region (currently, Cuba, Crimea, Iran, North Korea and Syria).</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3.15</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SARON</w:t>
      </w:r>
      <w:r>
        <w:rPr>
          <w:rFonts w:ascii="Times New Roman" w:cs="Times New Roman" w:eastAsia="Times New Roman" w:hAnsi="Times New Roman"/>
          <w:sz w:val="19"/>
          <w:szCs w:val="19"/>
          <w:color w:val="auto"/>
        </w:rPr>
        <w:t>” means a rate equal to the Swiss Average Rate Overnight as administered by the SARON Administrator.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SARON Administrator</w:t>
      </w:r>
      <w:r>
        <w:rPr>
          <w:rFonts w:ascii="Times New Roman" w:cs="Times New Roman" w:eastAsia="Times New Roman" w:hAnsi="Times New Roman"/>
          <w:sz w:val="19"/>
          <w:szCs w:val="19"/>
          <w:color w:val="auto"/>
        </w:rPr>
        <w:t>” means the SIX Swiss Exchange AG (or any successor administrator of the Swiss Average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Rate Overnight).</w:t>
      </w:r>
    </w:p>
    <w:p>
      <w:pPr>
        <w:spacing w:after="0" w:line="180" w:lineRule="exact"/>
        <w:rPr>
          <w:sz w:val="20"/>
          <w:szCs w:val="20"/>
          <w:color w:val="auto"/>
        </w:rPr>
      </w:pPr>
    </w:p>
    <w:p>
      <w:pPr>
        <w:ind w:right="10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SARON Administrator’s Website</w:t>
      </w:r>
      <w:r>
        <w:rPr>
          <w:rFonts w:ascii="Times New Roman" w:cs="Times New Roman" w:eastAsia="Times New Roman" w:hAnsi="Times New Roman"/>
          <w:sz w:val="19"/>
          <w:szCs w:val="19"/>
          <w:color w:val="auto"/>
        </w:rPr>
        <w:t>” means SIX Swiss Exchange AG’s website, currently at https://www.six-group.com, or any successor source for the Swiss Average Rate Overnight identified as such by the SARON Administrator from time to time.</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SBA</w:t>
      </w:r>
      <w:r>
        <w:rPr>
          <w:rFonts w:ascii="Times New Roman" w:cs="Times New Roman" w:eastAsia="Times New Roman" w:hAnsi="Times New Roman"/>
          <w:sz w:val="19"/>
          <w:szCs w:val="19"/>
          <w:color w:val="auto"/>
        </w:rPr>
        <w:t>” means the United States Small Business Administration.</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SBIC Equity Commitment</w:t>
      </w:r>
      <w:r>
        <w:rPr>
          <w:rFonts w:ascii="Times New Roman" w:cs="Times New Roman" w:eastAsia="Times New Roman" w:hAnsi="Times New Roman"/>
          <w:sz w:val="19"/>
          <w:szCs w:val="19"/>
          <w:color w:val="auto"/>
        </w:rPr>
        <w:t>” means a commitment by the Borrower to make one or more capital contributions to 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SBIC Subsidiary.</w:t>
      </w:r>
    </w:p>
    <w:p>
      <w:pPr>
        <w:spacing w:after="0" w:line="180" w:lineRule="exact"/>
        <w:rPr>
          <w:sz w:val="20"/>
          <w:szCs w:val="20"/>
          <w:color w:val="auto"/>
        </w:rPr>
      </w:pPr>
    </w:p>
    <w:p>
      <w:pPr>
        <w:ind w:right="2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SBIC Subsidiary</w:t>
      </w:r>
      <w:r>
        <w:rPr>
          <w:rFonts w:ascii="Times New Roman" w:cs="Times New Roman" w:eastAsia="Times New Roman" w:hAnsi="Times New Roman"/>
          <w:sz w:val="19"/>
          <w:szCs w:val="19"/>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w:t>
      </w:r>
    </w:p>
    <w:p>
      <w:pPr>
        <w:spacing w:after="0" w:line="1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6" w:name="page127"/>
    <w:bookmarkEnd w:id="126"/>
    <w:p>
      <w:pPr>
        <w:spacing w:after="0" w:line="2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or analogous commitment), (ii) is recourse to or obligates any Obligor in any way (other than in respect of any SBIC Equity Commitment, Permitted SBIC Guarantee or analogous commitment),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(other than in respect of any SBIC Equity Commitment, Permitted SBIC Guarantee or analogous commitment).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57" w:lineRule="exact"/>
        <w:rPr>
          <w:sz w:val="20"/>
          <w:szCs w:val="20"/>
          <w:color w:val="auto"/>
        </w:rPr>
      </w:pPr>
    </w:p>
    <w:p>
      <w:pPr>
        <w:ind w:right="4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Screen Rate</w:t>
      </w:r>
      <w:r>
        <w:rPr>
          <w:rFonts w:ascii="Times New Roman" w:cs="Times New Roman" w:eastAsia="Times New Roman" w:hAnsi="Times New Roman"/>
          <w:sz w:val="19"/>
          <w:szCs w:val="19"/>
          <w:color w:val="auto"/>
        </w:rPr>
        <w:t>” means each of the Term SOFR Screen Rate, the EURIBOR Screen Rate, the Term CORRA Screen Rate, the BBSY Screen Rate and the STIBOR Screen Rate.</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Second Amendment Effective Date</w:t>
      </w:r>
      <w:r>
        <w:rPr>
          <w:rFonts w:ascii="Times New Roman" w:cs="Times New Roman" w:eastAsia="Times New Roman" w:hAnsi="Times New Roman"/>
          <w:sz w:val="19"/>
          <w:szCs w:val="19"/>
          <w:color w:val="auto"/>
        </w:rPr>
        <w:t>” means September 4, 2019.</w:t>
      </w:r>
    </w:p>
    <w:p>
      <w:pPr>
        <w:spacing w:after="0" w:line="202" w:lineRule="exact"/>
        <w:rPr>
          <w:sz w:val="20"/>
          <w:szCs w:val="20"/>
          <w:color w:val="auto"/>
        </w:rPr>
      </w:pPr>
    </w:p>
    <w:p>
      <w:pPr>
        <w:ind w:right="18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Debt Amount</w:t>
      </w:r>
      <w:r>
        <w:rPr>
          <w:rFonts w:ascii="Times New Roman" w:cs="Times New Roman" w:eastAsia="Times New Roman" w:hAnsi="Times New Roman"/>
          <w:sz w:val="19"/>
          <w:szCs w:val="19"/>
          <w:color w:val="auto"/>
        </w:rPr>
        <w:t>” means, on any date, the aggregate amount of all Secured Longer-Term Indebtedness and Secured Shorter-Term Indebtedness on such date (other than the obligations owed under the Loan Documents, including the Revolving Credit Exposure).</w:t>
      </w:r>
    </w:p>
    <w:p>
      <w:pPr>
        <w:spacing w:after="0" w:line="144" w:lineRule="exact"/>
        <w:rPr>
          <w:sz w:val="20"/>
          <w:szCs w:val="20"/>
          <w:color w:val="auto"/>
        </w:rPr>
      </w:pPr>
    </w:p>
    <w:p>
      <w:pPr>
        <w:ind w:right="20" w:firstLine="1404"/>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Longer-Term Indebtedness</w:t>
      </w:r>
      <w:r>
        <w:rPr>
          <w:rFonts w:ascii="Times New Roman" w:cs="Times New Roman" w:eastAsia="Times New Roman" w:hAnsi="Times New Roman"/>
          <w:sz w:val="19"/>
          <w:szCs w:val="19"/>
          <w:color w:val="auto"/>
        </w:rPr>
        <w:t xml:space="preserve">” means, as at any date, Indebtedness (other than Indebtedness hereunder) of any Obligor (which may be Guaranteed by any other Obligor) that (a) has no scheduled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 w:cs="Times New Roman" w:eastAsia="Times New Roman" w:hAnsi="Times New Roman"/>
          <w:sz w:val="19"/>
          <w:szCs w:val="19"/>
          <w:u w:val="single" w:color="auto"/>
          <w:color w:val="auto"/>
        </w:rPr>
        <w:t>Section 6. 01(g)</w:t>
      </w:r>
      <w:r>
        <w:rPr>
          <w:rFonts w:ascii="Times New Roman" w:cs="Times New Roman" w:eastAsia="Times New Roman" w:hAnsi="Times New Roman"/>
          <w:sz w:val="19"/>
          <w:szCs w:val="19"/>
          <w:color w:val="auto"/>
        </w:rPr>
        <w:t xml:space="preserve"> ) prior to, and a final maturity date not earlier than, six months after the Extended Final Maturity Date (it being understood that none of: (w) the conversion features under convertible notes; (x) the triggering and/or settlement thereof; or (y) any cash payment made in respect thereof, shall constitute “amortization” for purposes of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(b) is incurred pursuant to documentation containing (i) financial covenants, covenants governing the borrowing base, if any, portfolio valuations and events of default (other than events of default customary in indentures or similar instruments that have no analogous provisions in this Agreement or credit agreements generally) that are no more restrictive upon the Borrower and its Subsidiaries than those set forth in this Agreement and (ii) other terms (other than interest) that are no more restrictive in any material respect upon the Borrower and its Subsidiaries, prior to the Termination Date, than those set forth in this Agreement (it being understood that put rights or repurchase or redemption obligations (x) in the case of convertible securities, in connection with the suspension or delisting of the capital stock of the Borrower or the failure of the Borrower to satisfy a continued listing rule with respect to its capital stock or (y) arising out of circumstances that would constitute a “fundamental change” (as such term is customarily defined in convertible note offerings) or an Event of Default under this Agreement shall not be deemed to be more restrictive for purposes of this definition));</w:t>
      </w:r>
    </w:p>
    <w:p>
      <w:pPr>
        <w:spacing w:after="0" w:line="16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7" w:name="page128"/>
    <w:bookmarkEnd w:id="127"/>
    <w:p>
      <w:pPr>
        <w:spacing w:after="0" w:line="26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the Borrower’s written request in connection with the incurrence of any Secured Longer-Term Indebtedness that otherwise would not meet the requirements of this clause (b), this Agreement will be deemed automatically amended (and, upon the request of the Administrative Agent or the Required Lenders, the Borrower shall promptly enter into a written amendment evidencing such amendment),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solely to the extent necessary such that the financial covenants, covenants governing the borrowing base, if any, portfolio valuations, events of default (other than events of default customary in indentures or similar instruments that have no analogous provisions in this Agreement or credit agreements generally) or other terms, as applicable, in this Agreement shall be as restrictive as such covenants in the Secured Longer-Term Indebtedness, and (c) is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Longer-Term Indebtedness shall have become a party to the Guarantee and Security Agreement and assumed the obligations of a Financing Agent or Designated Indebtedness Holder (in each case, as defined in the Guarantee and Security Agreement).</w:t>
      </w:r>
    </w:p>
    <w:p>
      <w:pPr>
        <w:spacing w:after="0" w:line="163" w:lineRule="exact"/>
        <w:rPr>
          <w:sz w:val="20"/>
          <w:szCs w:val="20"/>
          <w:color w:val="auto"/>
        </w:rPr>
      </w:pPr>
    </w:p>
    <w:p>
      <w:pPr>
        <w:ind w:right="100"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Shorter -Term Indebtedness</w:t>
      </w:r>
      <w:r>
        <w:rPr>
          <w:rFonts w:ascii="Times New Roman" w:cs="Times New Roman" w:eastAsia="Times New Roman" w:hAnsi="Times New Roman"/>
          <w:sz w:val="19"/>
          <w:szCs w:val="19"/>
          <w:color w:val="auto"/>
        </w:rPr>
        <w:t xml:space="preserve">” means, collectively, (a) any Indebtedness of the Borrower or any Subsidiary (other than a Financing Subsidiary) that is (x) secured by any assets of any Obligor and that does not constitute Secured Longer- Term Indebtedness and (y)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Shorter-Term Indebtedness shall have become a party to the Guarantee and Security Agreement and assumed the obligations of a Financing Agent or Designated Indebtedness Holder (in each case, as defined in the Guarantee and Security Agreement) and (b) any Indebtedness that is designated as “Secured Shorter-Term Indebtedness” pursuant to </w:t>
      </w:r>
      <w:r>
        <w:rPr>
          <w:rFonts w:ascii="Times New Roman" w:cs="Times New Roman" w:eastAsia="Times New Roman" w:hAnsi="Times New Roman"/>
          <w:sz w:val="19"/>
          <w:szCs w:val="19"/>
          <w:u w:val="single" w:color="auto"/>
          <w:color w:val="auto"/>
        </w:rPr>
        <w:t>Section 6.11(a)</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ind w:right="8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Security Documents</w:t>
      </w:r>
      <w:r>
        <w:rPr>
          <w:rFonts w:ascii="Times New Roman" w:cs="Times New Roman" w:eastAsia="Times New Roman" w:hAnsi="Times New Roman"/>
          <w:sz w:val="19"/>
          <w:szCs w:val="19"/>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54" w:lineRule="exact"/>
        <w:rPr>
          <w:sz w:val="20"/>
          <w:szCs w:val="20"/>
          <w:color w:val="auto"/>
        </w:rPr>
      </w:pPr>
    </w:p>
    <w:p>
      <w:pPr>
        <w:ind w:right="36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Shareholders’ Equity</w:t>
      </w:r>
      <w:r>
        <w:rPr>
          <w:rFonts w:ascii="Times New Roman" w:cs="Times New Roman" w:eastAsia="Times New Roman" w:hAnsi="Times New Roman"/>
          <w:sz w:val="19"/>
          <w:szCs w:val="19"/>
          <w:color w:val="auto"/>
        </w:rPr>
        <w:t>” means, at any date, the amount determined on a consolidated basis, without duplication, in accordance with GAAP, of shareholders equity for the Borrower and its Subsidiaries at such date.</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w:t>
      </w:r>
      <w:r>
        <w:rPr>
          <w:rFonts w:ascii="Times New Roman" w:cs="Times New Roman" w:eastAsia="Times New Roman" w:hAnsi="Times New Roman"/>
          <w:sz w:val="19"/>
          <w:szCs w:val="19"/>
          <w:color w:val="auto"/>
        </w:rPr>
        <w:t>” means a rate per annum equal to the secured overnight financing rate as administered by the SOFR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Administrator.</w:t>
      </w:r>
    </w:p>
    <w:p>
      <w:pPr>
        <w:spacing w:after="0" w:line="17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8" w:name="page129"/>
    <w:bookmarkEnd w:id="128"/>
    <w:p>
      <w:pPr>
        <w:spacing w:after="0" w:line="269" w:lineRule="exact"/>
        <w:rPr>
          <w:sz w:val="20"/>
          <w:szCs w:val="20"/>
          <w:color w:val="auto"/>
        </w:rPr>
      </w:pPr>
    </w:p>
    <w:p>
      <w:pPr>
        <w:ind w:right="3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Administrator</w:t>
      </w:r>
      <w:r>
        <w:rPr>
          <w:rFonts w:ascii="Times New Roman" w:cs="Times New Roman" w:eastAsia="Times New Roman" w:hAnsi="Times New Roman"/>
          <w:sz w:val="19"/>
          <w:szCs w:val="19"/>
          <w:color w:val="auto"/>
        </w:rPr>
        <w:t>” means the Federal Reserve Bank of New York (or a successor administrator of the secured overnight financing rate).</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Determination Date</w:t>
      </w:r>
      <w:r>
        <w:rPr>
          <w:rFonts w:ascii="Times New Roman" w:cs="Times New Roman" w:eastAsia="Times New Roman" w:hAnsi="Times New Roman"/>
          <w:sz w:val="19"/>
          <w:szCs w:val="19"/>
          <w:color w:val="auto"/>
        </w:rPr>
        <w:t>” has the meaning assigned to such term in the definition of “Daily Simple SOFR”.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Rate Day</w:t>
      </w:r>
      <w:r>
        <w:rPr>
          <w:rFonts w:ascii="Times New Roman" w:cs="Times New Roman" w:eastAsia="Times New Roman" w:hAnsi="Times New Roman"/>
          <w:sz w:val="19"/>
          <w:szCs w:val="19"/>
          <w:color w:val="auto"/>
        </w:rPr>
        <w:t>” has the meaning assigned to such term in the definition of “Daily Simple SOFR”.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w:t>
      </w:r>
      <w:r>
        <w:rPr>
          <w:rFonts w:ascii="Times New Roman" w:cs="Times New Roman" w:eastAsia="Times New Roman" w:hAnsi="Times New Roman"/>
          <w:sz w:val="19"/>
          <w:szCs w:val="19"/>
          <w:color w:val="auto"/>
        </w:rPr>
        <w:t>” means a rate equal to the Sterling Overnight Index Average as administered by the SONIA Administrator.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 Administrator</w:t>
      </w:r>
      <w:r>
        <w:rPr>
          <w:rFonts w:ascii="Times New Roman" w:cs="Times New Roman" w:eastAsia="Times New Roman" w:hAnsi="Times New Roman"/>
          <w:sz w:val="19"/>
          <w:szCs w:val="19"/>
          <w:color w:val="auto"/>
        </w:rPr>
        <w:t>” means the Bank of England (or any successor administrator of the Sterling Overnight Index</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Average).</w:t>
      </w:r>
    </w:p>
    <w:p>
      <w:pPr>
        <w:spacing w:after="0" w:line="180" w:lineRule="exact"/>
        <w:rPr>
          <w:sz w:val="20"/>
          <w:szCs w:val="20"/>
          <w:color w:val="auto"/>
        </w:rPr>
      </w:pPr>
    </w:p>
    <w:p>
      <w:pPr>
        <w:ind w:right="36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 Administrator’s Website</w:t>
      </w:r>
      <w:r>
        <w:rPr>
          <w:rFonts w:ascii="Times New Roman" w:cs="Times New Roman" w:eastAsia="Times New Roman" w:hAnsi="Times New Roman"/>
          <w:sz w:val="19"/>
          <w:szCs w:val="19"/>
          <w:color w:val="auto"/>
        </w:rPr>
        <w:t>” means the Bank of England’s website, currently at http://www.bankofengland.co.uk, or any successor source for the Sterling Overnight Index Average identified as such by the SONIA Administrator from time to time.</w:t>
      </w:r>
    </w:p>
    <w:p>
      <w:pPr>
        <w:spacing w:after="0" w:line="144" w:lineRule="exact"/>
        <w:rPr>
          <w:sz w:val="20"/>
          <w:szCs w:val="20"/>
          <w:color w:val="auto"/>
        </w:rPr>
      </w:pPr>
    </w:p>
    <w:p>
      <w:pPr>
        <w:ind w:right="42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 Subsidiary</w:t>
      </w:r>
      <w:r>
        <w:rPr>
          <w:rFonts w:ascii="Times New Roman" w:cs="Times New Roman" w:eastAsia="Times New Roman" w:hAnsi="Times New Roman"/>
          <w:sz w:val="19"/>
          <w:szCs w:val="19"/>
          <w:color w:val="auto"/>
        </w:rPr>
        <w:t>” 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spacing w:after="0" w:line="150" w:lineRule="exact"/>
        <w:rPr>
          <w:sz w:val="20"/>
          <w:szCs w:val="20"/>
          <w:color w:val="auto"/>
        </w:rPr>
      </w:pPr>
    </w:p>
    <w:p>
      <w:pPr>
        <w:ind w:right="80" w:firstLine="1410"/>
        <w:spacing w:after="0" w:line="259" w:lineRule="auto"/>
        <w:tabs>
          <w:tab w:leader="none" w:pos="1665"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53" w:lineRule="exact"/>
        <w:rPr>
          <w:rFonts w:ascii="Times New Roman" w:cs="Times New Roman" w:eastAsia="Times New Roman" w:hAnsi="Times New Roman"/>
          <w:sz w:val="19"/>
          <w:szCs w:val="19"/>
          <w:color w:val="auto"/>
        </w:rPr>
      </w:pPr>
    </w:p>
    <w:p>
      <w:pPr>
        <w:jc w:val="both"/>
        <w:ind w:right="300" w:firstLine="1410"/>
        <w:spacing w:after="0" w:line="268" w:lineRule="auto"/>
        <w:tabs>
          <w:tab w:leader="none" w:pos="1676"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which no Obligor has any material contract, agreement, arrangement or understanding other than on terms, taken as a whole, not materially less favorable to such Obligor than those that might be obtained at the time from Persons that are not Affiliates of any Obligor, other than fees payable in the ordinary course of business in connection with servicing receivables, and</w:t>
      </w:r>
    </w:p>
    <w:p>
      <w:pPr>
        <w:spacing w:after="0" w:line="144" w:lineRule="exact"/>
        <w:rPr>
          <w:rFonts w:ascii="Times New Roman" w:cs="Times New Roman" w:eastAsia="Times New Roman" w:hAnsi="Times New Roman"/>
          <w:sz w:val="19"/>
          <w:szCs w:val="19"/>
          <w:color w:val="auto"/>
        </w:rPr>
      </w:pPr>
    </w:p>
    <w:p>
      <w:pPr>
        <w:ind w:firstLine="1410"/>
        <w:spacing w:after="0" w:line="286" w:lineRule="auto"/>
        <w:tabs>
          <w:tab w:leader="none" w:pos="1665"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which no Obligor has any obligation to maintain or preserve such entity’s financial condition or cause such entity to achieve certain levels of operating results.</w:t>
      </w:r>
    </w:p>
    <w:p>
      <w:pPr>
        <w:spacing w:after="0" w:line="127"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4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9" w:name="page130"/>
    <w:bookmarkEnd w:id="129"/>
    <w:p>
      <w:pPr>
        <w:spacing w:after="0" w:line="269" w:lineRule="exact"/>
        <w:rPr>
          <w:sz w:val="20"/>
          <w:szCs w:val="20"/>
          <w:color w:val="auto"/>
        </w:rPr>
      </w:pPr>
    </w:p>
    <w:p>
      <w:pPr>
        <w:ind w:right="200" w:firstLine="140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Special Equity Interest</w:t>
      </w:r>
      <w:r>
        <w:rPr>
          <w:rFonts w:ascii="Times New Roman" w:cs="Times New Roman" w:eastAsia="Times New Roman" w:hAnsi="Times New Roman"/>
          <w:sz w:val="19"/>
          <w:szCs w:val="19"/>
          <w:color w:val="auto"/>
        </w:rPr>
        <w:t xml:space="preserve">” means any Equity Interest that is subject to a Lien in favor of creditors of the issuer of such Equity Interest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Lien was created to secure Indebtedness owing by such issuer to such creditors, (b) such Indebtedness was (i) in existence at the time the Obligors acquired such Equity Interest, (ii) incurred or assumed by such issuer substantially contemporaneously with such acquisition or (iii) 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57" w:lineRule="exact"/>
        <w:rPr>
          <w:sz w:val="20"/>
          <w:szCs w:val="20"/>
          <w:color w:val="auto"/>
        </w:rPr>
      </w:pPr>
    </w:p>
    <w:p>
      <w:pPr>
        <w:ind w:right="24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Special Permitted Indebtedness</w:t>
      </w:r>
      <w:r>
        <w:rPr>
          <w:rFonts w:ascii="Times New Roman" w:cs="Times New Roman" w:eastAsia="Times New Roman" w:hAnsi="Times New Roman"/>
          <w:sz w:val="19"/>
          <w:szCs w:val="19"/>
          <w:color w:val="auto"/>
        </w:rPr>
        <w:t xml:space="preserve">” means Indebtedness of any Obligor (which may be Guaranteed by any other Obligor) incurred after the Effective Date which (a) has a final maturity date not earlier than five years after the incurrence thereof and (b) satisfies all of the criteria specified in the definition of “Unsecured Longer-Term Indebtedness” other than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thereof.</w:t>
      </w:r>
    </w:p>
    <w:p>
      <w:pPr>
        <w:spacing w:after="0" w:line="144" w:lineRule="exact"/>
        <w:rPr>
          <w:sz w:val="20"/>
          <w:szCs w:val="20"/>
          <w:color w:val="auto"/>
        </w:rPr>
      </w:pPr>
    </w:p>
    <w:p>
      <w:pPr>
        <w:ind w:right="18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Countries</w:t>
      </w:r>
      <w:r>
        <w:rPr>
          <w:rFonts w:ascii="Times New Roman" w:cs="Times New Roman" w:eastAsia="Times New Roman" w:hAnsi="Times New Roman"/>
          <w:sz w:val="19"/>
          <w:szCs w:val="19"/>
          <w:color w:val="auto"/>
        </w:rPr>
        <w:t>” means the United States and U.S. Territories, Canada, Australia, the United Kingdom, Ireland, Germany, Spain, France, Belgium, the Netherlands, Luxembourg, Switzerland, Denmark, Finland, Norway, Sweden, Austria, Iceland and Lichtenstein.</w:t>
      </w:r>
    </w:p>
    <w:p>
      <w:pPr>
        <w:spacing w:after="0" w:line="144" w:lineRule="exact"/>
        <w:rPr>
          <w:sz w:val="20"/>
          <w:szCs w:val="20"/>
          <w:color w:val="auto"/>
        </w:rPr>
      </w:pPr>
    </w:p>
    <w:p>
      <w:pPr>
        <w:ind w:right="6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Tax Jurisdictions</w:t>
      </w:r>
      <w:r>
        <w:rPr>
          <w:rFonts w:ascii="Times New Roman" w:cs="Times New Roman" w:eastAsia="Times New Roman" w:hAnsi="Times New Roman"/>
          <w:sz w:val="19"/>
          <w:szCs w:val="19"/>
          <w:color w:val="auto"/>
        </w:rPr>
        <w:t>” shall mean Bermuda, the British Virgin Islands, the Cayman Islands, the Channel Islands, the Isle of Man and the Netherlands Antilles.</w:t>
      </w:r>
    </w:p>
    <w:p>
      <w:pPr>
        <w:spacing w:after="0" w:line="127" w:lineRule="exact"/>
        <w:rPr>
          <w:sz w:val="20"/>
          <w:szCs w:val="20"/>
          <w:color w:val="auto"/>
        </w:rPr>
      </w:pPr>
    </w:p>
    <w:p>
      <w:pPr>
        <w:ind w:right="8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Standard Securitization Undertakings</w:t>
      </w:r>
      <w:r>
        <w:rPr>
          <w:rFonts w:ascii="Times New Roman" w:cs="Times New Roman" w:eastAsia="Times New Roman" w:hAnsi="Times New Roman"/>
          <w:sz w:val="19"/>
          <w:szCs w:val="19"/>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collectability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54"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Statutory Reserve Rate</w:t>
      </w:r>
      <w:r>
        <w:rPr>
          <w:rFonts w:ascii="Times New Roman" w:cs="Times New Roman" w:eastAsia="Times New Roman" w:hAnsi="Times New Roman"/>
          <w:sz w:val="19"/>
          <w:szCs w:val="19"/>
          <w:color w:val="auto"/>
        </w:rPr>
        <w:t xml:space="preserve">” means, for any applicable Interest Period for any Term Benchmark Borrowing, a fraction (expressed as a decimal), the numerator of which is the number one and the denominator of which is the number one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the arithmetic mean, taken over each day in such Interest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Term Benchmark Loans denominated in Euros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5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Sterling</w:t>
      </w:r>
      <w:r>
        <w:rPr>
          <w:rFonts w:ascii="Times New Roman" w:cs="Times New Roman" w:eastAsia="Times New Roman" w:hAnsi="Times New Roman"/>
          <w:sz w:val="19"/>
          <w:szCs w:val="19"/>
          <w:color w:val="auto"/>
        </w:rPr>
        <w:t>” means the lawful currency of the United Kingdom.</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STIBOR</w:t>
      </w:r>
      <w:r>
        <w:rPr>
          <w:rFonts w:ascii="Times New Roman" w:cs="Times New Roman" w:eastAsia="Times New Roman" w:hAnsi="Times New Roman"/>
          <w:sz w:val="19"/>
          <w:szCs w:val="19"/>
          <w:color w:val="auto"/>
        </w:rPr>
        <w:t>” has the meaning assigned to such term in clause (e) of the definition of “Term Benchmark Rate”.</w:t>
      </w:r>
    </w:p>
    <w:p>
      <w:pPr>
        <w:spacing w:after="0" w:line="20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0" w:name="page131"/>
    <w:bookmarkEnd w:id="130"/>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STIBOR Screen Rate</w:t>
      </w:r>
      <w:r>
        <w:rPr>
          <w:rFonts w:ascii="Times New Roman" w:cs="Times New Roman" w:eastAsia="Times New Roman" w:hAnsi="Times New Roman"/>
          <w:sz w:val="19"/>
          <w:szCs w:val="19"/>
          <w:color w:val="auto"/>
        </w:rPr>
        <w:t>” has the meaning assigned to such term in clause (e) of the definition of “Term Benchmark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Rate”.</w:t>
      </w:r>
    </w:p>
    <w:p>
      <w:pPr>
        <w:spacing w:after="0" w:line="180" w:lineRule="exact"/>
        <w:rPr>
          <w:sz w:val="20"/>
          <w:szCs w:val="20"/>
          <w:color w:val="auto"/>
        </w:rPr>
      </w:pPr>
    </w:p>
    <w:p>
      <w:pPr>
        <w:ind w:right="40" w:firstLine="1404"/>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means, with respect to any Person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60" w:lineRule="exact"/>
        <w:rPr>
          <w:sz w:val="20"/>
          <w:szCs w:val="20"/>
          <w:color w:val="auto"/>
        </w:rPr>
      </w:pPr>
    </w:p>
    <w:p>
      <w:pPr>
        <w:ind w:right="10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 Guarantor</w:t>
      </w:r>
      <w:r>
        <w:rPr>
          <w:rFonts w:ascii="Times New Roman" w:cs="Times New Roman" w:eastAsia="Times New Roman" w:hAnsi="Times New Roman"/>
          <w:sz w:val="19"/>
          <w:szCs w:val="19"/>
          <w:color w:val="auto"/>
        </w:rPr>
        <w:t>” means any Subsidiary that is a Guarantor under the Guarantee and Security Agreement. It is understood and agreed that no Financing Subsidiary or Foreign Subsidiary shall be a Subsidiary Guarantor. As of the Fifth Amendment Effective Date, the Subsidiary Guarantors are PNNT CI (GALLS) Prime Investment Holdings, LLC and PNNT Investment Holdings, LLC.</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Swedish Krona</w:t>
      </w:r>
      <w:r>
        <w:rPr>
          <w:rFonts w:ascii="Times New Roman" w:cs="Times New Roman" w:eastAsia="Times New Roman" w:hAnsi="Times New Roman"/>
          <w:sz w:val="19"/>
          <w:szCs w:val="19"/>
          <w:color w:val="auto"/>
        </w:rPr>
        <w:t>” means the lawful currency of Sweden.</w:t>
      </w:r>
    </w:p>
    <w:p>
      <w:pPr>
        <w:spacing w:after="0" w:line="202" w:lineRule="exact"/>
        <w:rPr>
          <w:sz w:val="20"/>
          <w:szCs w:val="20"/>
          <w:color w:val="auto"/>
        </w:rPr>
      </w:pPr>
    </w:p>
    <w:p>
      <w:pPr>
        <w:ind w:right="14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Exposure</w:t>
      </w:r>
      <w:r>
        <w:rPr>
          <w:rFonts w:ascii="Times New Roman" w:cs="Times New Roman" w:eastAsia="Times New Roman" w:hAnsi="Times New Roman"/>
          <w:sz w:val="19"/>
          <w:szCs w:val="19"/>
          <w:color w:val="auto"/>
        </w:rPr>
        <w:t>” means, at any time, the aggregate principal amount of all Swingline Loans outstanding at such time. The Swingline Exposure of any Lender at any time shall be the sum of (i) its Applicable Dollar Percentage of the total Swingline Exposure at such time incurred under the Dollar Commitments and (ii) its Applicable Multicurrency Percentage of the total Swingline Exposure at such time incurred under the Multicurrency Commitments.</w:t>
      </w:r>
    </w:p>
    <w:p>
      <w:pPr>
        <w:spacing w:after="0" w:line="150" w:lineRule="exact"/>
        <w:rPr>
          <w:sz w:val="20"/>
          <w:szCs w:val="20"/>
          <w:color w:val="auto"/>
        </w:rPr>
      </w:pPr>
    </w:p>
    <w:p>
      <w:pPr>
        <w:ind w:right="2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Lender</w:t>
      </w:r>
      <w:r>
        <w:rPr>
          <w:rFonts w:ascii="Times New Roman" w:cs="Times New Roman" w:eastAsia="Times New Roman" w:hAnsi="Times New Roman"/>
          <w:sz w:val="19"/>
          <w:szCs w:val="19"/>
          <w:color w:val="auto"/>
        </w:rPr>
        <w:t xml:space="preserve">” means Truist, in its capacity as lender of Swingline Loans hereunder, and its successors in such capacity as provided in </w:t>
      </w:r>
      <w:r>
        <w:rPr>
          <w:rFonts w:ascii="Times New Roman" w:cs="Times New Roman" w:eastAsia="Times New Roman" w:hAnsi="Times New Roman"/>
          <w:sz w:val="19"/>
          <w:szCs w:val="19"/>
          <w:u w:val="single" w:color="auto"/>
          <w:color w:val="auto"/>
        </w:rPr>
        <w:t>Section 2.04(d)</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Loan</w:t>
      </w:r>
      <w:r>
        <w:rPr>
          <w:rFonts w:ascii="Times New Roman" w:cs="Times New Roman" w:eastAsia="Times New Roman" w:hAnsi="Times New Roman"/>
          <w:sz w:val="19"/>
          <w:szCs w:val="19"/>
          <w:color w:val="auto"/>
        </w:rPr>
        <w:t xml:space="preserve">” means a Loan made pursuant to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Swiss Franc</w:t>
      </w:r>
      <w:r>
        <w:rPr>
          <w:rFonts w:ascii="Times New Roman" w:cs="Times New Roman" w:eastAsia="Times New Roman" w:hAnsi="Times New Roman"/>
          <w:sz w:val="19"/>
          <w:szCs w:val="19"/>
          <w:color w:val="auto"/>
        </w:rPr>
        <w:t>” means the lawful currency of Switzerland.</w:t>
      </w:r>
    </w:p>
    <w:p>
      <w:pPr>
        <w:spacing w:after="0" w:line="202" w:lineRule="exact"/>
        <w:rPr>
          <w:sz w:val="20"/>
          <w:szCs w:val="20"/>
          <w:color w:val="auto"/>
        </w:rPr>
      </w:pPr>
    </w:p>
    <w:p>
      <w:pPr>
        <w:ind w:right="7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Syndicated</w:t>
      </w:r>
      <w:r>
        <w:rPr>
          <w:rFonts w:ascii="Times New Roman" w:cs="Times New Roman" w:eastAsia="Times New Roman" w:hAnsi="Times New Roman"/>
          <w:sz w:val="19"/>
          <w:szCs w:val="19"/>
          <w:color w:val="auto"/>
        </w:rPr>
        <w:t xml:space="preserve">”, when used in reference to any Loan or Borrowing, refers to whether such Loan is, or the Loans constituting such Borrowing are, made pursuant to </w:t>
      </w:r>
      <w:r>
        <w:rPr>
          <w:rFonts w:ascii="Times New Roman" w:cs="Times New Roman" w:eastAsia="Times New Roman" w:hAnsi="Times New Roman"/>
          <w:sz w:val="19"/>
          <w:szCs w:val="19"/>
          <w:u w:val="single" w:color="auto"/>
          <w:color w:val="auto"/>
        </w:rPr>
        <w:t>Section 2.01</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right="2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TARGET Day</w:t>
      </w:r>
      <w:r>
        <w:rPr>
          <w:rFonts w:ascii="Times New Roman" w:cs="Times New Roman" w:eastAsia="Times New Roman" w:hAnsi="Times New Roman"/>
          <w:sz w:val="19"/>
          <w:szCs w:val="19"/>
          <w:color w:val="auto"/>
        </w:rPr>
        <w:t>” means any day on which the Trans-European Automated Real- time Gross Settlement Express Transfer payment system (or any successor settlement system as determined by the Administrative Agent to be a suitable replacement) is open for the settlement of payments in Euros.</w:t>
      </w:r>
    </w:p>
    <w:p>
      <w:pPr>
        <w:spacing w:after="0" w:line="1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1" w:name="page132"/>
    <w:bookmarkEnd w:id="131"/>
    <w:p>
      <w:pPr>
        <w:spacing w:after="0" w:line="269" w:lineRule="exact"/>
        <w:rPr>
          <w:sz w:val="20"/>
          <w:szCs w:val="20"/>
          <w:color w:val="auto"/>
        </w:rPr>
      </w:pPr>
    </w:p>
    <w:p>
      <w:pPr>
        <w:ind w:right="36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44" w:lineRule="exact"/>
        <w:rPr>
          <w:sz w:val="20"/>
          <w:szCs w:val="20"/>
          <w:color w:val="auto"/>
        </w:rPr>
      </w:pPr>
    </w:p>
    <w:p>
      <w:pPr>
        <w:ind w:right="2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Benchmark</w:t>
      </w:r>
      <w:r>
        <w:rPr>
          <w:rFonts w:ascii="Times New Roman" w:cs="Times New Roman" w:eastAsia="Times New Roman" w:hAnsi="Times New Roman"/>
          <w:sz w:val="19"/>
          <w:szCs w:val="19"/>
          <w:color w:val="auto"/>
        </w:rPr>
        <w:t>”, when used in reference to any Loan or Borrowing, refers to whether such Loan is, or the Loans constituting such Borrowing are, bearing interest at a rate determined by reference to the Adjusted Term Benchmark Rate.</w:t>
      </w:r>
    </w:p>
    <w:p>
      <w:pPr>
        <w:spacing w:after="0" w:line="127" w:lineRule="exact"/>
        <w:rPr>
          <w:sz w:val="20"/>
          <w:szCs w:val="20"/>
          <w:color w:val="auto"/>
        </w:rPr>
      </w:pPr>
    </w:p>
    <w:p>
      <w:pPr>
        <w:ind w:right="2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Benchmark Banking Day</w:t>
      </w:r>
      <w:r>
        <w:rPr>
          <w:rFonts w:ascii="Times New Roman" w:cs="Times New Roman" w:eastAsia="Times New Roman" w:hAnsi="Times New Roman"/>
          <w:sz w:val="19"/>
          <w:szCs w:val="19"/>
          <w:color w:val="auto"/>
        </w:rPr>
        <w:t>” means for any Term Benchmark Loan or Loans or Term Benchmark Borrowings, interest, fees, commissions or other amounts denominated in, or calculated with respect to:</w:t>
      </w:r>
    </w:p>
    <w:p>
      <w:pPr>
        <w:spacing w:after="0" w:line="127" w:lineRule="exact"/>
        <w:rPr>
          <w:sz w:val="20"/>
          <w:szCs w:val="20"/>
          <w:color w:val="auto"/>
        </w:rPr>
      </w:pPr>
    </w:p>
    <w:p>
      <w:pPr>
        <w:ind w:left="960" w:hanging="258"/>
        <w:spacing w:after="0"/>
        <w:tabs>
          <w:tab w:leader="none" w:pos="96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Dollars, a U.S. Government Securities Business Day;</w:t>
      </w:r>
    </w:p>
    <w:p>
      <w:pPr>
        <w:spacing w:after="0" w:line="201" w:lineRule="exact"/>
        <w:rPr>
          <w:rFonts w:ascii="Times New Roman" w:cs="Times New Roman" w:eastAsia="Times New Roman" w:hAnsi="Times New Roman"/>
          <w:sz w:val="19"/>
          <w:szCs w:val="19"/>
          <w:color w:val="auto"/>
        </w:rPr>
      </w:pPr>
    </w:p>
    <w:p>
      <w:pPr>
        <w:ind w:left="980" w:hanging="278"/>
        <w:spacing w:after="0"/>
        <w:tabs>
          <w:tab w:leader="none" w:pos="98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Euros, a TARGET Day;</w:t>
      </w:r>
    </w:p>
    <w:p>
      <w:pPr>
        <w:spacing w:after="0" w:line="201" w:lineRule="exact"/>
        <w:rPr>
          <w:rFonts w:ascii="Times New Roman" w:cs="Times New Roman" w:eastAsia="Times New Roman" w:hAnsi="Times New Roman"/>
          <w:sz w:val="19"/>
          <w:szCs w:val="19"/>
          <w:color w:val="auto"/>
        </w:rPr>
      </w:pPr>
    </w:p>
    <w:p>
      <w:pPr>
        <w:ind w:left="960" w:hanging="258"/>
        <w:spacing w:after="0"/>
        <w:tabs>
          <w:tab w:leader="none" w:pos="96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Canadian Dollars, a CORRA Business Day;</w:t>
      </w:r>
    </w:p>
    <w:p>
      <w:pPr>
        <w:spacing w:after="0" w:line="201" w:lineRule="exact"/>
        <w:rPr>
          <w:rFonts w:ascii="Times New Roman" w:cs="Times New Roman" w:eastAsia="Times New Roman" w:hAnsi="Times New Roman"/>
          <w:sz w:val="19"/>
          <w:szCs w:val="19"/>
          <w:color w:val="auto"/>
        </w:rPr>
      </w:pPr>
    </w:p>
    <w:p>
      <w:pPr>
        <w:ind w:right="760" w:firstLine="702"/>
        <w:spacing w:after="0" w:line="286" w:lineRule="auto"/>
        <w:tabs>
          <w:tab w:leader="none" w:pos="968"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Australian Dollars, any day (other than a Saturday or Sunday) on which banks are open for business in Melbourne, Australia; and</w:t>
      </w:r>
    </w:p>
    <w:p>
      <w:pPr>
        <w:spacing w:after="0" w:line="127" w:lineRule="exact"/>
        <w:rPr>
          <w:rFonts w:ascii="Times New Roman" w:cs="Times New Roman" w:eastAsia="Times New Roman" w:hAnsi="Times New Roman"/>
          <w:sz w:val="19"/>
          <w:szCs w:val="19"/>
          <w:color w:val="auto"/>
        </w:rPr>
      </w:pPr>
    </w:p>
    <w:p>
      <w:pPr>
        <w:ind w:left="1420" w:right="320" w:hanging="718"/>
        <w:spacing w:after="0" w:line="461" w:lineRule="auto"/>
        <w:tabs>
          <w:tab w:leader="none" w:pos="973"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Swedish Krona, any day (other than a Saturday or Sunday) on which banks are open for business in Stockholm, Sweden. “</w:t>
      </w:r>
      <w:r>
        <w:rPr>
          <w:rFonts w:ascii="Times New Roman" w:cs="Times New Roman" w:eastAsia="Times New Roman" w:hAnsi="Times New Roman"/>
          <w:sz w:val="19"/>
          <w:szCs w:val="19"/>
          <w:u w:val="single" w:color="auto"/>
          <w:color w:val="auto"/>
        </w:rPr>
        <w:t>Term Benchmark Rate</w:t>
      </w:r>
      <w:r>
        <w:rPr>
          <w:rFonts w:ascii="Times New Roman" w:cs="Times New Roman" w:eastAsia="Times New Roman" w:hAnsi="Times New Roman"/>
          <w:sz w:val="19"/>
          <w:szCs w:val="19"/>
          <w:color w:val="auto"/>
        </w:rPr>
        <w:t>” means, for any Interest Period:</w:t>
      </w:r>
    </w:p>
    <w:p>
      <w:pPr>
        <w:spacing w:after="0" w:line="1" w:lineRule="exact"/>
        <w:rPr>
          <w:sz w:val="20"/>
          <w:szCs w:val="20"/>
          <w:color w:val="auto"/>
        </w:rPr>
      </w:pPr>
    </w:p>
    <w:p>
      <w:pPr>
        <w:ind w:left="960" w:hanging="258"/>
        <w:spacing w:after="0"/>
        <w:tabs>
          <w:tab w:leader="none" w:pos="96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Dollars, Term SOFR for such Interest Period;</w:t>
      </w:r>
    </w:p>
    <w:p>
      <w:pPr>
        <w:spacing w:after="0" w:line="201" w:lineRule="exact"/>
        <w:rPr>
          <w:rFonts w:ascii="Times New Roman" w:cs="Times New Roman" w:eastAsia="Times New Roman" w:hAnsi="Times New Roman"/>
          <w:sz w:val="19"/>
          <w:szCs w:val="19"/>
          <w:color w:val="auto"/>
        </w:rPr>
      </w:pPr>
    </w:p>
    <w:p>
      <w:pPr>
        <w:ind w:right="40" w:firstLine="702"/>
        <w:spacing w:after="0" w:line="257" w:lineRule="auto"/>
        <w:tabs>
          <w:tab w:leader="none" w:pos="968"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Euros, the rate per annum equal to the Euro Interbank Offered Rate as administered by the European Money Markets Institute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in its reasonable discretion; in each case, the “</w:t>
      </w:r>
      <w:r>
        <w:rPr>
          <w:rFonts w:ascii="Times New Roman" w:cs="Times New Roman" w:eastAsia="Times New Roman" w:hAnsi="Times New Roman"/>
          <w:sz w:val="19"/>
          <w:szCs w:val="19"/>
          <w:u w:val="single" w:color="auto"/>
          <w:color w:val="auto"/>
        </w:rPr>
        <w:t>EURIBOR Screen Rate</w:t>
      </w:r>
      <w:r>
        <w:rPr>
          <w:rFonts w:ascii="Times New Roman" w:cs="Times New Roman" w:eastAsia="Times New Roman" w:hAnsi="Times New Roman"/>
          <w:sz w:val="19"/>
          <w:szCs w:val="19"/>
          <w:color w:val="auto"/>
        </w:rPr>
        <w:t>”) at approximately 11:00 a.m. (Brussels time) two Term Benchmark Banking Days for Euros prior to the first day of such Interest Period;</w:t>
      </w:r>
    </w:p>
    <w:p>
      <w:pPr>
        <w:spacing w:after="0" w:line="156" w:lineRule="exact"/>
        <w:rPr>
          <w:rFonts w:ascii="Times New Roman" w:cs="Times New Roman" w:eastAsia="Times New Roman" w:hAnsi="Times New Roman"/>
          <w:sz w:val="19"/>
          <w:szCs w:val="19"/>
          <w:color w:val="auto"/>
        </w:rPr>
      </w:pPr>
    </w:p>
    <w:p>
      <w:pPr>
        <w:ind w:right="60" w:firstLine="702"/>
        <w:spacing w:after="0" w:line="256" w:lineRule="auto"/>
        <w:tabs>
          <w:tab w:leader="none" w:pos="957"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Canadian Dollars, (x) for any Interest Period commencing prior to the CDO Rate Cessation Date, the rate per annum (the “</w:t>
      </w:r>
      <w:r>
        <w:rPr>
          <w:rFonts w:ascii="Times New Roman" w:cs="Times New Roman" w:eastAsia="Times New Roman" w:hAnsi="Times New Roman"/>
          <w:sz w:val="19"/>
          <w:szCs w:val="19"/>
          <w:u w:val="single" w:color="auto"/>
          <w:color w:val="auto"/>
        </w:rPr>
        <w:t>CDO Rate</w:t>
      </w:r>
      <w:r>
        <w:rPr>
          <w:rFonts w:ascii="Times New Roman" w:cs="Times New Roman" w:eastAsia="Times New Roman" w:hAnsi="Times New Roman"/>
          <w:sz w:val="19"/>
          <w:szCs w:val="19"/>
          <w:color w:val="auto"/>
        </w:rPr>
        <w:t>”) equal to the average of the annual yield rates applicable to Canadian Dollar bankers’ acceptances at or about 10:00 a.m. (Toronto, Ontario time) on the first day of such Interest Period (or if such day is not a Term Benchmark Banking Day, then on the immediately preceding Term Benchmark Banking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for a term equivalent to such Interest</w:t>
      </w:r>
    </w:p>
    <w:p>
      <w:pPr>
        <w:spacing w:after="0" w:line="1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2" w:name="page133"/>
    <w:bookmarkEnd w:id="132"/>
    <w:p>
      <w:pPr>
        <w:spacing w:after="0" w:line="26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9"/>
          <w:szCs w:val="19"/>
          <w:color w:val="auto"/>
        </w:rPr>
        <w:t>Period (or if such Interest Period is not equal to a number of months, for a term equivalent to the number of months closest to such Interest Period) and (y) for any Interest Period commencing on or after the CDO Rate Cessation Date, Term CORRA for such Interest Period;</w:t>
      </w:r>
    </w:p>
    <w:p>
      <w:pPr>
        <w:spacing w:after="0" w:line="144" w:lineRule="exact"/>
        <w:rPr>
          <w:sz w:val="20"/>
          <w:szCs w:val="20"/>
          <w:color w:val="auto"/>
        </w:rPr>
      </w:pPr>
    </w:p>
    <w:p>
      <w:pPr>
        <w:ind w:firstLine="702"/>
        <w:spacing w:after="0" w:line="256" w:lineRule="auto"/>
        <w:tabs>
          <w:tab w:leader="none" w:pos="968"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Australian Dollars, the rate per annum equal to the Bank Bill Swap Reference Bid rate or a successor thereto approved by the Administrative Agent (“</w:t>
      </w:r>
      <w:r>
        <w:rPr>
          <w:rFonts w:ascii="Times New Roman" w:cs="Times New Roman" w:eastAsia="Times New Roman" w:hAnsi="Times New Roman"/>
          <w:sz w:val="19"/>
          <w:szCs w:val="19"/>
          <w:u w:val="single" w:color="auto"/>
          <w:color w:val="auto"/>
        </w:rPr>
        <w:t>BBSY</w:t>
      </w:r>
      <w:r>
        <w:rPr>
          <w:rFonts w:ascii="Times New Roman" w:cs="Times New Roman" w:eastAsia="Times New Roman" w:hAnsi="Times New Roman"/>
          <w:sz w:val="19"/>
          <w:szCs w:val="19"/>
          <w:color w:val="auto"/>
        </w:rPr>
        <w:t>”) as published by Reuters (or such other page or commercially available source providing BBSY (Bid) quotations as may be designated by the Administrative Agent from time to time) at or about 10:30 a.m. (Melbourne, Australia time) on the day that is two Term Benchmark Banking Days for Australian Dollars prior to the first day of the Interest Period (or if such day is not an Term Benchmark Banking Day for Australian Dollars, then on the immediately preceding Term Benchmark Banking Day for Australian Dollars) with a term equivalent to such Interest Period (the “</w:t>
      </w:r>
      <w:r>
        <w:rPr>
          <w:rFonts w:ascii="Times New Roman" w:cs="Times New Roman" w:eastAsia="Times New Roman" w:hAnsi="Times New Roman"/>
          <w:sz w:val="19"/>
          <w:szCs w:val="19"/>
          <w:u w:val="single" w:color="auto"/>
          <w:color w:val="auto"/>
        </w:rPr>
        <w:t>BBSY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Screen Rate</w:t>
      </w:r>
      <w:r>
        <w:rPr>
          <w:rFonts w:ascii="Times New Roman" w:cs="Times New Roman" w:eastAsia="Times New Roman" w:hAnsi="Times New Roman"/>
          <w:sz w:val="19"/>
          <w:szCs w:val="19"/>
          <w:color w:val="auto"/>
        </w:rPr>
        <w:t>”); and</w:t>
      </w:r>
    </w:p>
    <w:p>
      <w:pPr>
        <w:spacing w:after="0" w:line="157" w:lineRule="exact"/>
        <w:rPr>
          <w:rFonts w:ascii="Times New Roman" w:cs="Times New Roman" w:eastAsia="Times New Roman" w:hAnsi="Times New Roman"/>
          <w:sz w:val="19"/>
          <w:szCs w:val="19"/>
          <w:color w:val="auto"/>
        </w:rPr>
      </w:pPr>
    </w:p>
    <w:p>
      <w:pPr>
        <w:ind w:right="40" w:firstLine="702"/>
        <w:spacing w:after="0" w:line="256" w:lineRule="auto"/>
        <w:tabs>
          <w:tab w:leader="none" w:pos="957"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Swedish Krona, the rate per annum equal to the Stockholm Interbank Offered Rate or a successor thereto approved by the Administrative Agent (“</w:t>
      </w:r>
      <w:r>
        <w:rPr>
          <w:rFonts w:ascii="Times New Roman" w:cs="Times New Roman" w:eastAsia="Times New Roman" w:hAnsi="Times New Roman"/>
          <w:sz w:val="19"/>
          <w:szCs w:val="19"/>
          <w:u w:val="single" w:color="auto"/>
          <w:color w:val="auto"/>
        </w:rPr>
        <w:t>STIBOR</w:t>
      </w:r>
      <w:r>
        <w:rPr>
          <w:rFonts w:ascii="Times New Roman" w:cs="Times New Roman" w:eastAsia="Times New Roman" w:hAnsi="Times New Roman"/>
          <w:sz w:val="19"/>
          <w:szCs w:val="19"/>
          <w:color w:val="auto"/>
        </w:rPr>
        <w:t>”) as published by Reuters (or such other page or commercially available source providing STIBOR quotations as may be designated by the Administrative Agent from time to time) at or about 11:00 a.m. (Stockholm, Sweden time) on the day that is two Term Benchmark Banking Days for Swedish Krona prior to the first day of the Interest Period (or if such day is not an Term Benchmark Banking Day for Swedish Krona, then on the immediately preceding Term Benchmark Banking Day for Swedish Krona) with a term equivalent to such Interest Period (the “</w:t>
      </w:r>
      <w:r>
        <w:rPr>
          <w:rFonts w:ascii="Times New Roman" w:cs="Times New Roman" w:eastAsia="Times New Roman" w:hAnsi="Times New Roman"/>
          <w:sz w:val="19"/>
          <w:szCs w:val="19"/>
          <w:u w:val="single" w:color="auto"/>
          <w:color w:val="auto"/>
        </w:rPr>
        <w:t>STIBOR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Screen Rate</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right="160" w:firstLine="696"/>
        <w:spacing w:after="0" w:line="286"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each case, if such rate for any Currency is less than zero, such rate shall be deemed to be zero for purposes of this Agreement.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CORRA</w:t>
      </w:r>
      <w:r>
        <w:rPr>
          <w:rFonts w:ascii="Times New Roman" w:cs="Times New Roman" w:eastAsia="Times New Roman" w:hAnsi="Times New Roman"/>
          <w:sz w:val="19"/>
          <w:szCs w:val="19"/>
          <w:color w:val="auto"/>
        </w:rPr>
        <w:t>” means,</w:t>
      </w:r>
    </w:p>
    <w:p>
      <w:pPr>
        <w:spacing w:after="0" w:line="202" w:lineRule="exact"/>
        <w:rPr>
          <w:sz w:val="20"/>
          <w:szCs w:val="20"/>
          <w:color w:val="auto"/>
        </w:rPr>
      </w:pPr>
    </w:p>
    <w:p>
      <w:pPr>
        <w:ind w:firstLine="1410"/>
        <w:spacing w:after="0" w:line="253" w:lineRule="auto"/>
        <w:tabs>
          <w:tab w:leader="none" w:pos="1665"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any Term Benchmark Loan denominated in Canadian Dollars for any Interest Period, the sum of (i) the applicable Term CORRA Credit Adjustment Spread for such Interest Period and (ii) the Term CORRA Reference Rate for a tenor comparable to the applicable Interest Period on the day (such day, the “Periodic Term CORRA Determination Day”) that is two (2) Term Benchmark Banking Days prior to the first day of such Interest Period, as such rate is published by the Term CORRA Administrator and is displayed on a screen or other information service, as identified or selected by the Administrative Agent (the “Term CORRA Screen Rate”);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clause (a)(ii) of this definition will be the Term CORRA Reference Rate for such tenor as published by the Term CORRA Administrator on the first preceding Term Benchmark Banking Day for which such Term CORRA Reference Rate for such tenor was published by the Term CORRA Administrator so long as such first preceding Term Benchmark Banking Day is not more than three (3) Business Days prior to such Periodic Term CORRA Determination Day; and</w:t>
      </w:r>
    </w:p>
    <w:p>
      <w:pPr>
        <w:spacing w:after="0" w:line="1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3" w:name="page134"/>
    <w:bookmarkEnd w:id="133"/>
    <w:p>
      <w:pPr>
        <w:spacing w:after="0" w:line="269" w:lineRule="exact"/>
        <w:rPr>
          <w:sz w:val="20"/>
          <w:szCs w:val="20"/>
          <w:color w:val="auto"/>
        </w:rPr>
      </w:pPr>
    </w:p>
    <w:p>
      <w:pPr>
        <w:ind w:firstLine="1410"/>
        <w:spacing w:after="0" w:line="254" w:lineRule="auto"/>
        <w:tabs>
          <w:tab w:leader="none" w:pos="1676"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the Canadian Prime Rate for any day, the sum of (i) the Term CORRA Credit Adjustment Spread for Term Benchmark Loans for an Interest Period of one month and (ii) the Term CORRA Reference Rate for a tenor of one month on the day (such day, the “Canadian Prime Rate Term CORRA Determination Day”) that is two (2) Term Benchmark Banking Days prior to such day, as such rate is published by the Term CORRA Administrator and is displayed on a screen or other information service, as identified or selected by the Administrative Agent; provided, however, that if as of 1:00 p.m. (Toronto time) on any Canadian Prime Rate Term CORRA Determination Day the Term CORRA Reference Rate for the applicable tenor has not been published by the Term CORRA Administrator and a Benchmark Replacement Date with respect to the Term CORRA Reference Rate has not occurred, then clause (b)(ii) of this definition will be the Term CORRA Reference Rate for such tenor as published by the Term CORRA Administrator on the first preceding Term Benchmark Banking Day for which such Term CORRA Reference Rate for such tenor was published by the Term CORRA Administrator so long as such first preceding Term Benchmark Banking Day is not more than three (3) Business Days prior to such Canadian Prime Rate Term CORRA Determination Day;</w:t>
      </w:r>
    </w:p>
    <w:p>
      <w:pPr>
        <w:spacing w:after="0" w:line="157" w:lineRule="exact"/>
        <w:rPr>
          <w:sz w:val="20"/>
          <w:szCs w:val="20"/>
          <w:color w:val="auto"/>
        </w:rPr>
      </w:pPr>
    </w:p>
    <w:p>
      <w:pPr>
        <w:ind w:right="260" w:firstLine="1404"/>
        <w:spacing w:after="0" w:line="286" w:lineRule="auto"/>
        <w:rPr>
          <w:sz w:val="20"/>
          <w:szCs w:val="20"/>
          <w:color w:val="auto"/>
        </w:rPr>
      </w:pPr>
      <w:r>
        <w:rPr>
          <w:rFonts w:ascii="Times New Roman" w:cs="Times New Roman" w:eastAsia="Times New Roman" w:hAnsi="Times New Roman"/>
          <w:sz w:val="19"/>
          <w:szCs w:val="19"/>
          <w:color w:val="auto"/>
        </w:rPr>
        <w:t>provided, that if Term CORRA determined as provided above (including pursuant to the proviso under clause (a) or (b) above) shall ever be less than zero, then Term CORRA shall be deemed to be zero.</w:t>
      </w:r>
    </w:p>
    <w:p>
      <w:pPr>
        <w:spacing w:after="0" w:line="127"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CORRA Administrator</w:t>
      </w:r>
      <w:r>
        <w:rPr>
          <w:rFonts w:ascii="Times New Roman" w:cs="Times New Roman" w:eastAsia="Times New Roman" w:hAnsi="Times New Roman"/>
          <w:sz w:val="19"/>
          <w:szCs w:val="19"/>
          <w:color w:val="auto"/>
        </w:rPr>
        <w:t>” means Candeal Benchmark Administration Services Inc., TSX Inc., or any successor administrator of the Term CORRA Reference Rate selected by the Administrative Agent in its reasonable discretion.</w:t>
      </w:r>
    </w:p>
    <w:p>
      <w:pPr>
        <w:spacing w:after="0" w:line="127"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CORRA Credit Adjustment Spread</w:t>
      </w:r>
      <w:r>
        <w:rPr>
          <w:rFonts w:ascii="Times New Roman" w:cs="Times New Roman" w:eastAsia="Times New Roman" w:hAnsi="Times New Roman"/>
          <w:sz w:val="19"/>
          <w:szCs w:val="19"/>
          <w:color w:val="auto"/>
        </w:rPr>
        <w:t>” means, with respect to Term Benchmark Loans denominated in Canadian Dollars, (a) with an Interest Period of one month, 0.29547% and (b) with an Interest Period of three months, 0.32138%.</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CORRA Reference Rate</w:t>
      </w:r>
      <w:r>
        <w:rPr>
          <w:rFonts w:ascii="Times New Roman" w:cs="Times New Roman" w:eastAsia="Times New Roman" w:hAnsi="Times New Roman"/>
          <w:sz w:val="19"/>
          <w:szCs w:val="19"/>
          <w:color w:val="auto"/>
        </w:rPr>
        <w:t>” means the forward-looking term rate based on CORRA.</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CORRA Screen Rate</w:t>
      </w:r>
      <w:r>
        <w:rPr>
          <w:rFonts w:ascii="Times New Roman" w:cs="Times New Roman" w:eastAsia="Times New Roman" w:hAnsi="Times New Roman"/>
          <w:sz w:val="19"/>
          <w:szCs w:val="19"/>
          <w:color w:val="auto"/>
        </w:rPr>
        <w:t>” has the meaning specified in the definition of the term “Term CORRA”.</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w:t>
      </w:r>
      <w:r>
        <w:rPr>
          <w:rFonts w:ascii="Times New Roman" w:cs="Times New Roman" w:eastAsia="Times New Roman" w:hAnsi="Times New Roman"/>
          <w:sz w:val="19"/>
          <w:szCs w:val="19"/>
          <w:color w:val="auto"/>
        </w:rPr>
        <w:t>” means,</w:t>
      </w:r>
    </w:p>
    <w:p>
      <w:pPr>
        <w:spacing w:after="0" w:line="202" w:lineRule="exact"/>
        <w:rPr>
          <w:sz w:val="20"/>
          <w:szCs w:val="20"/>
          <w:color w:val="auto"/>
        </w:rPr>
      </w:pPr>
    </w:p>
    <w:p>
      <w:pPr>
        <w:ind w:right="20" w:firstLine="1410"/>
        <w:spacing w:after="0" w:line="255" w:lineRule="auto"/>
        <w:tabs>
          <w:tab w:leader="none" w:pos="1665"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Term Benchmark Loan for any Interest Period, the sum of (i) the applicable Term SOFR Credit Adjustment Spread for Term Benchmark Loans for such Interest Period and (ii) the Term SOFR Reference Rate for a tenor comparable to the applicable Interest Period on the day (such day, the “</w:t>
      </w:r>
      <w:r>
        <w:rPr>
          <w:rFonts w:ascii="Times New Roman" w:cs="Times New Roman" w:eastAsia="Times New Roman" w:hAnsi="Times New Roman"/>
          <w:sz w:val="19"/>
          <w:szCs w:val="19"/>
          <w:u w:val="single" w:color="auto"/>
          <w:color w:val="auto"/>
        </w:rPr>
        <w:t>Periodic Term SOFR Determination Day</w:t>
      </w:r>
      <w:r>
        <w:rPr>
          <w:rFonts w:ascii="Times New Roman" w:cs="Times New Roman" w:eastAsia="Times New Roman" w:hAnsi="Times New Roman"/>
          <w:sz w:val="19"/>
          <w:szCs w:val="19"/>
          <w:color w:val="auto"/>
        </w:rPr>
        <w:t>”) that is two (2) U.S. Government Securities Business Days prior to the first day of such Interest Period, as such rate is published by the Term SOFR Administrator (the “</w:t>
      </w:r>
      <w:r>
        <w:rPr>
          <w:rFonts w:ascii="Times New Roman" w:cs="Times New Roman" w:eastAsia="Times New Roman" w:hAnsi="Times New Roman"/>
          <w:sz w:val="19"/>
          <w:szCs w:val="19"/>
          <w:u w:val="single" w:color="auto"/>
          <w:color w:val="auto"/>
        </w:rPr>
        <w:t>Term SOFR Screen Rate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w:t>
      </w:r>
    </w:p>
    <w:p>
      <w:pPr>
        <w:spacing w:after="0" w:line="15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4" w:name="page135"/>
    <w:bookmarkEnd w:id="134"/>
    <w:p>
      <w:pPr>
        <w:spacing w:after="0" w:line="269"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9"/>
          <w:szCs w:val="19"/>
          <w:color w:val="auto"/>
        </w:rPr>
        <w:t>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44" w:lineRule="exact"/>
        <w:rPr>
          <w:sz w:val="20"/>
          <w:szCs w:val="20"/>
          <w:color w:val="auto"/>
        </w:rPr>
      </w:pPr>
    </w:p>
    <w:p>
      <w:pPr>
        <w:ind w:right="20" w:firstLine="1410"/>
        <w:spacing w:after="0" w:line="254" w:lineRule="auto"/>
        <w:tabs>
          <w:tab w:leader="none" w:pos="1676"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an ABR Loan on any day, the sum of (i) the applicable Term SOFR Credit Adjustment Spread for Term Benchmark Loans for an Interest Period of one month and (ii) the Term SOFR Reference Rate for a tenor of one month on the day (such day, the “</w:t>
      </w:r>
      <w:r>
        <w:rPr>
          <w:rFonts w:ascii="Times New Roman" w:cs="Times New Roman" w:eastAsia="Times New Roman" w:hAnsi="Times New Roman"/>
          <w:sz w:val="19"/>
          <w:szCs w:val="19"/>
          <w:u w:val="single" w:color="auto"/>
          <w:color w:val="auto"/>
        </w:rPr>
        <w:t>Base Rate Term SOFR Determination Day</w:t>
      </w:r>
      <w:r>
        <w:rPr>
          <w:rFonts w:ascii="Times New Roman" w:cs="Times New Roman" w:eastAsia="Times New Roman" w:hAnsi="Times New Roman"/>
          <w:sz w:val="19"/>
          <w:szCs w:val="19"/>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as of 5:00 p.m.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60" w:lineRule="exact"/>
        <w:rPr>
          <w:sz w:val="20"/>
          <w:szCs w:val="20"/>
          <w:color w:val="auto"/>
        </w:rPr>
      </w:pPr>
    </w:p>
    <w:p>
      <w:pPr>
        <w:ind w:right="5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Administrator</w:t>
      </w:r>
      <w:r>
        <w:rPr>
          <w:rFonts w:ascii="Times New Roman" w:cs="Times New Roman" w:eastAsia="Times New Roman" w:hAnsi="Times New Roman"/>
          <w:sz w:val="19"/>
          <w:szCs w:val="19"/>
          <w:color w:val="auto"/>
        </w:rPr>
        <w:t>” means the CME Group Benchmark Administration Limited (CBA) (or a successor administrator of the Term SOFR Reference Rate selected by the Administrative Agent in its reasonable discretion).</w:t>
      </w:r>
    </w:p>
    <w:p>
      <w:pPr>
        <w:spacing w:after="0" w:line="127" w:lineRule="exact"/>
        <w:rPr>
          <w:sz w:val="20"/>
          <w:szCs w:val="20"/>
          <w:color w:val="auto"/>
        </w:rPr>
      </w:pPr>
    </w:p>
    <w:p>
      <w:pPr>
        <w:jc w:val="both"/>
        <w:ind w:right="18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Credit Adjustment Spread</w:t>
      </w:r>
      <w:r>
        <w:rPr>
          <w:rFonts w:ascii="Times New Roman" w:cs="Times New Roman" w:eastAsia="Times New Roman" w:hAnsi="Times New Roman"/>
          <w:sz w:val="19"/>
          <w:szCs w:val="19"/>
          <w:color w:val="auto"/>
        </w:rPr>
        <w:t>” means, with respect to Term Benchmark Loans denominated in Dollars, (i) with an Interest Period of one month, 0.10%, (ii) with an Interest Period of three months, 0.15% and (iii) with an Interest Period of six months, 0.25%.</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Reference Rate</w:t>
      </w:r>
      <w:r>
        <w:rPr>
          <w:rFonts w:ascii="Times New Roman" w:cs="Times New Roman" w:eastAsia="Times New Roman" w:hAnsi="Times New Roman"/>
          <w:sz w:val="19"/>
          <w:szCs w:val="19"/>
          <w:color w:val="auto"/>
        </w:rPr>
        <w:t>” means the forward-looking term rate based on SOFR.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Screen Rate</w:t>
      </w:r>
      <w:r>
        <w:rPr>
          <w:rFonts w:ascii="Times New Roman" w:cs="Times New Roman" w:eastAsia="Times New Roman" w:hAnsi="Times New Roman"/>
          <w:sz w:val="19"/>
          <w:szCs w:val="19"/>
          <w:color w:val="auto"/>
        </w:rPr>
        <w:t>” has the meaning assigned to such term in the definition of “Term SOFR”.</w:t>
      </w:r>
    </w:p>
    <w:p>
      <w:pPr>
        <w:spacing w:after="0" w:line="202" w:lineRule="exact"/>
        <w:rPr>
          <w:sz w:val="20"/>
          <w:szCs w:val="20"/>
          <w:color w:val="auto"/>
        </w:rPr>
      </w:pPr>
    </w:p>
    <w:p>
      <w:pPr>
        <w:ind w:right="6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Termination Date</w:t>
      </w:r>
      <w:r>
        <w:rPr>
          <w:rFonts w:ascii="Times New Roman" w:cs="Times New Roman" w:eastAsia="Times New Roman" w:hAnsi="Times New Roman"/>
          <w:sz w:val="19"/>
          <w:szCs w:val="19"/>
          <w:color w:val="auto"/>
        </w:rPr>
        <w:t xml:space="preserve">” means the earliest to occur of (i) the Extended Final Maturity Date, (ii) the date of the termination of the Commitments in full pursuant to Section 2.08(c), or (iii) the date on which the Commitments are terminated pursuant to </w:t>
      </w:r>
      <w:r>
        <w:rPr>
          <w:rFonts w:ascii="Times New Roman" w:cs="Times New Roman" w:eastAsia="Times New Roman" w:hAnsi="Times New Roman"/>
          <w:sz w:val="19"/>
          <w:szCs w:val="19"/>
          <w:u w:val="single" w:color="auto"/>
          <w:color w:val="auto"/>
        </w:rPr>
        <w:t>Article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VII</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Testing Quarter</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5.12(b)(ii)(E)(x)</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Assets</w:t>
      </w:r>
      <w:r>
        <w:rPr>
          <w:rFonts w:ascii="Times New Roman" w:cs="Times New Roman" w:eastAsia="Times New Roman" w:hAnsi="Times New Roman"/>
          <w:sz w:val="19"/>
          <w:szCs w:val="19"/>
          <w:color w:val="auto"/>
        </w:rPr>
        <w:t>” means, as of any date of determination, the value of the total assets of the Obligors on a consolidated basis, less all liabilities and indebtedness not represented by senior securities, in each case, as of such date of determination.</w:t>
      </w:r>
    </w:p>
    <w:p>
      <w:pPr>
        <w:spacing w:after="0" w:line="127" w:lineRule="exact"/>
        <w:rPr>
          <w:sz w:val="20"/>
          <w:szCs w:val="20"/>
          <w:color w:val="auto"/>
        </w:rPr>
      </w:pPr>
    </w:p>
    <w:p>
      <w:pPr>
        <w:ind w:right="2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Assets Concentration Limitation</w:t>
      </w:r>
      <w:r>
        <w:rPr>
          <w:rFonts w:ascii="Times New Roman" w:cs="Times New Roman" w:eastAsia="Times New Roman" w:hAnsi="Times New Roman"/>
          <w:sz w:val="19"/>
          <w:szCs w:val="19"/>
          <w:color w:val="auto"/>
        </w:rPr>
        <w:t>” means, as of any date of determination, the amount by which the aggregate value of Equity Interests in Financing Subsidiaries held by</w:t>
      </w:r>
    </w:p>
    <w:p>
      <w:pPr>
        <w:spacing w:after="0" w:line="12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5" w:name="page136"/>
    <w:bookmarkEnd w:id="135"/>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Obligors as of such date of determination exceeds 12.5% of the Total Assets as of such date of determination.</w:t>
      </w:r>
    </w:p>
    <w:p>
      <w:pPr>
        <w:spacing w:after="0" w:line="202" w:lineRule="exact"/>
        <w:rPr>
          <w:sz w:val="20"/>
          <w:szCs w:val="20"/>
          <w:color w:val="auto"/>
        </w:rPr>
      </w:pPr>
    </w:p>
    <w:p>
      <w:pPr>
        <w:ind w:right="2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Secured Debt</w:t>
      </w:r>
      <w:r>
        <w:rPr>
          <w:rFonts w:ascii="Times New Roman" w:cs="Times New Roman" w:eastAsia="Times New Roman" w:hAnsi="Times New Roman"/>
          <w:sz w:val="19"/>
          <w:szCs w:val="19"/>
          <w:color w:val="auto"/>
        </w:rPr>
        <w:t>” means, as of any date of determination, the aggregate amount of senior securities representing secured indebtedness of the Obligors as of such date of determination.</w:t>
      </w:r>
    </w:p>
    <w:p>
      <w:pPr>
        <w:spacing w:after="0" w:line="127"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 means the execution, delivery and performance by the Borrower of this Agreement and the other Loan Documents, the borrowing of Loans, the use of the proceeds thereof and the issuance of Letters of Credit hereunder.</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Transferred Assets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6.03(h)</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Truist</w:t>
      </w:r>
      <w:r>
        <w:rPr>
          <w:rFonts w:ascii="Times New Roman" w:cs="Times New Roman" w:eastAsia="Times New Roman" w:hAnsi="Times New Roman"/>
          <w:sz w:val="19"/>
          <w:szCs w:val="19"/>
          <w:color w:val="auto"/>
        </w:rPr>
        <w:t>” means Truist Bank (as successor by merger to SunTrust Bank).</w:t>
      </w:r>
    </w:p>
    <w:p>
      <w:pPr>
        <w:spacing w:after="0" w:line="202"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Type</w:t>
      </w:r>
      <w:r>
        <w:rPr>
          <w:rFonts w:ascii="Times New Roman" w:cs="Times New Roman" w:eastAsia="Times New Roman" w:hAnsi="Times New Roman"/>
          <w:sz w:val="19"/>
          <w:szCs w:val="19"/>
          <w:color w:val="auto"/>
        </w:rPr>
        <w:t>”, when used in reference to any Loan or Borrowing, refers to whether the rate of interest on such Loan, or on the Loans constituting such Borrowing, is determined by reference to the Adjusted Term Benchmark Rate, Daily Simple RFR or the Alternate Base Rate.</w:t>
      </w:r>
    </w:p>
    <w:p>
      <w:pPr>
        <w:spacing w:after="0" w:line="144" w:lineRule="exact"/>
        <w:rPr>
          <w:sz w:val="20"/>
          <w:szCs w:val="20"/>
          <w:color w:val="auto"/>
        </w:rPr>
      </w:pPr>
    </w:p>
    <w:p>
      <w:pPr>
        <w:ind w:right="12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Financial Institution</w:t>
      </w:r>
      <w:r>
        <w:rPr>
          <w:rFonts w:ascii="Times New Roman" w:cs="Times New Roman" w:eastAsia="Times New Roman" w:hAnsi="Times New Roman"/>
          <w:sz w:val="19"/>
          <w:szCs w:val="19"/>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0" w:lineRule="exact"/>
        <w:rPr>
          <w:sz w:val="20"/>
          <w:szCs w:val="20"/>
          <w:color w:val="auto"/>
        </w:rPr>
      </w:pPr>
    </w:p>
    <w:p>
      <w:pPr>
        <w:ind w:right="9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Resolution Authority</w:t>
      </w:r>
      <w:r>
        <w:rPr>
          <w:rFonts w:ascii="Times New Roman" w:cs="Times New Roman" w:eastAsia="Times New Roman" w:hAnsi="Times New Roman"/>
          <w:sz w:val="19"/>
          <w:szCs w:val="19"/>
          <w:color w:val="auto"/>
        </w:rPr>
        <w:t>” means the Bank of England or any other public administrative authority having responsibility for the resolution of any UK Financial Institution.</w:t>
      </w:r>
    </w:p>
    <w:p>
      <w:pPr>
        <w:spacing w:after="0" w:line="127" w:lineRule="exact"/>
        <w:rPr>
          <w:sz w:val="20"/>
          <w:szCs w:val="20"/>
          <w:color w:val="auto"/>
        </w:rPr>
      </w:pPr>
    </w:p>
    <w:p>
      <w:pPr>
        <w:ind w:right="86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Unadjusted Benchmark Replacement</w:t>
      </w:r>
      <w:r>
        <w:rPr>
          <w:rFonts w:ascii="Times New Roman" w:cs="Times New Roman" w:eastAsia="Times New Roman" w:hAnsi="Times New Roman"/>
          <w:sz w:val="19"/>
          <w:szCs w:val="19"/>
          <w:color w:val="auto"/>
        </w:rPr>
        <w:t>” means the applicable Benchmark Replacement excluding the related Benchmark Replacement Adjustment.</w:t>
      </w:r>
    </w:p>
    <w:p>
      <w:pPr>
        <w:spacing w:after="0" w:line="127" w:lineRule="exact"/>
        <w:rPr>
          <w:sz w:val="20"/>
          <w:szCs w:val="20"/>
          <w:color w:val="auto"/>
        </w:rPr>
      </w:pPr>
    </w:p>
    <w:p>
      <w:pPr>
        <w:ind w:right="16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Undisclosed Administration</w:t>
      </w:r>
      <w:r>
        <w:rPr>
          <w:rFonts w:ascii="Times New Roman" w:cs="Times New Roman" w:eastAsia="Times New Roman" w:hAnsi="Times New Roman"/>
          <w:sz w:val="19"/>
          <w:szCs w:val="19"/>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Uniform Commercial Code</w:t>
      </w:r>
      <w:r>
        <w:rPr>
          <w:rFonts w:ascii="Times New Roman" w:cs="Times New Roman" w:eastAsia="Times New Roman" w:hAnsi="Times New Roman"/>
          <w:sz w:val="19"/>
          <w:szCs w:val="19"/>
          <w:color w:val="auto"/>
        </w:rPr>
        <w:t>” means the Uniform Commercial Code as in effect from time to time in the State of New</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York.</w:t>
      </w:r>
    </w:p>
    <w:p>
      <w:pPr>
        <w:spacing w:after="0" w:line="180" w:lineRule="exact"/>
        <w:rPr>
          <w:sz w:val="20"/>
          <w:szCs w:val="20"/>
          <w:color w:val="auto"/>
        </w:rPr>
      </w:pPr>
    </w:p>
    <w:p>
      <w:pPr>
        <w:ind w:right="2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Unquoted Investment</w:t>
      </w:r>
      <w:r>
        <w:rPr>
          <w:rFonts w:ascii="Times New Roman" w:cs="Times New Roman" w:eastAsia="Times New Roman" w:hAnsi="Times New Roman"/>
          <w:sz w:val="19"/>
          <w:szCs w:val="19"/>
          <w:color w:val="auto"/>
        </w:rPr>
        <w:t xml:space="preserve">” means a Portfolio Investment with a value that may be assigned by the Borrower pursuant to </w:t>
      </w:r>
      <w:r>
        <w:rPr>
          <w:rFonts w:ascii="Times New Roman" w:cs="Times New Roman" w:eastAsia="Times New Roman" w:hAnsi="Times New Roman"/>
          <w:sz w:val="19"/>
          <w:szCs w:val="19"/>
          <w:u w:val="single" w:color="auto"/>
          <w:color w:val="auto"/>
        </w:rPr>
        <w:t>Section 5.12(b)(ii)(B)</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right="18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Unsecured Longer-Term Indebtedness</w:t>
      </w:r>
      <w:r>
        <w:rPr>
          <w:rFonts w:ascii="Times New Roman" w:cs="Times New Roman" w:eastAsia="Times New Roman" w:hAnsi="Times New Roman"/>
          <w:sz w:val="19"/>
          <w:szCs w:val="19"/>
          <w:color w:val="auto"/>
        </w:rPr>
        <w:t>” means Indebtedness of any Obligor (which may be Guaranteed by any other Obligor) that (a) has no amortization prior to, and a final maturity date not earlier than, six months after the Extended Final Maturity Date (it being understood that (A) none of: (w) the conversion features under convertible notes; (x) the triggering</w:t>
      </w:r>
    </w:p>
    <w:p>
      <w:pPr>
        <w:spacing w:after="0" w:line="1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36" w:name="page137"/>
    <w:bookmarkEnd w:id="136"/>
    <w:p>
      <w:pPr>
        <w:spacing w:after="0" w:line="26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 xml:space="preserve">and/or settlement thereof; and (y) any cash payment made in respect thereof shall constitute “amortization” for the purposes of this definition); (B) any mandatory amortization that is contingent upon the happening of an event that is not certain to occur (including, without limitation, a change of control or bankruptcy) shall not in and of itself be deemed to disqualify such Indebtedness under this clause (a); and (C) any mandatory amortization under any Permitted Amortizing Unsecured Longer-Term Indebtedness shall not in and of itself be deemed to disqualify such Indebtedness under this clause (a); provided, with respect to clause (a)(B) and clause (a)(C), the Borrower acknowledges that any payment prior to the Extended Final Maturity Date in respect of any such obligation or right shall only be made to the extent permitted by this Agreement and immediately upon such contingent event occurring the amount of such mandatory amortization shall be included in the Covered Debt Amount), (b) is incurred pursuant to terms that are substantially comparable to market terms for substantially similar debt of other similarly situated borrowers as reasonably determined in good faith by the Borrower or, if such transaction is not one in which there are market terms for substantially similar debt of other similarly situated borrowers, on terms that are negotiated in good faith on an arm’s length basis (except, in each case, other than financial covenants and events of default (other than events of default customary in indentures or similar instruments that have no analogous provisions in this Agreement or credit agreements generally), which shall be no more restrictive upon the Borrower and its Subsidiaries, while any Loans or the Commitments are outstanding, than those set forth in the Loan Documents; provided that, upon the Borrower’s written request in connection with the incurrence of any Unsecured Longer-Term Indebtedness that otherwise would not meet the requirements set forth in this parenthetical of this clause (b), this Agreement will be deemed automatically amended (and, upon the request of the Administrative Agent or the Required Lenders, the Borrower shall promptly enter into a written amendment evidencing such amendment),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xml:space="preserve">, solely to the extent necessary such that the financial covenants and events of default, as applicable, in this Agreement shall be as restrictive as such provisions in the Unsecured Longer -Term Indebtedness) (it being understood that put rights or repurchase or redemption obligations (x) in the case of convertible securities, in connection with the suspension or delisting of the capital stock of the Borrower or the failure of the Borrower to satisfy a continued listing rule with respect to its capital stock or (y) arising out of circumstances that would constitute a “fundamental change” (as such term is customarily defined in convertible note offerings) or be Events of Default under this Agreement shall not be deemed to be more restrictive for purposes of this definition) and (c) is not secured by any assets of any Obligor. For the avoidance of doubt, the conversion of all or any portion of any Permitted Convertible Indebtedness constituting Unsecured Longer- Term Indebtedness into Permitted Equity Interests in accordance with </w:t>
      </w:r>
      <w:r>
        <w:rPr>
          <w:rFonts w:ascii="Times New Roman" w:cs="Times New Roman" w:eastAsia="Times New Roman" w:hAnsi="Times New Roman"/>
          <w:sz w:val="19"/>
          <w:szCs w:val="19"/>
          <w:u w:val="single" w:color="auto"/>
          <w:color w:val="auto"/>
        </w:rPr>
        <w:t>Section 6.12(a)</w:t>
      </w:r>
      <w:r>
        <w:rPr>
          <w:rFonts w:ascii="Times New Roman" w:cs="Times New Roman" w:eastAsia="Times New Roman" w:hAnsi="Times New Roman"/>
          <w:sz w:val="19"/>
          <w:szCs w:val="19"/>
          <w:color w:val="auto"/>
        </w:rPr>
        <w:t>, shall not cause such Indebtedness to be designated as Unsecured Shorter-Term Indebtedness hereunder.</w:t>
      </w:r>
    </w:p>
    <w:p>
      <w:pPr>
        <w:spacing w:after="0" w:line="181" w:lineRule="exact"/>
        <w:rPr>
          <w:sz w:val="20"/>
          <w:szCs w:val="20"/>
          <w:color w:val="auto"/>
        </w:rPr>
      </w:pPr>
    </w:p>
    <w:p>
      <w:pPr>
        <w:ind w:right="60" w:firstLine="1404"/>
        <w:spacing w:after="0" w:line="256" w:lineRule="auto"/>
        <w:rPr>
          <w:sz w:val="20"/>
          <w:szCs w:val="20"/>
          <w:color w:val="auto"/>
        </w:rPr>
      </w:pPr>
      <w:r>
        <w:rPr>
          <w:rFonts w:ascii="Times New Roman" w:cs="Times New Roman" w:eastAsia="Times New Roman" w:hAnsi="Times New Roman"/>
          <w:sz w:val="19"/>
          <w:szCs w:val="19"/>
          <w:color w:val="auto"/>
        </w:rPr>
        <w:t>Notwithstanding the foregoing, each of the 2026 May Notes and the 2026 November Notes shall be deemed Unsecured Longer-Term Indebtedness in all respects despite the fact that the maturity dates of the 2026 May Notes and the 2026 November Notes are prior to the Final Maturity Date so long as the 2026 May Notes and the 2026 November Notes continue to comply with all other requirements of the above definition; provided that (x) from and after the date that is 9 months prior to the scheduled maturity date of the 2026 May Notes, the 2026 May Notes shall be included in the Covered Debt Amount and (y) from and after the date that is 9 months prior to the scheduled maturity date of the 2026 November Notes, the 2026 November Notes shall be included in the Covered Debt Amount.</w:t>
      </w:r>
    </w:p>
    <w:p>
      <w:pPr>
        <w:spacing w:after="0" w:line="15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7" w:name="page138"/>
    <w:bookmarkEnd w:id="137"/>
    <w:p>
      <w:pPr>
        <w:spacing w:after="0" w:line="269" w:lineRule="exact"/>
        <w:rPr>
          <w:sz w:val="20"/>
          <w:szCs w:val="20"/>
          <w:color w:val="auto"/>
        </w:rPr>
      </w:pPr>
    </w:p>
    <w:p>
      <w:pPr>
        <w:ind w:right="2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Unsecured Shorter-Term Indebtedness</w:t>
      </w:r>
      <w:r>
        <w:rPr>
          <w:rFonts w:ascii="Times New Roman" w:cs="Times New Roman" w:eastAsia="Times New Roman" w:hAnsi="Times New Roman"/>
          <w:sz w:val="19"/>
          <w:szCs w:val="19"/>
          <w:color w:val="auto"/>
        </w:rPr>
        <w:t xml:space="preserve">” means, collectively, (a) any Indebtedness of the Borrower or any Subsidiary (other than a Financing Subsidiary) that is not secured by any assets of any Obligor and that does not constitute Unsecured Longer-Term Indebtedness and (b) any Indebtedness that is designated as “Unsecured Shorter-Term Indebtedness” pursuant to </w:t>
      </w:r>
      <w:r>
        <w:rPr>
          <w:rFonts w:ascii="Times New Roman" w:cs="Times New Roman" w:eastAsia="Times New Roman" w:hAnsi="Times New Roman"/>
          <w:sz w:val="19"/>
          <w:szCs w:val="19"/>
          <w:u w:val="single" w:color="auto"/>
          <w:color w:val="auto"/>
        </w:rPr>
        <w:t>Section 6.11(a)</w:t>
      </w:r>
      <w:r>
        <w:rPr>
          <w:rFonts w:ascii="Times New Roman" w:cs="Times New Roman" w:eastAsia="Times New Roman" w:hAnsi="Times New Roman"/>
          <w:sz w:val="19"/>
          <w:szCs w:val="19"/>
          <w:color w:val="auto"/>
        </w:rPr>
        <w:t xml:space="preserve"> . For clarity, Special Permitted Indebtedness and Permitted Amortizing Unsecured Longer-Term Indebtedness shall not be Unsecured Shorter-Term Indebtedness so long as the final maturity date thereof is after the Extended Final Maturity Date.</w:t>
      </w:r>
    </w:p>
    <w:p>
      <w:pPr>
        <w:spacing w:after="0" w:line="154" w:lineRule="exact"/>
        <w:rPr>
          <w:sz w:val="20"/>
          <w:szCs w:val="20"/>
          <w:color w:val="auto"/>
        </w:rPr>
      </w:pPr>
    </w:p>
    <w:p>
      <w:pPr>
        <w:ind w:right="20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Government Securities</w:t>
      </w:r>
      <w:r>
        <w:rPr>
          <w:rFonts w:ascii="Times New Roman" w:cs="Times New Roman" w:eastAsia="Times New Roman" w:hAnsi="Times New Roman"/>
          <w:sz w:val="19"/>
          <w:szCs w:val="19"/>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44" w:lineRule="exact"/>
        <w:rPr>
          <w:sz w:val="20"/>
          <w:szCs w:val="20"/>
          <w:color w:val="auto"/>
        </w:rPr>
      </w:pPr>
    </w:p>
    <w:p>
      <w:pPr>
        <w:jc w:val="both"/>
        <w:ind w:right="20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Government Securities Business Day</w:t>
      </w:r>
      <w:r>
        <w:rPr>
          <w:rFonts w:ascii="Times New Roman" w:cs="Times New Roman" w:eastAsia="Times New Roman" w:hAnsi="Times New Roman"/>
          <w:sz w:val="19"/>
          <w:szCs w:val="19"/>
          <w:color w:val="auto"/>
        </w:rPr>
        <w:t>”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Person</w:t>
      </w:r>
      <w:r>
        <w:rPr>
          <w:rFonts w:ascii="Times New Roman" w:cs="Times New Roman" w:eastAsia="Times New Roman" w:hAnsi="Times New Roman"/>
          <w:sz w:val="19"/>
          <w:szCs w:val="19"/>
          <w:color w:val="auto"/>
        </w:rPr>
        <w:t>” means any Person that is a “United States person” as defined in Section 7701(a)(30) of the Code.</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Value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Withdrawal Liability</w:t>
      </w:r>
      <w:r>
        <w:rPr>
          <w:rFonts w:ascii="Times New Roman" w:cs="Times New Roman" w:eastAsia="Times New Roman" w:hAnsi="Times New Roman"/>
          <w:sz w:val="19"/>
          <w:szCs w:val="19"/>
          <w:color w:val="auto"/>
        </w:rPr>
        <w:t xml:space="preserve"> ” means liability to a Multiemployer Plan as a result of a complete or partial withdrawal from such Multiemployer Plan, as such terms are defined in Part I of Subtitle E of Title IV of ERISA.</w:t>
      </w:r>
    </w:p>
    <w:p>
      <w:pPr>
        <w:spacing w:after="0" w:line="127" w:lineRule="exact"/>
        <w:rPr>
          <w:sz w:val="20"/>
          <w:szCs w:val="20"/>
          <w:color w:val="auto"/>
        </w:rPr>
      </w:pPr>
    </w:p>
    <w:p>
      <w:pPr>
        <w:ind w:right="40"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Write-Down and Conversion Powers</w:t>
      </w:r>
      <w:r>
        <w:rPr>
          <w:rFonts w:ascii="Times New Roman" w:cs="Times New Roman" w:eastAsia="Times New Roman" w:hAnsi="Times New Roman"/>
          <w:sz w:val="19"/>
          <w:szCs w:val="19"/>
          <w:color w:val="auto"/>
        </w:rPr>
        <w:t>” means, (a) with respect to any EEA Resolution Authority, the write -down and conversion powers of such EEA Resolution Authority from time to time under the Bail-In Legislation for the applicable EEA Member Country, which write- down and conversion powers are described in the EU Bail-In Legislation Schedule, and (b) with respect to the United Kingdom, any powers of the applicable Resolution Authority under the Bail -In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0" w:lineRule="exact"/>
        <w:rPr>
          <w:sz w:val="20"/>
          <w:szCs w:val="20"/>
          <w:color w:val="auto"/>
        </w:rPr>
      </w:pPr>
    </w:p>
    <w:p>
      <w:pPr>
        <w:ind w:right="20" w:firstLine="1404"/>
        <w:spacing w:after="0" w:line="259" w:lineRule="auto"/>
        <w:rPr>
          <w:sz w:val="20"/>
          <w:szCs w:val="20"/>
          <w:color w:val="auto"/>
        </w:rPr>
      </w:pPr>
      <w:r>
        <w:rPr>
          <w:rFonts w:ascii="Times New Roman" w:cs="Times New Roman" w:eastAsia="Times New Roman" w:hAnsi="Times New Roman"/>
          <w:sz w:val="19"/>
          <w:szCs w:val="19"/>
          <w:color w:val="auto"/>
        </w:rPr>
        <w:t xml:space="preserve">SECTION 1.02. </w:t>
      </w:r>
      <w:r>
        <w:rPr>
          <w:rFonts w:ascii="Times New Roman" w:cs="Times New Roman" w:eastAsia="Times New Roman" w:hAnsi="Times New Roman"/>
          <w:sz w:val="19"/>
          <w:szCs w:val="19"/>
          <w:u w:val="single" w:color="auto"/>
          <w:color w:val="auto"/>
        </w:rPr>
        <w:t>Classification of Loans and Borrowings</w:t>
      </w:r>
      <w:r>
        <w:rPr>
          <w:rFonts w:ascii="Times New Roman" w:cs="Times New Roman" w:eastAsia="Times New Roman" w:hAnsi="Times New Roman"/>
          <w:sz w:val="19"/>
          <w:szCs w:val="19"/>
          <w:color w:val="auto"/>
        </w:rPr>
        <w:t>. For purposes of this Agreement, Loans may be classified and referred to by Class (e.g., a “Syndicated Dollar Loan” or “Syndicated Multicurrency Loan”), by Type (e.g., an “ABR Loan”) or by Class and Type (e.g., a “Syndicated Multicurrency Term Benchmark Loan”). Borrowings also may be classified and referred to by Class (e.g., a “Dollar Borrowing”, “Multicurrency Borrowing” or “Syndicated Borrowing”), by Type (e.g., an “ABR Borrowing”) or by Class and Type (e.g., a “Syndicated ABR</w:t>
      </w:r>
    </w:p>
    <w:p>
      <w:pPr>
        <w:spacing w:after="0" w:line="15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8" w:name="page139"/>
    <w:bookmarkEnd w:id="138"/>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Borrowing” or “Syndicated Multicurrency Term Benchmark Borrowing”). Loans and Borrowings may also be identified by Currency.</w:t>
      </w:r>
    </w:p>
    <w:p>
      <w:pPr>
        <w:spacing w:after="0" w:line="202" w:lineRule="exact"/>
        <w:rPr>
          <w:sz w:val="20"/>
          <w:szCs w:val="20"/>
          <w:color w:val="auto"/>
        </w:rPr>
      </w:pPr>
    </w:p>
    <w:p>
      <w:pPr>
        <w:ind w:right="20" w:firstLine="1404"/>
        <w:spacing w:after="0" w:line="253" w:lineRule="auto"/>
        <w:rPr>
          <w:sz w:val="20"/>
          <w:szCs w:val="20"/>
          <w:color w:val="auto"/>
        </w:rPr>
      </w:pPr>
      <w:r>
        <w:rPr>
          <w:rFonts w:ascii="Times New Roman" w:cs="Times New Roman" w:eastAsia="Times New Roman" w:hAnsi="Times New Roman"/>
          <w:sz w:val="19"/>
          <w:szCs w:val="19"/>
          <w:color w:val="auto"/>
        </w:rPr>
        <w:t xml:space="preserve">SECTION 1.03. </w:t>
      </w:r>
      <w:r>
        <w:rPr>
          <w:rFonts w:ascii="Times New Roman" w:cs="Times New Roman" w:eastAsia="Times New Roman" w:hAnsi="Times New Roman"/>
          <w:sz w:val="19"/>
          <w:szCs w:val="19"/>
          <w:u w:val="single" w:color="auto"/>
          <w:color w:val="auto"/>
        </w:rPr>
        <w:t>Terms Generally</w:t>
      </w:r>
      <w:r>
        <w:rPr>
          <w:rFonts w:ascii="Times New Roman" w:cs="Times New Roman" w:eastAsia="Times New Roman" w:hAnsi="Times New Roman"/>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65"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auto"/>
        </w:rPr>
        <w:t xml:space="preserve">SECTION 1.04. </w:t>
      </w:r>
      <w:r>
        <w:rPr>
          <w:rFonts w:ascii="Times New Roman" w:cs="Times New Roman" w:eastAsia="Times New Roman" w:hAnsi="Times New Roman"/>
          <w:sz w:val="19"/>
          <w:szCs w:val="19"/>
          <w:u w:val="single" w:color="auto"/>
          <w:color w:val="auto"/>
        </w:rPr>
        <w:t>Accounting Terms; GAAP</w:t>
      </w:r>
      <w:r>
        <w:rPr>
          <w:rFonts w:ascii="Times New Roman" w:cs="Times New Roman" w:eastAsia="Times New Roman" w:hAnsi="Times New Roman"/>
          <w:sz w:val="19"/>
          <w:szCs w:val="19"/>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would be treated as operating leases for purposes of GAAP on the date hereof shall continue to be accounted for as operating leases for purposes of all financial definitions and calculations hereunder regardless of any change to GAAP following the date hereof that would otherwise require such leases to be treated as Capital Lease Obligations. The Borrower covenants and agrees with the Lenders that whether or not the Borrower may at any time adopt Financial Accounting Standards Board (“</w:t>
      </w:r>
      <w:r>
        <w:rPr>
          <w:rFonts w:ascii="Times New Roman" w:cs="Times New Roman" w:eastAsia="Times New Roman" w:hAnsi="Times New Roman"/>
          <w:sz w:val="19"/>
          <w:szCs w:val="19"/>
          <w:u w:val="single" w:color="auto"/>
          <w:color w:val="auto"/>
        </w:rPr>
        <w:t>FASB</w:t>
      </w:r>
      <w:r>
        <w:rPr>
          <w:rFonts w:ascii="Times New Roman" w:cs="Times New Roman" w:eastAsia="Times New Roman" w:hAnsi="Times New Roman"/>
          <w:sz w:val="19"/>
          <w:szCs w:val="19"/>
          <w:color w:val="auto"/>
        </w:rPr>
        <w:t>”) Statement of Financial Accounting Standard No. 159 (or successor standard solely as it relates to fair valuing liabilities) or accounts for liabilities acquired in an acquisition on a fair value basis pursuant to FASB Statement of Financial Accounting Standard No. 141(R) (or successor standard solely as it relates to fair valuing liabilities), all determinations of compliance with the terms and conditions of this Agreement shall be made on the basis that the Borrower has not adopted FASB Statement of Financial Accounting Standard No. 159 (or such successor standard solely as it relates to fair valuing liabilities) or, in the case of liabilities acquired in an acquisition, FASB Statement of Financial Accounting Standard No. 141(R) (or such successor standard solely as it relates to fair valuing liabilities).</w:t>
      </w:r>
    </w:p>
    <w:p>
      <w:pPr>
        <w:spacing w:after="0" w:line="16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9" w:name="page140"/>
    <w:bookmarkEnd w:id="139"/>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1.05. </w:t>
      </w:r>
      <w:r>
        <w:rPr>
          <w:rFonts w:ascii="Times New Roman" w:cs="Times New Roman" w:eastAsia="Times New Roman" w:hAnsi="Times New Roman"/>
          <w:sz w:val="19"/>
          <w:szCs w:val="19"/>
          <w:u w:val="single" w:color="auto"/>
          <w:color w:val="auto"/>
        </w:rPr>
        <w:t>Currencies; Currency Equivalents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1410"/>
        <w:spacing w:after="0" w:line="252" w:lineRule="auto"/>
        <w:tabs>
          <w:tab w:leader="none" w:pos="1668"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Currencies Generally</w:t>
      </w:r>
      <w:r>
        <w:rPr>
          <w:rFonts w:ascii="Times New Roman" w:cs="Times New Roman" w:eastAsia="Times New Roman" w:hAnsi="Times New Roman"/>
          <w:sz w:val="19"/>
          <w:szCs w:val="19"/>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Times New Roman" w:cs="Times New Roman" w:eastAsia="Times New Roman" w:hAnsi="Times New Roman"/>
          <w:sz w:val="19"/>
          <w:szCs w:val="19"/>
          <w:u w:val="single" w:color="auto"/>
          <w:color w:val="auto"/>
        </w:rPr>
        <w:t>Section 2.10(b)</w:t>
      </w:r>
      <w:r>
        <w:rPr>
          <w:rFonts w:ascii="Times New Roman" w:cs="Times New Roman" w:eastAsia="Times New Roman" w:hAnsi="Times New Roman"/>
          <w:sz w:val="19"/>
          <w:szCs w:val="19"/>
          <w:color w:val="auto"/>
        </w:rPr>
        <w:t xml:space="preserve"> and the last sentence of </w:t>
      </w:r>
      <w:r>
        <w:rPr>
          <w:rFonts w:ascii="Times New Roman" w:cs="Times New Roman" w:eastAsia="Times New Roman" w:hAnsi="Times New Roman"/>
          <w:sz w:val="19"/>
          <w:szCs w:val="19"/>
          <w:u w:val="single" w:color="auto"/>
          <w:color w:val="auto"/>
        </w:rPr>
        <w:t>Section 2.17(a)</w:t>
      </w:r>
      <w:r>
        <w:rPr>
          <w:rFonts w:ascii="Times New Roman" w:cs="Times New Roman" w:eastAsia="Times New Roman" w:hAnsi="Times New Roman"/>
          <w:sz w:val="19"/>
          <w:szCs w:val="19"/>
          <w:color w:val="auto"/>
        </w:rPr>
        <w:t>,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Without limiting the generality of the foregoing, for purposes of determining compliance with any basket in Sections 6.03(g) and 6.04(f), in no event shall the Borrower or any of its Subsidiaries be deemed to not be in compliance with any such basket solely as a result of a change in exchange rates.</w:t>
      </w:r>
    </w:p>
    <w:p>
      <w:pPr>
        <w:spacing w:after="0" w:line="168" w:lineRule="exact"/>
        <w:rPr>
          <w:rFonts w:ascii="Times New Roman" w:cs="Times New Roman" w:eastAsia="Times New Roman" w:hAnsi="Times New Roman"/>
          <w:sz w:val="19"/>
          <w:szCs w:val="19"/>
          <w:color w:val="auto"/>
        </w:rPr>
      </w:pPr>
    </w:p>
    <w:p>
      <w:pPr>
        <w:ind w:firstLine="1410"/>
        <w:spacing w:after="0" w:line="253" w:lineRule="auto"/>
        <w:tabs>
          <w:tab w:leader="none" w:pos="168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Special Provisions Relating to Euro</w:t>
      </w:r>
      <w:r>
        <w:rPr>
          <w:rFonts w:ascii="Times New Roman" w:cs="Times New Roman" w:eastAsia="Times New Roman" w:hAnsi="Times New Roman"/>
          <w:sz w:val="19"/>
          <w:szCs w:val="19"/>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any Borrowing denominated in such currency that is outstanding immediately prior to such date, such replacement shall take effect at the end of the Interest Period therefor.</w:t>
      </w:r>
    </w:p>
    <w:p>
      <w:pPr>
        <w:spacing w:after="0" w:line="1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40" w:name="page141"/>
    <w:bookmarkEnd w:id="140"/>
    <w:p>
      <w:pPr>
        <w:spacing w:after="0" w:line="269"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157" w:lineRule="exact"/>
        <w:rPr>
          <w:sz w:val="20"/>
          <w:szCs w:val="20"/>
          <w:color w:val="auto"/>
        </w:rPr>
      </w:pPr>
    </w:p>
    <w:p>
      <w:pPr>
        <w:ind w:right="80" w:firstLine="1404"/>
        <w:spacing w:after="0" w:line="259" w:lineRule="auto"/>
        <w:rPr>
          <w:sz w:val="20"/>
          <w:szCs w:val="20"/>
          <w:color w:val="auto"/>
        </w:rPr>
      </w:pPr>
      <w:r>
        <w:rPr>
          <w:rFonts w:ascii="Times New Roman" w:cs="Times New Roman" w:eastAsia="Times New Roman" w:hAnsi="Times New Roman"/>
          <w:sz w:val="19"/>
          <w:szCs w:val="19"/>
          <w:color w:val="auto"/>
        </w:rPr>
        <w:t xml:space="preserve">SECTION 1.06. </w:t>
      </w:r>
      <w:r>
        <w:rPr>
          <w:rFonts w:ascii="Times New Roman" w:cs="Times New Roman" w:eastAsia="Times New Roman" w:hAnsi="Times New Roman"/>
          <w:sz w:val="19"/>
          <w:szCs w:val="19"/>
          <w:u w:val="single" w:color="auto"/>
          <w:color w:val="auto"/>
        </w:rPr>
        <w:t>Divisions</w:t>
      </w:r>
      <w:r>
        <w:rPr>
          <w:rFonts w:ascii="Times New Roman" w:cs="Times New Roman" w:eastAsia="Times New Roman" w:hAnsi="Times New Roman"/>
          <w:sz w:val="19"/>
          <w:szCs w:val="19"/>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54" w:lineRule="exact"/>
        <w:rPr>
          <w:sz w:val="20"/>
          <w:szCs w:val="20"/>
          <w:color w:val="auto"/>
        </w:rPr>
      </w:pPr>
    </w:p>
    <w:p>
      <w:pPr>
        <w:ind w:right="20" w:firstLine="1404"/>
        <w:spacing w:after="0" w:line="252" w:lineRule="auto"/>
        <w:rPr>
          <w:sz w:val="20"/>
          <w:szCs w:val="20"/>
          <w:color w:val="auto"/>
        </w:rPr>
      </w:pPr>
      <w:r>
        <w:rPr>
          <w:rFonts w:ascii="Times New Roman" w:cs="Times New Roman" w:eastAsia="Times New Roman" w:hAnsi="Times New Roman"/>
          <w:sz w:val="19"/>
          <w:szCs w:val="19"/>
          <w:color w:val="auto"/>
        </w:rPr>
        <w:t xml:space="preserve">SECTION 1.07. </w:t>
      </w:r>
      <w:r>
        <w:rPr>
          <w:rFonts w:ascii="Times New Roman" w:cs="Times New Roman" w:eastAsia="Times New Roman" w:hAnsi="Times New Roman"/>
          <w:sz w:val="19"/>
          <w:szCs w:val="19"/>
          <w:u w:val="single" w:color="auto"/>
          <w:color w:val="auto"/>
        </w:rPr>
        <w:t>Rates</w:t>
      </w:r>
      <w:r>
        <w:rPr>
          <w:rFonts w:ascii="Times New Roman" w:cs="Times New Roman" w:eastAsia="Times New Roman" w:hAnsi="Times New Roman"/>
          <w:sz w:val="19"/>
          <w:szCs w:val="19"/>
          <w:color w:val="auto"/>
        </w:rPr>
        <w:t>. The Administrative Agent does not warrant or accept responsibility for, and shall not have any liability with respect to (a) the continuation of, administration of, submission of, calculation of or any other matter related to the Alternate Base Rate, the Daily Simple RFR, or Term Benchmark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the Daily Simple RFR, Term Benchmark Rate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the Daily Simple RFR, Term Benchmark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Daily Simple RFR, Term Benchmark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by any such information source or service.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II</w:t>
      </w:r>
    </w:p>
    <w:p>
      <w:pPr>
        <w:spacing w:after="0" w:line="23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u w:val="single" w:color="auto"/>
          <w:color w:val="auto"/>
        </w:rPr>
        <w:t>THE CREDITS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2.01. </w:t>
      </w:r>
      <w:r>
        <w:rPr>
          <w:rFonts w:ascii="Times New Roman" w:cs="Times New Roman" w:eastAsia="Times New Roman" w:hAnsi="Times New Roman"/>
          <w:sz w:val="19"/>
          <w:szCs w:val="19"/>
          <w:u w:val="single" w:color="auto"/>
          <w:color w:val="auto"/>
        </w:rPr>
        <w:t>The Commitments</w:t>
      </w:r>
      <w:r>
        <w:rPr>
          <w:rFonts w:ascii="Times New Roman" w:cs="Times New Roman" w:eastAsia="Times New Roman" w:hAnsi="Times New Roman"/>
          <w:sz w:val="19"/>
          <w:szCs w:val="19"/>
          <w:color w:val="auto"/>
        </w:rPr>
        <w:t>. Subject to the terms and conditions set forth herein:</w:t>
      </w:r>
    </w:p>
    <w:p>
      <w:pPr>
        <w:spacing w:after="0" w:line="20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1" w:name="page142"/>
    <w:bookmarkEnd w:id="141"/>
    <w:p>
      <w:pPr>
        <w:spacing w:after="0" w:line="269" w:lineRule="exact"/>
        <w:rPr>
          <w:sz w:val="20"/>
          <w:szCs w:val="20"/>
          <w:color w:val="auto"/>
        </w:rPr>
      </w:pPr>
    </w:p>
    <w:p>
      <w:pPr>
        <w:ind w:right="60" w:firstLine="1410"/>
        <w:spacing w:after="0" w:line="259" w:lineRule="auto"/>
        <w:tabs>
          <w:tab w:leader="none" w:pos="1665"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Dollar Lender severally agrees to make Syndicated Loans in Dollars to the Borrower from time to time during such Dollar Lender’s Availability Period in an aggregate principal amount that will not result in (i) such Lender’s Revolving Dollar Credit Exposure exceeding such Lender’s Dollar Commitment, (ii) the aggregate Revolving Dollar Credit Exposure of all of the Dollar Lenders with Dollar Commitments then in effect exceeding the aggregate Dollar Commitments at such time or (iii) the total Covered Debt Amount exceeding the Borrowing Base then in effect; and</w:t>
      </w:r>
    </w:p>
    <w:p>
      <w:pPr>
        <w:spacing w:after="0" w:line="153" w:lineRule="exact"/>
        <w:rPr>
          <w:rFonts w:ascii="Times New Roman" w:cs="Times New Roman" w:eastAsia="Times New Roman" w:hAnsi="Times New Roman"/>
          <w:sz w:val="19"/>
          <w:szCs w:val="19"/>
          <w:color w:val="auto"/>
        </w:rPr>
      </w:pPr>
    </w:p>
    <w:p>
      <w:pPr>
        <w:ind w:right="120" w:firstLine="1410"/>
        <w:spacing w:after="0" w:line="258" w:lineRule="auto"/>
        <w:tabs>
          <w:tab w:leader="none" w:pos="1676"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Multicurrency Lender severally agrees to make Syndicated Loans in Dollars and in Agreed Foreign Currencies to the Borrower from time to time during such Multicurrency Lender’s Availability Period in an aggregate principal amount that will not result in (i) such Lender’s Revolving Multicurrency Credit Exposure exceeding such Lender’s Multicurrency Commitment,</w:t>
      </w:r>
    </w:p>
    <w:p>
      <w:pPr>
        <w:spacing w:after="0" w:line="1" w:lineRule="exact"/>
        <w:rPr>
          <w:rFonts w:ascii="Times New Roman" w:cs="Times New Roman" w:eastAsia="Times New Roman" w:hAnsi="Times New Roman"/>
          <w:sz w:val="19"/>
          <w:szCs w:val="19"/>
          <w:color w:val="auto"/>
        </w:rPr>
      </w:pPr>
    </w:p>
    <w:p>
      <w:pPr>
        <w:ind w:right="160" w:firstLine="6"/>
        <w:spacing w:after="0" w:line="256" w:lineRule="auto"/>
        <w:tabs>
          <w:tab w:leader="none" w:pos="282"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Revolving Multicurrency Credit Exposure of all of the Multicurrency Lenders with Multicurrency Commitments then in effect exceeding the aggregate Multicurrency Commitments at such time or (iii) the total Covered Debt Amount exceeding the Borrowing Base then in effect.</w:t>
      </w:r>
    </w:p>
    <w:p>
      <w:pPr>
        <w:spacing w:after="0" w:line="155" w:lineRule="exact"/>
        <w:rPr>
          <w:sz w:val="20"/>
          <w:szCs w:val="20"/>
          <w:color w:val="auto"/>
        </w:rPr>
      </w:pPr>
    </w:p>
    <w:p>
      <w:pPr>
        <w:ind w:right="100" w:firstLine="1404"/>
        <w:spacing w:after="0" w:line="286" w:lineRule="auto"/>
        <w:rPr>
          <w:sz w:val="20"/>
          <w:szCs w:val="20"/>
          <w:color w:val="auto"/>
        </w:rPr>
      </w:pPr>
      <w:r>
        <w:rPr>
          <w:rFonts w:ascii="Times New Roman" w:cs="Times New Roman" w:eastAsia="Times New Roman" w:hAnsi="Times New Roman"/>
          <w:sz w:val="19"/>
          <w:szCs w:val="19"/>
          <w:color w:val="auto"/>
        </w:rPr>
        <w:t>Within the foregoing limits and subject to the terms and conditions set forth herein, the Borrower may borrow, prepay and reborrow Syndicated Loans.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2.02. </w:t>
      </w:r>
      <w:r>
        <w:rPr>
          <w:rFonts w:ascii="Times New Roman" w:cs="Times New Roman" w:eastAsia="Times New Roman" w:hAnsi="Times New Roman"/>
          <w:sz w:val="19"/>
          <w:szCs w:val="19"/>
          <w:u w:val="single" w:color="auto"/>
          <w:color w:val="auto"/>
        </w:rPr>
        <w:t>Loans and Borrowings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80" w:firstLine="1410"/>
        <w:spacing w:after="0" w:line="259" w:lineRule="auto"/>
        <w:tabs>
          <w:tab w:leader="none" w:pos="1668"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Obligations of Lenders</w:t>
      </w:r>
      <w:r>
        <w:rPr>
          <w:rFonts w:ascii="Times New Roman" w:cs="Times New Roman" w:eastAsia="Times New Roman" w:hAnsi="Times New Roman"/>
          <w:sz w:val="19"/>
          <w:szCs w:val="19"/>
          <w:color w:val="auto"/>
        </w:rPr>
        <w:t xml:space="preserve">. Each Syndicated Loan shall be made as part of a Borrowing consisting of Loans of the same Class (other than with respect to any Syndicated Loan requested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Commitments of the Lenders are several and no Lender shall be responsible for any other Lender’s failure to make Loans as required.</w:t>
      </w:r>
    </w:p>
    <w:p>
      <w:pPr>
        <w:spacing w:after="0" w:line="153" w:lineRule="exact"/>
        <w:rPr>
          <w:rFonts w:ascii="Times New Roman" w:cs="Times New Roman" w:eastAsia="Times New Roman" w:hAnsi="Times New Roman"/>
          <w:sz w:val="19"/>
          <w:szCs w:val="19"/>
          <w:color w:val="auto"/>
        </w:rPr>
      </w:pPr>
    </w:p>
    <w:p>
      <w:pPr>
        <w:ind w:firstLine="1410"/>
        <w:spacing w:after="0" w:line="256" w:lineRule="auto"/>
        <w:tabs>
          <w:tab w:leader="none" w:pos="168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Type of Loans</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each Syndicated Borrowing of a Class shall be constituted entirely of ABR Loans, of RFR Loans or of Term Benchmark Loans of such Class denominated in a single Currency as the Borrower may request in accordance herewith. Each ABR Loan shall be denominated in Dollars. Each Term Benchmark Loan shall be denominated in Dollars or in an Agreed Foreign Currency (other than Sterling and Swiss Francs). Each RFR Loan shall be denominated in Sterling or Swiss Francs. Each Lender at its option may make any Term Benchmark Loan or RFR Loan by causing any domestic or foreign branch or Affiliate of such Lender to make such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exercise of such option shall not affect the obligation of the Borrower to repay such Loan in accordance with the terms of this Agreement.</w:t>
      </w:r>
    </w:p>
    <w:p>
      <w:pPr>
        <w:spacing w:after="0" w:line="157"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Minimum Amounts</w:t>
      </w:r>
      <w:r>
        <w:rPr>
          <w:rFonts w:ascii="Times New Roman" w:cs="Times New Roman" w:eastAsia="Times New Roman" w:hAnsi="Times New Roman"/>
          <w:sz w:val="19"/>
          <w:szCs w:val="19"/>
          <w:color w:val="auto"/>
        </w:rPr>
        <w:t>. Each Term Benchmark Borrowing and RFR Borrowing shall be in an aggregate amount of</w:t>
      </w:r>
    </w:p>
    <w:p>
      <w:pPr>
        <w:spacing w:after="0" w:line="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 xml:space="preserve">$1,000,000 or a larger multiple of $ 1,000,000, and each ABR Borrowing (whether a Syndicated Loan or a Swingline Loan) shall be in an aggregate amount of $ 1,000,000 or a larger multiple of $100,000;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Syndicated ABR Borrowing of a Class may be in an aggregate amount that is equal to the entire unused balance of the total Commitments of such Class or that is required to finance the reimbursement of an LC</w:t>
      </w:r>
    </w:p>
    <w:p>
      <w:pPr>
        <w:spacing w:after="0" w:line="15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2" w:name="page143"/>
    <w:bookmarkEnd w:id="142"/>
    <w:p>
      <w:pPr>
        <w:spacing w:after="0" w:line="26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9"/>
          <w:szCs w:val="19"/>
          <w:color w:val="auto"/>
        </w:rPr>
        <w:t xml:space="preserve">Disbursement of such Class as contemplated by </w:t>
      </w:r>
      <w:r>
        <w:rPr>
          <w:rFonts w:ascii="Times New Roman" w:cs="Times New Roman" w:eastAsia="Times New Roman" w:hAnsi="Times New Roman"/>
          <w:sz w:val="19"/>
          <w:szCs w:val="19"/>
          <w:u w:val="single" w:color="auto"/>
          <w:color w:val="auto"/>
        </w:rPr>
        <w:t>Section 2.05(f)</w:t>
      </w:r>
      <w:r>
        <w:rPr>
          <w:rFonts w:ascii="Times New Roman" w:cs="Times New Roman" w:eastAsia="Times New Roman" w:hAnsi="Times New Roman"/>
          <w:sz w:val="19"/>
          <w:szCs w:val="19"/>
          <w:color w:val="auto"/>
        </w:rPr>
        <w:t>. Borrowings of more than one Class, Currency and Type may be outstanding at the same time.</w:t>
      </w:r>
    </w:p>
    <w:p>
      <w:pPr>
        <w:spacing w:after="0" w:line="127" w:lineRule="exact"/>
        <w:rPr>
          <w:sz w:val="20"/>
          <w:szCs w:val="20"/>
          <w:color w:val="auto"/>
        </w:rPr>
      </w:pPr>
    </w:p>
    <w:p>
      <w:pPr>
        <w:ind w:right="60" w:firstLine="1410"/>
        <w:spacing w:after="0" w:line="257" w:lineRule="auto"/>
        <w:tabs>
          <w:tab w:leader="none" w:pos="168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Limitations on Interest Periods</w:t>
      </w:r>
      <w:r>
        <w:rPr>
          <w:rFonts w:ascii="Times New Roman" w:cs="Times New Roman" w:eastAsia="Times New Roman" w:hAnsi="Times New Roman"/>
          <w:sz w:val="19"/>
          <w:szCs w:val="19"/>
          <w:color w:val="auto"/>
        </w:rPr>
        <w:t xml:space="preserve">. Notwithstanding any other provision of this Agreement, the Borrower shall not be entitled to request (or to elect to convert to or continue as a Term Benchmark Borrowing or RFR Borrowing) any Borrowing if the Interest Period requested therefor would end after the Extended Final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request (or election to convert or continue as a Term Benchmark Borrowing or RFR Borrowing) that would extend past an applicable Non-Extended Final Maturity Date may only be made with respect to the portion of the Term Benchmark Borrowing or RFR Borrowing held by the Extending Lenders and Non-Extending Lenders for which the Non-Extended Final Maturity Date shall not have occurred.</w:t>
      </w:r>
    </w:p>
    <w:p>
      <w:pPr>
        <w:spacing w:after="0" w:line="156" w:lineRule="exact"/>
        <w:rPr>
          <w:rFonts w:ascii="Times New Roman" w:cs="Times New Roman" w:eastAsia="Times New Roman" w:hAnsi="Times New Roman"/>
          <w:sz w:val="19"/>
          <w:szCs w:val="19"/>
          <w:color w:val="auto"/>
        </w:rPr>
      </w:pPr>
    </w:p>
    <w:p>
      <w:pPr>
        <w:ind w:right="100" w:firstLine="1410"/>
        <w:spacing w:after="0" w:line="259" w:lineRule="auto"/>
        <w:tabs>
          <w:tab w:leader="none" w:pos="1668"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Treatment of Classes</w:t>
      </w:r>
      <w:r>
        <w:rPr>
          <w:rFonts w:ascii="Times New Roman" w:cs="Times New Roman" w:eastAsia="Times New Roman" w:hAnsi="Times New Roman"/>
          <w:sz w:val="19"/>
          <w:szCs w:val="19"/>
          <w:color w:val="auto"/>
        </w:rPr>
        <w:t xml:space="preserve">. Notwithstanding anything to the contrary contained herein, with respect to each Syndicated Loan, Swingline Loan or Letter of Credit designated in Dollars (including any Loan requested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2.03. </w:t>
      </w:r>
      <w:r>
        <w:rPr>
          <w:rFonts w:ascii="Times New Roman" w:cs="Times New Roman" w:eastAsia="Times New Roman" w:hAnsi="Times New Roman"/>
          <w:sz w:val="19"/>
          <w:szCs w:val="19"/>
          <w:u w:val="single" w:color="auto"/>
          <w:color w:val="auto"/>
        </w:rPr>
        <w:t>Requests for Syndicated Borrowings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20" w:firstLine="1410"/>
        <w:spacing w:after="0" w:line="255" w:lineRule="auto"/>
        <w:tabs>
          <w:tab w:leader="none" w:pos="1668"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by the Borrower</w:t>
      </w:r>
      <w:r>
        <w:rPr>
          <w:rFonts w:ascii="Times New Roman" w:cs="Times New Roman" w:eastAsia="Times New Roman" w:hAnsi="Times New Roman"/>
          <w:sz w:val="19"/>
          <w:szCs w:val="19"/>
          <w:color w:val="auto"/>
        </w:rPr>
        <w:t>. To request a Syndicated Borrowing, the Borrower shall notify the Administrative Agent of such request by telephone (i) in the case of a Term Benchmark Borrowing denominated in Dollars, not later than 11:00 a.m., New York City time, two Business Days before the date of the proposed Borrowing, (ii) in the case of a Term Benchmark Borrowing denominated in a Foreign Currency, not later than 11:00 a.m., New York City time, four Business Days before the date of the proposed Borrowing, (iii) in the case of an RFR Borrowing, not later than 11:00 a.m., New York City time, four Business Days before the date of the proposed Borrowing or (iv) in the case of a Syndicated ABR Borrowing, not later than 11:00 a.m., New York City time, on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155" w:lineRule="exact"/>
        <w:rPr>
          <w:rFonts w:ascii="Times New Roman" w:cs="Times New Roman" w:eastAsia="Times New Roman" w:hAnsi="Times New Roman"/>
          <w:sz w:val="19"/>
          <w:szCs w:val="19"/>
          <w:color w:val="auto"/>
        </w:rPr>
      </w:pPr>
    </w:p>
    <w:p>
      <w:pPr>
        <w:ind w:right="500" w:firstLine="1410"/>
        <w:spacing w:after="0" w:line="286" w:lineRule="auto"/>
        <w:tabs>
          <w:tab w:leader="none" w:pos="16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Content of Borrowing Requests</w:t>
      </w:r>
      <w:r>
        <w:rPr>
          <w:rFonts w:ascii="Times New Roman" w:cs="Times New Roman" w:eastAsia="Times New Roman" w:hAnsi="Times New Roman"/>
          <w:sz w:val="19"/>
          <w:szCs w:val="19"/>
          <w:color w:val="auto"/>
        </w:rPr>
        <w:t xml:space="preserve">. Each telephonic and written Borrowing Request shall specify the following information in compliance with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auto"/>
        </w:rPr>
      </w:pPr>
    </w:p>
    <w:p>
      <w:pPr>
        <w:ind w:left="1680" w:hanging="234"/>
        <w:spacing w:after="0"/>
        <w:tabs>
          <w:tab w:leader="none" w:pos="1680"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such Borrowing is to be made under the Dollar Commitments or the Multicurrency Commitments;</w:t>
      </w:r>
    </w:p>
    <w:p>
      <w:pPr>
        <w:spacing w:after="0" w:line="201" w:lineRule="exact"/>
        <w:rPr>
          <w:rFonts w:ascii="Times New Roman" w:cs="Times New Roman" w:eastAsia="Times New Roman" w:hAnsi="Times New Roman"/>
          <w:sz w:val="19"/>
          <w:szCs w:val="19"/>
          <w:color w:val="auto"/>
        </w:rPr>
      </w:pPr>
    </w:p>
    <w:p>
      <w:pPr>
        <w:ind w:left="1720" w:hanging="274"/>
        <w:spacing w:after="0"/>
        <w:tabs>
          <w:tab w:leader="none" w:pos="1720"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amount and Currency of the requested Borrowing;</w:t>
      </w:r>
    </w:p>
    <w:p>
      <w:pPr>
        <w:spacing w:after="0" w:line="201" w:lineRule="exact"/>
        <w:rPr>
          <w:rFonts w:ascii="Times New Roman" w:cs="Times New Roman" w:eastAsia="Times New Roman" w:hAnsi="Times New Roman"/>
          <w:sz w:val="19"/>
          <w:szCs w:val="19"/>
          <w:color w:val="auto"/>
        </w:rPr>
      </w:pPr>
    </w:p>
    <w:p>
      <w:pPr>
        <w:ind w:left="1780" w:hanging="334"/>
        <w:spacing w:after="0"/>
        <w:tabs>
          <w:tab w:leader="none" w:pos="1780"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of such Borrowing, which shall be a Business Day;</w:t>
      </w:r>
    </w:p>
    <w:p>
      <w:pPr>
        <w:spacing w:after="0" w:line="201" w:lineRule="exact"/>
        <w:rPr>
          <w:rFonts w:ascii="Times New Roman" w:cs="Times New Roman" w:eastAsia="Times New Roman" w:hAnsi="Times New Roman"/>
          <w:sz w:val="19"/>
          <w:szCs w:val="19"/>
          <w:color w:val="auto"/>
        </w:rPr>
      </w:pPr>
    </w:p>
    <w:p>
      <w:pPr>
        <w:ind w:left="700" w:right="740" w:firstLine="746"/>
        <w:spacing w:after="0" w:line="286" w:lineRule="auto"/>
        <w:tabs>
          <w:tab w:leader="none" w:pos="1769"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Syndicated Borrowing denominated in Dollars, whether such Borrowing is to be an ABR Borrowing or a Term Benchmark Borrowing;</w:t>
      </w:r>
    </w:p>
    <w:p>
      <w:pPr>
        <w:spacing w:after="0" w:line="12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3" w:name="page144"/>
    <w:bookmarkEnd w:id="143"/>
    <w:p>
      <w:pPr>
        <w:spacing w:after="0" w:line="269" w:lineRule="exact"/>
        <w:rPr>
          <w:sz w:val="20"/>
          <w:szCs w:val="20"/>
          <w:color w:val="auto"/>
        </w:rPr>
      </w:pPr>
    </w:p>
    <w:p>
      <w:pPr>
        <w:ind w:left="700" w:right="140" w:firstLine="746"/>
        <w:spacing w:after="0" w:line="286" w:lineRule="auto"/>
        <w:tabs>
          <w:tab w:leader="none" w:pos="1716"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Borrowing denominated in an Agreed Foreign Currency, whether such Borrowing is to be a Term Benchmark Borrowing or an RFR Borrowing;</w:t>
      </w:r>
    </w:p>
    <w:p>
      <w:pPr>
        <w:spacing w:after="0" w:line="127" w:lineRule="exact"/>
        <w:rPr>
          <w:rFonts w:ascii="Times New Roman" w:cs="Times New Roman" w:eastAsia="Times New Roman" w:hAnsi="Times New Roman"/>
          <w:sz w:val="19"/>
          <w:szCs w:val="19"/>
          <w:color w:val="auto"/>
        </w:rPr>
      </w:pPr>
    </w:p>
    <w:p>
      <w:pPr>
        <w:ind w:left="700" w:right="360" w:firstLine="746"/>
        <w:spacing w:after="0" w:line="286" w:lineRule="auto"/>
        <w:tabs>
          <w:tab w:leader="none" w:pos="1769"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Term Benchmark Borrowing or RFR Borrowing, the Interest Period therefor, which shall be a period contemplated by the definition of the term “Interest Period” and permitted under </w:t>
      </w:r>
      <w:r>
        <w:rPr>
          <w:rFonts w:ascii="Times New Roman" w:cs="Times New Roman" w:eastAsia="Times New Roman" w:hAnsi="Times New Roman"/>
          <w:sz w:val="19"/>
          <w:szCs w:val="19"/>
          <w:u w:val="single" w:color="auto"/>
          <w:color w:val="auto"/>
        </w:rPr>
        <w:t>Section 2.02(d)</w:t>
      </w:r>
      <w:r>
        <w:rPr>
          <w:rFonts w:ascii="Times New Roman" w:cs="Times New Roman" w:eastAsia="Times New Roman" w:hAnsi="Times New Roman"/>
          <w:sz w:val="19"/>
          <w:szCs w:val="19"/>
          <w:color w:val="auto"/>
        </w:rPr>
        <w:t>; and</w:t>
      </w:r>
    </w:p>
    <w:p>
      <w:pPr>
        <w:spacing w:after="0" w:line="127" w:lineRule="exact"/>
        <w:rPr>
          <w:rFonts w:ascii="Times New Roman" w:cs="Times New Roman" w:eastAsia="Times New Roman" w:hAnsi="Times New Roman"/>
          <w:sz w:val="19"/>
          <w:szCs w:val="19"/>
          <w:color w:val="auto"/>
        </w:rPr>
      </w:pPr>
    </w:p>
    <w:p>
      <w:pPr>
        <w:ind w:left="700" w:right="220" w:firstLine="746"/>
        <w:spacing w:after="0" w:line="286" w:lineRule="auto"/>
        <w:tabs>
          <w:tab w:leader="none" w:pos="1823"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location and number of the Borrower’s account to which funds are to be disbursed, which will comply with the requirements of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auto"/>
        </w:rPr>
      </w:pPr>
    </w:p>
    <w:p>
      <w:pPr>
        <w:ind w:right="180" w:firstLine="1410"/>
        <w:spacing w:after="0" w:line="268" w:lineRule="auto"/>
        <w:tabs>
          <w:tab w:leader="none" w:pos="1668"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by the Administrative Agent to the Lenders</w:t>
      </w:r>
      <w:r>
        <w:rPr>
          <w:rFonts w:ascii="Times New Roman" w:cs="Times New Roman" w:eastAsia="Times New Roman" w:hAnsi="Times New Roman"/>
          <w:sz w:val="19"/>
          <w:szCs w:val="19"/>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44" w:lineRule="exact"/>
        <w:rPr>
          <w:rFonts w:ascii="Times New Roman" w:cs="Times New Roman" w:eastAsia="Times New Roman" w:hAnsi="Times New Roman"/>
          <w:sz w:val="19"/>
          <w:szCs w:val="19"/>
          <w:color w:val="auto"/>
        </w:rPr>
      </w:pPr>
    </w:p>
    <w:p>
      <w:pPr>
        <w:ind w:right="60" w:firstLine="1410"/>
        <w:spacing w:after="0" w:line="254" w:lineRule="auto"/>
        <w:tabs>
          <w:tab w:leader="none" w:pos="168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Failure to Elect</w:t>
      </w:r>
      <w:r>
        <w:rPr>
          <w:rFonts w:ascii="Times New Roman" w:cs="Times New Roman" w:eastAsia="Times New Roman" w:hAnsi="Times New Roman"/>
          <w:sz w:val="19"/>
          <w:szCs w:val="19"/>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or Currency of a Syndicated Borrowing is specified, then the requested Borrowing shall be a Term Benchmark Borrowing denominated in Dollars having an Interest Period of one month and, if an Agreed Foreign Currency has been specified, the requested Syndicated Borrowing shall be a Term Benchmark Borrowing or RFR Borrowing, as applicable, denominated in such Agreed Foreign Currency and having an Interest Period of one month. If a Term Benchmark Borrowing or RFR Borrowing is requested but no Interest Period is specified, (i) if the Currency specified for such Borrowing is Dollars (or if no Currency has been so specified), the requested Borrowing shall be a Term Benchmark Borrowing denominated in Dollars having an Interest Period of one month’s duration, and (ii) if the Currency specified for such Borrowing is an Agreed Foreign Currency (other than Sterling and Swiss Franc), the Borrower shall be deemed to have selected an Interest Period of one month’s duration.</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2.04. </w:t>
      </w:r>
      <w:r>
        <w:rPr>
          <w:rFonts w:ascii="Times New Roman" w:cs="Times New Roman" w:eastAsia="Times New Roman" w:hAnsi="Times New Roman"/>
          <w:sz w:val="19"/>
          <w:szCs w:val="19"/>
          <w:u w:val="single" w:color="auto"/>
          <w:color w:val="auto"/>
        </w:rPr>
        <w:t>Swingline Loans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60" w:firstLine="1410"/>
        <w:spacing w:after="0" w:line="254" w:lineRule="auto"/>
        <w:tabs>
          <w:tab w:leader="none" w:pos="1668"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Agreement to Make Swingline Loans</w:t>
      </w:r>
      <w:r>
        <w:rPr>
          <w:rFonts w:ascii="Times New Roman" w:cs="Times New Roman" w:eastAsia="Times New Roman" w:hAnsi="Times New Roman"/>
          <w:sz w:val="19"/>
          <w:szCs w:val="19"/>
          <w:color w:val="auto"/>
        </w:rPr>
        <w:t xml:space="preserve">. Subject to the terms and conditions set forth herein, the Swingline Lender agrees to make Swingline Loans under each Commitment to the Borrower from time to time during the Extended Availability Period in Dollars, in an aggregate principal amount at any time outstanding that will not result in (i) the aggregate principal amount of outstanding Swingline Loans of both Classes of Commitments exceeding $70,000,000, (ii) the total Revolving Dollar Credit Exposures of Dollar Lenders with Dollar Commitments then in effect exceeding the aggregate Dollar Commitments at such time, (iii) the total Revolving Multicurrency Credit Exposures of Multicurrency Lenders with Multicurrency Commitments then in effect exceeding the aggregate Multicurrency Commitments at such time or (iv) the total Covered Debt Amount exceeding the Borrowing Base then in effect;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5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4" w:name="page145"/>
    <w:bookmarkEnd w:id="144"/>
    <w:p>
      <w:pPr>
        <w:spacing w:after="0" w:line="269" w:lineRule="exact"/>
        <w:rPr>
          <w:sz w:val="20"/>
          <w:szCs w:val="20"/>
          <w:color w:val="auto"/>
        </w:rPr>
      </w:pPr>
    </w:p>
    <w:p>
      <w:pPr>
        <w:ind w:right="140" w:firstLine="1410"/>
        <w:spacing w:after="0" w:line="255" w:lineRule="auto"/>
        <w:tabs>
          <w:tab w:leader="none" w:pos="168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Swingline Loans by the Borrower</w:t>
      </w:r>
      <w:r>
        <w:rPr>
          <w:rFonts w:ascii="Times New Roman" w:cs="Times New Roman" w:eastAsia="Times New Roman" w:hAnsi="Times New Roman"/>
          <w:sz w:val="19"/>
          <w:szCs w:val="19"/>
          <w:color w:val="auto"/>
        </w:rPr>
        <w:t xml:space="preserve">. To request a Swingline Loan, the Borrower shall notify the Administrative Agent of such request by telephone (confirmed by telecopy) not later than 2:00 p.m., New York City time, on the day of such proposed Swingline Loan. Each such notice shall be irrevocable and shall specify the requested date (which shall be a Business Day) and the amount of the requested Swingline Loan. The Administrative Agent will promptly advise the Swingline Lender of any such notice received from the Borrower. The Swingline Lender shall make each Swingline Loan available to the Borrower by means of a credit to the general deposit account of the Borrower with the Swingline Lender (or, in the case of a Swingline Loan made to finance the reimbursement of an LC Disbursement as provided in </w:t>
      </w:r>
      <w:r>
        <w:rPr>
          <w:rFonts w:ascii="Times New Roman" w:cs="Times New Roman" w:eastAsia="Times New Roman" w:hAnsi="Times New Roman"/>
          <w:sz w:val="19"/>
          <w:szCs w:val="19"/>
          <w:u w:val="single" w:color="auto"/>
          <w:color w:val="auto"/>
        </w:rPr>
        <w:t>Section 2.05(f)</w:t>
      </w:r>
      <w:r>
        <w:rPr>
          <w:rFonts w:ascii="Times New Roman" w:cs="Times New Roman" w:eastAsia="Times New Roman" w:hAnsi="Times New Roman"/>
          <w:sz w:val="19"/>
          <w:szCs w:val="19"/>
          <w:color w:val="auto"/>
        </w:rPr>
        <w:t>, by remittance to the Issuing Bank) by 3:00 p.m., New York City time, on the requested date of such Swingline Loan.</w:t>
      </w:r>
    </w:p>
    <w:p>
      <w:pPr>
        <w:spacing w:after="0" w:line="159" w:lineRule="exact"/>
        <w:rPr>
          <w:rFonts w:ascii="Times New Roman" w:cs="Times New Roman" w:eastAsia="Times New Roman" w:hAnsi="Times New Roman"/>
          <w:sz w:val="19"/>
          <w:szCs w:val="19"/>
          <w:color w:val="auto"/>
        </w:rPr>
      </w:pPr>
    </w:p>
    <w:p>
      <w:pPr>
        <w:ind w:right="80" w:firstLine="1410"/>
        <w:spacing w:after="0" w:line="253" w:lineRule="auto"/>
        <w:tabs>
          <w:tab w:leader="none" w:pos="1668"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Participations by Lenders in Swingline Loans</w:t>
      </w:r>
      <w:r>
        <w:rPr>
          <w:rFonts w:ascii="Times New Roman" w:cs="Times New Roman" w:eastAsia="Times New Roman" w:hAnsi="Times New Roman"/>
          <w:sz w:val="19"/>
          <w:szCs w:val="19"/>
          <w:color w:val="auto"/>
        </w:rPr>
        <w:t xml:space="preserve">. The Swingline Lender may by written notice given to the Administrative Agent not later than 10:00 a.m., New York City time on any Business Day, require the Lenders of the applicable Class (other than Non-Extending Lenders for which such Non-Extending Lender’s applicable Non-Extending Commitment Termination Date shall have occurred) to acquire participations on such Business Day in all or a portion of the Swingline Loans of such Class outstanding.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Swingline Lender, such Lender’s Applicable Percentage, as the case may be, of such Swingline Loan or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be required to purchase a participation in a Swingline Loan pursuant to this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xml:space="preserve"> if (x) the conditions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4.02</w:t>
      </w:r>
      <w:r>
        <w:rPr>
          <w:rFonts w:ascii="Times New Roman" w:cs="Times New Roman" w:eastAsia="Times New Roman" w:hAnsi="Times New Roman"/>
          <w:sz w:val="19"/>
          <w:szCs w:val="19"/>
          <w:color w:val="auto"/>
        </w:rPr>
        <w:t xml:space="preserve"> would not be satisfied in respect of a Borrowing at the time such Swingline Loan was made and (y) the Required Lenders of the respective Class shall have so notified the Swingline Lender in writing and shall not have subsequently determined that the circumstances giving rise to such conditions not being satisfied no longer exist.</w:t>
      </w:r>
    </w:p>
    <w:p>
      <w:pPr>
        <w:spacing w:after="0" w:line="163"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 xml:space="preserve">Subject to the foregoing, each Lender acknowledges and agrees that its obligation to acquire participations in Swingline Loans pursuant to this </w:t>
      </w:r>
      <w:r>
        <w:rPr>
          <w:rFonts w:ascii="Times New Roman" w:cs="Times New Roman" w:eastAsia="Times New Roman" w:hAnsi="Times New Roman"/>
          <w:sz w:val="19"/>
          <w:szCs w:val="19"/>
          <w:u w:val="single" w:color="auto"/>
          <w:color w:val="auto"/>
        </w:rPr>
        <w:t>paragraph (c)</w:t>
      </w:r>
      <w:r>
        <w:rPr>
          <w:rFonts w:ascii="Times New Roman" w:cs="Times New Roman" w:eastAsia="Times New Roman" w:hAnsi="Times New Roman"/>
          <w:sz w:val="19"/>
          <w:szCs w:val="19"/>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with respect to Loans made by such Lender (and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shall apply, </w:t>
      </w:r>
      <w:r>
        <w:rPr>
          <w:rFonts w:ascii="Times New Roman" w:cs="Times New Roman" w:eastAsia="Times New Roman" w:hAnsi="Times New Roman"/>
          <w:sz w:val="19"/>
          <w:szCs w:val="19"/>
          <w:u w:val="single" w:color="auto"/>
          <w:color w:val="auto"/>
        </w:rPr>
        <w:t>mutatis mutandis</w:t>
      </w:r>
      <w:r>
        <w:rPr>
          <w:rFonts w:ascii="Times New Roman" w:cs="Times New Roman" w:eastAsia="Times New Roman" w:hAnsi="Times New Roman"/>
          <w:sz w:val="19"/>
          <w:szCs w:val="19"/>
          <w:color w:val="auto"/>
        </w:rPr>
        <w:t>,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w:t>
      </w:r>
    </w:p>
    <w:p>
      <w:pPr>
        <w:spacing w:after="0" w:line="1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45" w:name="page146"/>
    <w:bookmarkEnd w:id="145"/>
    <w:p>
      <w:pPr>
        <w:spacing w:after="0" w:line="2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Administrative Agent shall be promptly remitted by the Administrative Agent to the Lenders that shall have made their payments pursuant to this paragraph and to the Swingline Lender, as their interests may appear. The purchase of participations in a Swingline Loan pursuant to this paragraph shall not relieve the Borrower of any default in the payment thereof.</w:t>
      </w:r>
    </w:p>
    <w:p>
      <w:pPr>
        <w:spacing w:after="0" w:line="144" w:lineRule="exact"/>
        <w:rPr>
          <w:sz w:val="20"/>
          <w:szCs w:val="20"/>
          <w:color w:val="auto"/>
        </w:rPr>
      </w:pPr>
    </w:p>
    <w:p>
      <w:pPr>
        <w:ind w:right="80" w:firstLine="1410"/>
        <w:spacing w:after="0" w:line="253" w:lineRule="auto"/>
        <w:tabs>
          <w:tab w:leader="none" w:pos="168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Resignation and Replacement of Swingline Lender</w:t>
      </w:r>
      <w:r>
        <w:rPr>
          <w:rFonts w:ascii="Times New Roman" w:cs="Times New Roman" w:eastAsia="Times New Roman" w:hAnsi="Times New Roman"/>
          <w:sz w:val="19"/>
          <w:szCs w:val="19"/>
          <w:color w:val="auto"/>
        </w:rPr>
        <w:t xml:space="preserve">. The Swingline Lender may resign and be replaced at any time by written agreement among the Borrower, the Administrative Agent, the resigning Swingline Lender and the successor Swingline Lender. The Administrative Agent shall notify the Lenders of any such resignation and replacement of the Swingline Lender. In addition to the foregoing, if a Lender becomes, and during the period it remains, a Defaulting Lender, and if any Default has arisen from a failure of the Borrower to comply with </w:t>
      </w:r>
      <w:r>
        <w:rPr>
          <w:rFonts w:ascii="Times New Roman" w:cs="Times New Roman" w:eastAsia="Times New Roman" w:hAnsi="Times New Roman"/>
          <w:sz w:val="19"/>
          <w:szCs w:val="19"/>
          <w:u w:val="single" w:color="auto"/>
          <w:color w:val="auto"/>
        </w:rPr>
        <w:t>Section 2.19(a)</w:t>
      </w:r>
      <w:r>
        <w:rPr>
          <w:rFonts w:ascii="Times New Roman" w:cs="Times New Roman" w:eastAsia="Times New Roman" w:hAnsi="Times New Roman"/>
          <w:sz w:val="19"/>
          <w:szCs w:val="19"/>
          <w:color w:val="auto"/>
        </w:rPr>
        <w:t>, then the Swingline Lender may, upon prior written notice to the Borrower and the Administrative Agent, resign as Swingline Lender, effective at the close of business New York City time on a date specified in such notice (which date may not be less than five (5) Business Days after the date of such notice). On or after the effective date of any such resignation, the Borrower and the Administrative Agent may, by written agreement, appoint a successor Swingline Lender. The Administrative Agent shall notify the Lenders of any such appointment of a successor Swingline Lender. Upon the effectiveness of any resignation of the Swingline Lender, the Borrower shall repay in full all outstanding Swingline Loans together with all accrued interest thereon. From and after the effective date of the appointment of a successor Swingline Lender, (i) the successor Swingline Lender shall have all the rights and obligations of the replaced Swingline Lender under this Agreement with respect to Swingline Loans to be made thereafter and (ii)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have no obligation to make additional Swingline Loans.</w:t>
      </w:r>
    </w:p>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2.05. </w:t>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410"/>
        <w:spacing w:after="0" w:line="257" w:lineRule="auto"/>
        <w:tabs>
          <w:tab w:leader="none" w:pos="1668"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xml:space="preserve">. Subject to the terms and conditions set forth herein, in addition to the Loans provided for in </w:t>
      </w:r>
      <w:r>
        <w:rPr>
          <w:rFonts w:ascii="Times New Roman" w:cs="Times New Roman" w:eastAsia="Times New Roman" w:hAnsi="Times New Roman"/>
          <w:sz w:val="19"/>
          <w:szCs w:val="19"/>
          <w:u w:val="single" w:color="auto"/>
          <w:color w:val="auto"/>
        </w:rPr>
        <w:t>Section 2.01</w:t>
      </w:r>
      <w:r>
        <w:rPr>
          <w:rFonts w:ascii="Times New Roman" w:cs="Times New Roman" w:eastAsia="Times New Roman" w:hAnsi="Times New Roman"/>
          <w:sz w:val="19"/>
          <w:szCs w:val="19"/>
          <w:color w:val="auto"/>
        </w:rPr>
        <w:t>, the Borrower may request the Issuing Bank to issue, at any time and from time to time during the Extended Availability Period and under either the Dollar Commitments or Multicurrency Commitments, Letters of Credit denominated in Dollars or (in the case of Letters of Credit under the Multicurrency Commitments) in any Agreed Foreign Currency for its own account in such form as is acceptable to the Issuing Bank in its reasonable determination. Letters of Credit issued hereunder shall constitute utilization of the Commitments up to the aggregate amount available to be drawn thereunder.</w:t>
      </w:r>
    </w:p>
    <w:p>
      <w:pPr>
        <w:spacing w:after="0" w:line="156" w:lineRule="exact"/>
        <w:rPr>
          <w:rFonts w:ascii="Times New Roman" w:cs="Times New Roman" w:eastAsia="Times New Roman" w:hAnsi="Times New Roman"/>
          <w:sz w:val="19"/>
          <w:szCs w:val="19"/>
          <w:color w:val="auto"/>
        </w:rPr>
      </w:pPr>
    </w:p>
    <w:p>
      <w:pPr>
        <w:ind w:right="300" w:firstLine="1410"/>
        <w:spacing w:after="0" w:line="257" w:lineRule="auto"/>
        <w:tabs>
          <w:tab w:leader="none" w:pos="168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Issuance, Amendment, Renewal or Extension</w:t>
      </w:r>
      <w:r>
        <w:rPr>
          <w:rFonts w:ascii="Times New Roman" w:cs="Times New Roman" w:eastAsia="Times New Roman" w:hAnsi="Times New Roman"/>
          <w:sz w:val="19"/>
          <w:szCs w:val="19"/>
          <w:color w:val="auto"/>
        </w:rPr>
        <w:t>. To request the issuance of a Letter of Credit (or the amendment, renewal or extension of an outstanding Letter of Credit), the Borrower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w:t>
      </w:r>
    </w:p>
    <w:p>
      <w:pPr>
        <w:spacing w:after="0" w:line="15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6" w:name="page147"/>
    <w:bookmarkEnd w:id="146"/>
    <w:p>
      <w:pPr>
        <w:spacing w:after="0" w:line="26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9"/>
          <w:szCs w:val="19"/>
          <w:color w:val="auto"/>
        </w:rPr>
        <w:t xml:space="preserve">to expire (which shall comply with </w:t>
      </w:r>
      <w:r>
        <w:rPr>
          <w:rFonts w:ascii="Times New Roman" w:cs="Times New Roman" w:eastAsia="Times New Roman" w:hAnsi="Times New Roman"/>
          <w:sz w:val="19"/>
          <w:szCs w:val="19"/>
          <w:u w:val="single" w:color="auto"/>
          <w:color w:val="auto"/>
        </w:rPr>
        <w:t>paragraph (d)</w:t>
      </w:r>
      <w:r>
        <w:rPr>
          <w:rFonts w:ascii="Times New Roman" w:cs="Times New Roman" w:eastAsia="Times New Roman" w:hAnsi="Times New Roman"/>
          <w:sz w:val="19"/>
          <w:szCs w:val="19"/>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Issuing Bank, the Borrower also shall submit a letter of credit application on the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w:t>
      </w:r>
    </w:p>
    <w:p>
      <w:pPr>
        <w:spacing w:after="0" w:line="157" w:lineRule="exact"/>
        <w:rPr>
          <w:sz w:val="20"/>
          <w:szCs w:val="20"/>
          <w:color w:val="auto"/>
        </w:rPr>
      </w:pPr>
    </w:p>
    <w:p>
      <w:pPr>
        <w:ind w:right="20" w:firstLine="1410"/>
        <w:spacing w:after="0" w:line="255" w:lineRule="auto"/>
        <w:tabs>
          <w:tab w:leader="none" w:pos="1668"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Limitations on Amounts</w:t>
      </w:r>
      <w:r>
        <w:rPr>
          <w:rFonts w:ascii="Times New Roman" w:cs="Times New Roman" w:eastAsia="Times New Roman" w:hAnsi="Times New Roman"/>
          <w:sz w:val="19"/>
          <w:szCs w:val="19"/>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Issuing Bank (determined for these purposes without giving effect to the participations therein of the Lenders pursuant to </w:t>
      </w:r>
      <w:r>
        <w:rPr>
          <w:rFonts w:ascii="Times New Roman" w:cs="Times New Roman" w:eastAsia="Times New Roman" w:hAnsi="Times New Roman"/>
          <w:sz w:val="19"/>
          <w:szCs w:val="19"/>
          <w:u w:val="single" w:color="auto"/>
          <w:color w:val="auto"/>
        </w:rPr>
        <w:t>paragraph (e)</w:t>
      </w:r>
      <w:r>
        <w:rPr>
          <w:rFonts w:ascii="Times New Roman" w:cs="Times New Roman" w:eastAsia="Times New Roman" w:hAnsi="Times New Roman"/>
          <w:sz w:val="19"/>
          <w:szCs w:val="19"/>
          <w:color w:val="auto"/>
        </w:rPr>
        <w:t xml:space="preserve"> of this Section) shall not exceed $50,000,000; (ii) the total Revolving Dollar Credit Exposure of Dollar Lenders with Dollar Commitments then in effect shall not exceed the aggregate Dollar Commitments at such time; (iii) the total Revolving Multicurrency Credit Exposure of Multicurrency Lenders with Multicurrency Commitments then in effect shall not exceed the aggregate Multicurrency Commitments at such time; and (iv) the total Covered Debt Amount shall not exceed the Borrowing Base then in effect.</w:t>
      </w:r>
    </w:p>
    <w:p>
      <w:pPr>
        <w:spacing w:after="0" w:line="159" w:lineRule="exact"/>
        <w:rPr>
          <w:rFonts w:ascii="Times New Roman" w:cs="Times New Roman" w:eastAsia="Times New Roman" w:hAnsi="Times New Roman"/>
          <w:sz w:val="19"/>
          <w:szCs w:val="19"/>
          <w:color w:val="auto"/>
        </w:rPr>
      </w:pPr>
    </w:p>
    <w:p>
      <w:pPr>
        <w:ind w:right="140" w:firstLine="1410"/>
        <w:spacing w:after="0" w:line="255" w:lineRule="auto"/>
        <w:tabs>
          <w:tab w:leader="none" w:pos="168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Expiration Date</w:t>
      </w:r>
      <w:r>
        <w:rPr>
          <w:rFonts w:ascii="Times New Roman" w:cs="Times New Roman" w:eastAsia="Times New Roman" w:hAnsi="Times New Roman"/>
          <w:sz w:val="19"/>
          <w:szCs w:val="19"/>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Letter of Credit with a one-year term may provide for the renewal thereof for additional one-year periods. No Letter of Credit may be renewed following the earlier to occur of the Extended Commitment Termination Date and the Termination Date, except to the extent that the relevant Letter of Credit is Cash Collateralized no later than five (5) Business Days prior to the Extended Commitment Termination Date or Termination Date, as applicable, or supported by another letter of credit, in each case pursuant to arrangements reasonably satisfactory to the Issuing Bank and the Administrative Agent.</w:t>
      </w:r>
    </w:p>
    <w:p>
      <w:pPr>
        <w:spacing w:after="0" w:line="159" w:lineRule="exact"/>
        <w:rPr>
          <w:rFonts w:ascii="Times New Roman" w:cs="Times New Roman" w:eastAsia="Times New Roman" w:hAnsi="Times New Roman"/>
          <w:sz w:val="19"/>
          <w:szCs w:val="19"/>
          <w:color w:val="auto"/>
        </w:rPr>
      </w:pPr>
    </w:p>
    <w:p>
      <w:pPr>
        <w:ind w:firstLine="1410"/>
        <w:spacing w:after="0" w:line="255" w:lineRule="auto"/>
        <w:tabs>
          <w:tab w:leader="none" w:pos="1668"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Participations</w:t>
      </w:r>
      <w:r>
        <w:rPr>
          <w:rFonts w:ascii="Times New Roman" w:cs="Times New Roman" w:eastAsia="Times New Roman" w:hAnsi="Times New Roman"/>
          <w:sz w:val="19"/>
          <w:szCs w:val="19"/>
          <w:color w:val="auto"/>
        </w:rPr>
        <w:t>. By the issuance of a Letter of Credit of a Class (or an amendment to a Letter of Credit increasing the amount thereof) by the Issuing Bank, and without any further action on the part of the Issuing Bank or the Lenders, the Issuing Bank hereby grants to each Lender (other than any Non-Extending Lender for which such Non-Extending Lender’s applicable Non-Extending Commitment Termination Date has occurred) of such Class, and each Lender of such Class hereby acquires from the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w:t>
      </w:r>
    </w:p>
    <w:p>
      <w:pPr>
        <w:spacing w:after="0" w:line="15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47" w:name="page148"/>
    <w:bookmarkEnd w:id="147"/>
    <w:p>
      <w:pPr>
        <w:spacing w:after="0" w:line="2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 xml:space="preserve">of the applicable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be required to purchase a participation in a Letter of Credit pursuant to this </w:t>
      </w:r>
      <w:r>
        <w:rPr>
          <w:rFonts w:ascii="Times New Roman" w:cs="Times New Roman" w:eastAsia="Times New Roman" w:hAnsi="Times New Roman"/>
          <w:sz w:val="19"/>
          <w:szCs w:val="19"/>
          <w:u w:val="single" w:color="auto"/>
          <w:color w:val="auto"/>
        </w:rPr>
        <w:t>Section 2.05(e)</w:t>
      </w:r>
      <w:r>
        <w:rPr>
          <w:rFonts w:ascii="Times New Roman" w:cs="Times New Roman" w:eastAsia="Times New Roman" w:hAnsi="Times New Roman"/>
          <w:sz w:val="19"/>
          <w:szCs w:val="19"/>
          <w:color w:val="auto"/>
        </w:rPr>
        <w:t xml:space="preserve"> if (x)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would not be satisfied in respect of a Borrowing at the time such Letter of Credit was issued and (y) the Required Lenders of the respective Class shall have so notified the Issuing Bank in writing and shall not have subsequently determined that the circumstances giving rise to such conditions not being satisfied no longer exist.</w:t>
      </w:r>
    </w:p>
    <w:p>
      <w:pPr>
        <w:spacing w:after="0" w:line="150" w:lineRule="exact"/>
        <w:rPr>
          <w:sz w:val="20"/>
          <w:szCs w:val="20"/>
          <w:color w:val="auto"/>
        </w:rPr>
      </w:pPr>
    </w:p>
    <w:p>
      <w:pPr>
        <w:ind w:right="40" w:firstLine="1404"/>
        <w:spacing w:after="0" w:line="253" w:lineRule="auto"/>
        <w:rPr>
          <w:sz w:val="20"/>
          <w:szCs w:val="20"/>
          <w:color w:val="auto"/>
        </w:rPr>
      </w:pPr>
      <w:r>
        <w:rPr>
          <w:rFonts w:ascii="Times New Roman" w:cs="Times New Roman" w:eastAsia="Times New Roman" w:hAnsi="Times New Roman"/>
          <w:sz w:val="19"/>
          <w:szCs w:val="19"/>
          <w:color w:val="auto"/>
        </w:rPr>
        <w:t xml:space="preserve">In consideration and in furtherance of the foregoing, each Lender of a Class (other than any Non-Extending Lender for which such Non -Extending Lender’s applicable Non-Extending Commitment Termination Date has occurred) hereby absolutely and unconditionally agrees to pay to the Administrative Agent, for account of the Issuing Bank, such Lender’s Applicable Dollar Percentage or Applicable Multicurrency Percentage, as the case may be, of each LC Disbursement made by the Issuing Bank in respect of Letters of Credit of such Class promptly upon the request of the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with respect to Loans made by such Lender (and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shall apply, </w:t>
      </w:r>
      <w:r>
        <w:rPr>
          <w:rFonts w:ascii="Times New Roman" w:cs="Times New Roman" w:eastAsia="Times New Roman" w:hAnsi="Times New Roman"/>
          <w:sz w:val="19"/>
          <w:szCs w:val="19"/>
          <w:u w:val="single" w:color="auto"/>
          <w:color w:val="auto"/>
        </w:rPr>
        <w:t>mutatis mutandis</w:t>
      </w:r>
      <w:r>
        <w:rPr>
          <w:rFonts w:ascii="Times New Roman" w:cs="Times New Roman" w:eastAsia="Times New Roman" w:hAnsi="Times New Roman"/>
          <w:sz w:val="19"/>
          <w:szCs w:val="19"/>
          <w:color w:val="auto"/>
        </w:rPr>
        <w:t>, to the payment obligations of the Lenders), and the Administrative Agent shall promptly pay to the Issuing Bank the amounts so received by it from the Lenders. Promptly following receipt by the Administrative Agent of any payment from the Borrower pursuant to the next following paragraph, the Administrative Agent shall distribute such payment to the Issuing Bank or, to the extent that the Lenders have made payments pursuant to this paragraph to reimburse the Issuing Bank, then to such Lenders and the Issuing Bank as their interests may appear. Any payment made by a Lender pursuant to this paragraph to reimburse the Issuing Bank for any LC Disbursement shall not constitute a Loan and shall not relieve the Borrower of its obligation to reimburse such LC Disbursement.</w:t>
      </w:r>
    </w:p>
    <w:p>
      <w:pPr>
        <w:spacing w:after="0" w:line="161" w:lineRule="exact"/>
        <w:rPr>
          <w:sz w:val="20"/>
          <w:szCs w:val="20"/>
          <w:color w:val="auto"/>
        </w:rPr>
      </w:pPr>
    </w:p>
    <w:p>
      <w:pPr>
        <w:ind w:right="20" w:firstLine="1410"/>
        <w:spacing w:after="0" w:line="255" w:lineRule="auto"/>
        <w:tabs>
          <w:tab w:leader="none" w:pos="1644"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Reimbursement</w:t>
      </w:r>
      <w:r>
        <w:rPr>
          <w:rFonts w:ascii="Times New Roman" w:cs="Times New Roman" w:eastAsia="Times New Roman" w:hAnsi="Times New Roman"/>
          <w:sz w:val="19"/>
          <w:szCs w:val="19"/>
          <w:color w:val="auto"/>
        </w:rPr>
        <w:t xml:space="preserve">. If the Issuing Bank shall make any LC Disbursement in respect of a Letter of Credit, the Borrower shall reimburse the Issuing Bank in respect of such LC Disbursement by paying to the Administrative Agent an amount equal to such LC Disbursement not later than 11:00 a.m., New York City time, on (i) the Business Day that the Borrower receives notice of such LC Disbursement, if such notice is received prior to 10:00 a.m., New York City time, or (ii) the Business Day immediately following the day that the Borrower receives such notice, if such notice is not received prior to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LC Disbursement is not less than $1,000,000 and is denominated in Dollars, the Borrower may, subject to the conditions to borrowing set forth herein, request in accordance with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2.04</w:t>
      </w:r>
      <w:r>
        <w:rPr>
          <w:rFonts w:ascii="Times New Roman" w:cs="Times New Roman" w:eastAsia="Times New Roman" w:hAnsi="Times New Roman"/>
          <w:sz w:val="19"/>
          <w:szCs w:val="19"/>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55" w:lineRule="exact"/>
        <w:rPr>
          <w:sz w:val="20"/>
          <w:szCs w:val="20"/>
          <w:color w:val="auto"/>
        </w:rPr>
      </w:pPr>
    </w:p>
    <w:p>
      <w:pPr>
        <w:jc w:val="both"/>
        <w:ind w:right="240" w:firstLine="1404"/>
        <w:spacing w:after="0" w:line="268" w:lineRule="auto"/>
        <w:rPr>
          <w:sz w:val="20"/>
          <w:szCs w:val="20"/>
          <w:color w:val="auto"/>
        </w:rPr>
      </w:pPr>
      <w:r>
        <w:rPr>
          <w:rFonts w:ascii="Times New Roman" w:cs="Times New Roman" w:eastAsia="Times New Roman" w:hAnsi="Times New Roman"/>
          <w:sz w:val="19"/>
          <w:szCs w:val="19"/>
          <w:color w:val="auto"/>
        </w:rPr>
        <w:t>If the Borrower fails to make such payment when due, the Administrative Agent shall notify each applicable Lender with a Commitment then in effect of the applicable LC Disbursement, the payment then due from the Borrower in respect thereof and such Lender’s Applicable Dollar Percentage or Applicable Multicurrency Percentage, as the case may be, thereof.</w:t>
      </w:r>
    </w:p>
    <w:p>
      <w:pPr>
        <w:spacing w:after="0" w:line="1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8" w:name="page149"/>
    <w:bookmarkEnd w:id="148"/>
    <w:p>
      <w:pPr>
        <w:spacing w:after="0" w:line="269" w:lineRule="exact"/>
        <w:rPr>
          <w:sz w:val="20"/>
          <w:szCs w:val="20"/>
          <w:color w:val="auto"/>
        </w:rPr>
      </w:pPr>
    </w:p>
    <w:p>
      <w:pPr>
        <w:ind w:right="140" w:firstLine="1410"/>
        <w:spacing w:after="0" w:line="255" w:lineRule="auto"/>
        <w:tabs>
          <w:tab w:leader="none" w:pos="168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Obligations Absolute</w:t>
      </w:r>
      <w:r>
        <w:rPr>
          <w:rFonts w:ascii="Times New Roman" w:cs="Times New Roman" w:eastAsia="Times New Roman" w:hAnsi="Times New Roman"/>
          <w:sz w:val="19"/>
          <w:szCs w:val="19"/>
          <w:color w:val="auto"/>
        </w:rPr>
        <w:t xml:space="preserve">. The Borrower’s obligation to reimburse LC Disbursements as provided in </w:t>
      </w:r>
      <w:r>
        <w:rPr>
          <w:rFonts w:ascii="Times New Roman" w:cs="Times New Roman" w:eastAsia="Times New Roman" w:hAnsi="Times New Roman"/>
          <w:sz w:val="19"/>
          <w:szCs w:val="19"/>
          <w:u w:val="single" w:color="auto"/>
          <w:color w:val="auto"/>
        </w:rPr>
        <w:t>paragraph (f)</w:t>
      </w:r>
      <w:r>
        <w:rPr>
          <w:rFonts w:ascii="Times New Roman" w:cs="Times New Roman" w:eastAsia="Times New Roman" w:hAnsi="Times New Roman"/>
          <w:sz w:val="19"/>
          <w:szCs w:val="19"/>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60"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 xml:space="preserve">Neither the Administrative Agent, the Lenders nor the Issuing Bank, nor any of their Related Parties, shall have any liability or responsibility by reason of or in connection with the issuance or transfer of any Letter of Credit by the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be construed to excuse the Issuing Bank from liability to the Borrower to the extent of any direct damages (as opposed to consequential damages, claims in respect of which are hereby waived by the Borrower to the extent permitted by applicable law) suffered by the Borrower that are caused by the Issuing Bank’s gross negligence or willful misconduct when determining whether drafts and other documents presented under a Letter of Credit comply with the terms thereof. The parties hereto expressly agree that:</w:t>
      </w:r>
    </w:p>
    <w:p>
      <w:pPr>
        <w:spacing w:after="0" w:line="160" w:lineRule="exact"/>
        <w:rPr>
          <w:sz w:val="20"/>
          <w:szCs w:val="20"/>
          <w:color w:val="auto"/>
        </w:rPr>
      </w:pPr>
    </w:p>
    <w:p>
      <w:pPr>
        <w:ind w:left="700" w:right="140" w:firstLine="746"/>
        <w:spacing w:after="0" w:line="262" w:lineRule="auto"/>
        <w:tabs>
          <w:tab w:leader="none" w:pos="1673"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Issuing Bank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150" w:lineRule="exact"/>
        <w:rPr>
          <w:rFonts w:ascii="Times New Roman" w:cs="Times New Roman" w:eastAsia="Times New Roman" w:hAnsi="Times New Roman"/>
          <w:sz w:val="19"/>
          <w:szCs w:val="19"/>
          <w:color w:val="auto"/>
        </w:rPr>
      </w:pPr>
    </w:p>
    <w:p>
      <w:pPr>
        <w:ind w:left="700" w:right="160" w:firstLine="746"/>
        <w:spacing w:after="0" w:line="286" w:lineRule="auto"/>
        <w:tabs>
          <w:tab w:leader="none" w:pos="1727"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Issuing Bank shall have the right, in its sole discretion, to decline to accept such documents and to make such payment if such documents are not in strict compliance with the terms of such Letter of Credit; and</w:t>
      </w:r>
    </w:p>
    <w:p>
      <w:pPr>
        <w:spacing w:after="0" w:line="127" w:lineRule="exact"/>
        <w:rPr>
          <w:rFonts w:ascii="Times New Roman" w:cs="Times New Roman" w:eastAsia="Times New Roman" w:hAnsi="Times New Roman"/>
          <w:sz w:val="19"/>
          <w:szCs w:val="19"/>
          <w:color w:val="auto"/>
        </w:rPr>
      </w:pPr>
    </w:p>
    <w:p>
      <w:pPr>
        <w:ind w:left="700" w:right="240" w:firstLine="746"/>
        <w:spacing w:after="0" w:line="268" w:lineRule="auto"/>
        <w:tabs>
          <w:tab w:leader="none" w:pos="1780"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sentence shall establish the standard of care to be exercised by the Issuing Bank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44" w:lineRule="exact"/>
        <w:rPr>
          <w:rFonts w:ascii="Times New Roman" w:cs="Times New Roman" w:eastAsia="Times New Roman" w:hAnsi="Times New Roman"/>
          <w:sz w:val="19"/>
          <w:szCs w:val="19"/>
          <w:color w:val="auto"/>
        </w:rPr>
      </w:pPr>
    </w:p>
    <w:p>
      <w:pPr>
        <w:ind w:right="100" w:firstLine="1410"/>
        <w:spacing w:after="0" w:line="262" w:lineRule="auto"/>
        <w:tabs>
          <w:tab w:leader="none" w:pos="168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Disbursement Procedures</w:t>
      </w:r>
      <w:r>
        <w:rPr>
          <w:rFonts w:ascii="Times New Roman" w:cs="Times New Roman" w:eastAsia="Times New Roman" w:hAnsi="Times New Roman"/>
          <w:sz w:val="19"/>
          <w:szCs w:val="19"/>
          <w:color w:val="auto"/>
        </w:rPr>
        <w:t>. The Issuing Bank shall, within a reasonable time following its receipt thereof, examine all documents purporting to represent a demand for payment under a Letter of Credit. The Issuing Bank shall promptly after such examination notify the Administrative Agent and the Borrower by telephone (confirmed by telecopy) of such demand for payment and whether the Issuing Bank has made or will make an LC Disbursement thereunder;</w:t>
      </w:r>
    </w:p>
    <w:p>
      <w:pPr>
        <w:spacing w:after="0" w:line="14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9" w:name="page150"/>
    <w:bookmarkEnd w:id="149"/>
    <w:p>
      <w:pPr>
        <w:spacing w:after="0" w:line="26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failure to give or delay in giving such notice shall not relieve the Borrower of its obligation to reimburse the Issuing Bank and the applicable Lenders with respect to any such LC Disbursement.</w:t>
      </w:r>
    </w:p>
    <w:p>
      <w:pPr>
        <w:spacing w:after="0" w:line="127" w:lineRule="exact"/>
        <w:rPr>
          <w:sz w:val="20"/>
          <w:szCs w:val="20"/>
          <w:color w:val="auto"/>
        </w:rPr>
      </w:pPr>
    </w:p>
    <w:p>
      <w:pPr>
        <w:ind w:right="20" w:firstLine="1410"/>
        <w:spacing w:after="0" w:line="255" w:lineRule="auto"/>
        <w:tabs>
          <w:tab w:leader="none" w:pos="1632"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Interim Interest</w:t>
      </w:r>
      <w:r>
        <w:rPr>
          <w:rFonts w:ascii="Times New Roman" w:cs="Times New Roman" w:eastAsia="Times New Roman" w:hAnsi="Times New Roman"/>
          <w:sz w:val="19"/>
          <w:szCs w:val="19"/>
          <w:color w:val="auto"/>
        </w:rPr>
        <w:t xml:space="preserve">.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Borrower fails to reimburse such LC Disbursement within two Business Days following the date when due pursuant to </w:t>
      </w:r>
      <w:r>
        <w:rPr>
          <w:rFonts w:ascii="Times New Roman" w:cs="Times New Roman" w:eastAsia="Times New Roman" w:hAnsi="Times New Roman"/>
          <w:sz w:val="19"/>
          <w:szCs w:val="19"/>
          <w:u w:val="single" w:color="auto"/>
          <w:color w:val="auto"/>
        </w:rPr>
        <w:t>paragraph (f)</w:t>
      </w:r>
      <w:r>
        <w:rPr>
          <w:rFonts w:ascii="Times New Roman" w:cs="Times New Roman" w:eastAsia="Times New Roman" w:hAnsi="Times New Roman"/>
          <w:sz w:val="19"/>
          <w:szCs w:val="19"/>
          <w:color w:val="auto"/>
        </w:rPr>
        <w:t xml:space="preserve"> of this Section, then the provisions of </w:t>
      </w:r>
      <w:r>
        <w:rPr>
          <w:rFonts w:ascii="Times New Roman" w:cs="Times New Roman" w:eastAsia="Times New Roman" w:hAnsi="Times New Roman"/>
          <w:sz w:val="19"/>
          <w:szCs w:val="19"/>
          <w:u w:val="single" w:color="auto"/>
          <w:color w:val="auto"/>
        </w:rPr>
        <w:t>Section 2.12(d)</w:t>
      </w:r>
      <w:r>
        <w:rPr>
          <w:rFonts w:ascii="Times New Roman" w:cs="Times New Roman" w:eastAsia="Times New Roman" w:hAnsi="Times New Roman"/>
          <w:sz w:val="19"/>
          <w:szCs w:val="19"/>
          <w:color w:val="auto"/>
        </w:rPr>
        <w:t xml:space="preserve"> shall apply. Interest accrued pursuant to this paragraph shall be for account of the Issuing Bank, except that interest accrued on and after the date of payment by any Lender pursuant to </w:t>
      </w:r>
      <w:r>
        <w:rPr>
          <w:rFonts w:ascii="Times New Roman" w:cs="Times New Roman" w:eastAsia="Times New Roman" w:hAnsi="Times New Roman"/>
          <w:sz w:val="19"/>
          <w:szCs w:val="19"/>
          <w:u w:val="single" w:color="auto"/>
          <w:color w:val="auto"/>
        </w:rPr>
        <w:t>paragraph (f)</w:t>
      </w:r>
      <w:r>
        <w:rPr>
          <w:rFonts w:ascii="Times New Roman" w:cs="Times New Roman" w:eastAsia="Times New Roman" w:hAnsi="Times New Roman"/>
          <w:sz w:val="19"/>
          <w:szCs w:val="19"/>
          <w:color w:val="auto"/>
        </w:rPr>
        <w:t xml:space="preserve"> of this Section to reimburse the Issuing Bank shall be for account of such Lender to the extent of such payment.</w:t>
      </w:r>
    </w:p>
    <w:p>
      <w:pPr>
        <w:spacing w:after="0" w:line="159" w:lineRule="exact"/>
        <w:rPr>
          <w:rFonts w:ascii="Times New Roman" w:cs="Times New Roman" w:eastAsia="Times New Roman" w:hAnsi="Times New Roman"/>
          <w:sz w:val="19"/>
          <w:szCs w:val="19"/>
          <w:color w:val="auto"/>
        </w:rPr>
      </w:pPr>
    </w:p>
    <w:p>
      <w:pPr>
        <w:ind w:firstLine="1410"/>
        <w:spacing w:after="0" w:line="254" w:lineRule="auto"/>
        <w:tabs>
          <w:tab w:leader="none" w:pos="1632"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Resignation and/or Replacement of Issuing Bank</w:t>
      </w:r>
      <w:r>
        <w:rPr>
          <w:rFonts w:ascii="Times New Roman" w:cs="Times New Roman" w:eastAsia="Times New Roman" w:hAnsi="Times New Roman"/>
          <w:sz w:val="19"/>
          <w:szCs w:val="19"/>
          <w:color w:val="auto"/>
        </w:rPr>
        <w:t xml:space="preserve">. The Issuing Bank may resign and be replaced at any time by written agreement among the Borrower, the Administrative Agent, the resigning Issuing Bank and the successor Issuing Bank. The Administrative Agent shall notify the Lenders of any such resignation and replacement of the Issuing Bank. Upon the effectiveness of any resignation or replacement of the Issuing Bank, the Borrower shall pay all unpaid fees accrued for account of the resigning or replaced Issuing Bank pursuant to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the Issuing Bank under this Agreement with respect to Letters of Credit issued by it prior to such resignation or replacement, but shall not be required to issue additional Letters of Credit.</w:t>
      </w:r>
    </w:p>
    <w:p>
      <w:pPr>
        <w:spacing w:after="0" w:line="157" w:lineRule="exact"/>
        <w:rPr>
          <w:rFonts w:ascii="Times New Roman" w:cs="Times New Roman" w:eastAsia="Times New Roman" w:hAnsi="Times New Roman"/>
          <w:sz w:val="19"/>
          <w:szCs w:val="19"/>
          <w:color w:val="auto"/>
        </w:rPr>
      </w:pPr>
    </w:p>
    <w:p>
      <w:pPr>
        <w:ind w:firstLine="1410"/>
        <w:spacing w:after="0" w:line="254" w:lineRule="auto"/>
        <w:tabs>
          <w:tab w:leader="none" w:pos="168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 Collateralization</w:t>
      </w:r>
      <w:r>
        <w:rPr>
          <w:rFonts w:ascii="Times New Roman" w:cs="Times New Roman" w:eastAsia="Times New Roman" w:hAnsi="Times New Roman"/>
          <w:sz w:val="19"/>
          <w:szCs w:val="19"/>
          <w:color w:val="auto"/>
        </w:rPr>
        <w:t xml:space="preserve">. If the Borrower shall be required to provide Cash Collateral for LC Exposure pursuant to </w:t>
      </w:r>
      <w:r>
        <w:rPr>
          <w:rFonts w:ascii="Times New Roman" w:cs="Times New Roman" w:eastAsia="Times New Roman" w:hAnsi="Times New Roman"/>
          <w:sz w:val="19"/>
          <w:szCs w:val="19"/>
          <w:u w:val="single" w:color="auto"/>
          <w:color w:val="auto"/>
        </w:rPr>
        <w:t>Section 2.05(d)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2.10(b)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2.20(b)</w:t>
      </w:r>
      <w:r>
        <w:rPr>
          <w:rFonts w:ascii="Times New Roman" w:cs="Times New Roman" w:eastAsia="Times New Roman" w:hAnsi="Times New Roman"/>
          <w:sz w:val="19"/>
          <w:szCs w:val="19"/>
          <w:color w:val="auto"/>
        </w:rPr>
        <w:t xml:space="preserve"> or the penultimate paragraph 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the Borrower shall immediately deposit into a segregated collateral account or accounts (herein, collectively, the “</w:t>
      </w:r>
      <w:r>
        <w:rPr>
          <w:rFonts w:ascii="Times New Roman" w:cs="Times New Roman" w:eastAsia="Times New Roman" w:hAnsi="Times New Roman"/>
          <w:sz w:val="19"/>
          <w:szCs w:val="19"/>
          <w:u w:val="single" w:color="auto"/>
          <w:color w:val="auto"/>
        </w:rPr>
        <w:t>Letter of Credit Collateral Account</w:t>
      </w:r>
      <w:r>
        <w:rPr>
          <w:rFonts w:ascii="Times New Roman" w:cs="Times New Roman" w:eastAsia="Times New Roman" w:hAnsi="Times New Roman"/>
          <w:sz w:val="19"/>
          <w:szCs w:val="19"/>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Times New Roman" w:cs="Times New Roman" w:eastAsia="Times New Roman" w:hAnsi="Times New Roman"/>
          <w:sz w:val="19"/>
          <w:szCs w:val="19"/>
          <w:u w:val="single" w:color="auto"/>
          <w:color w:val="auto"/>
        </w:rPr>
        <w:t>Section 2.05(d)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2.10(b)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2.20(b)</w:t>
      </w:r>
      <w:r>
        <w:rPr>
          <w:rFonts w:ascii="Times New Roman" w:cs="Times New Roman" w:eastAsia="Times New Roman" w:hAnsi="Times New Roman"/>
          <w:sz w:val="19"/>
          <w:szCs w:val="19"/>
          <w:color w:val="auto"/>
        </w:rPr>
        <w:t xml:space="preserve"> or the penultimate paragraph 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15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0" w:name="page151"/>
    <w:bookmarkEnd w:id="150"/>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2.06. </w:t>
      </w:r>
      <w:r>
        <w:rPr>
          <w:rFonts w:ascii="Times New Roman" w:cs="Times New Roman" w:eastAsia="Times New Roman" w:hAnsi="Times New Roman"/>
          <w:sz w:val="19"/>
          <w:szCs w:val="19"/>
          <w:u w:val="single" w:color="auto"/>
          <w:color w:val="auto"/>
        </w:rPr>
        <w:t>Funding of Borrowings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60" w:firstLine="1410"/>
        <w:spacing w:after="0" w:line="256" w:lineRule="auto"/>
        <w:tabs>
          <w:tab w:leader="none" w:pos="1668"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Funding by Lenders</w:t>
      </w:r>
      <w:r>
        <w:rPr>
          <w:rFonts w:ascii="Times New Roman" w:cs="Times New Roman" w:eastAsia="Times New Roman" w:hAnsi="Times New Roman"/>
          <w:sz w:val="19"/>
          <w:szCs w:val="19"/>
          <w:color w:val="auto"/>
        </w:rPr>
        <w:t xml:space="preserve">. Each Lender shall make each Loan to be made by it hereunder on the proposed date thereof by wire transfer of immediately available funds by 11:00 a.m., New York City time, to the account of the Administrative Agent most recently designated by it for such purpose by notice to the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Swingline Loans shall be made as provided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2.04</w:t>
      </w:r>
      <w:r>
        <w:rPr>
          <w:rFonts w:ascii="Times New Roman" w:cs="Times New Roman" w:eastAsia="Times New Roman" w:hAnsi="Times New Roman"/>
          <w:sz w:val="19"/>
          <w:szCs w:val="19"/>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Syndicated ABR Borrowings made to finance the reimbursement of an LC Disbursement as provided in </w:t>
      </w:r>
      <w:r>
        <w:rPr>
          <w:rFonts w:ascii="Times New Roman" w:cs="Times New Roman" w:eastAsia="Times New Roman" w:hAnsi="Times New Roman"/>
          <w:sz w:val="19"/>
          <w:szCs w:val="19"/>
          <w:u w:val="single" w:color="auto"/>
          <w:color w:val="auto"/>
        </w:rPr>
        <w:t>Section 2.05(f)</w:t>
      </w:r>
      <w:r>
        <w:rPr>
          <w:rFonts w:ascii="Times New Roman" w:cs="Times New Roman" w:eastAsia="Times New Roman" w:hAnsi="Times New Roman"/>
          <w:sz w:val="19"/>
          <w:szCs w:val="19"/>
          <w:color w:val="auto"/>
        </w:rPr>
        <w:t xml:space="preserve"> shall be remitted by the Administrative Agent to the Issuing Bank.</w:t>
      </w:r>
    </w:p>
    <w:p>
      <w:pPr>
        <w:spacing w:after="0" w:line="157" w:lineRule="exact"/>
        <w:rPr>
          <w:rFonts w:ascii="Times New Roman" w:cs="Times New Roman" w:eastAsia="Times New Roman" w:hAnsi="Times New Roman"/>
          <w:sz w:val="19"/>
          <w:szCs w:val="19"/>
          <w:color w:val="auto"/>
        </w:rPr>
      </w:pPr>
    </w:p>
    <w:p>
      <w:pPr>
        <w:ind w:right="120" w:firstLine="1410"/>
        <w:spacing w:after="0" w:line="253" w:lineRule="auto"/>
        <w:tabs>
          <w:tab w:leader="none" w:pos="168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Presumption by the Administrative Agent</w:t>
      </w:r>
      <w:r>
        <w:rPr>
          <w:rFonts w:ascii="Times New Roman" w:cs="Times New Roman" w:eastAsia="Times New Roman" w:hAnsi="Times New Roman"/>
          <w:sz w:val="19"/>
          <w:szCs w:val="19"/>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the corresponding Currency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at the time to ABR Loans in the case of a Dollar Borrowing or the interest rate applicable to such Borrowing in the case of a Multicurrency Borrowing.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16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2.07. </w:t>
      </w:r>
      <w:r>
        <w:rPr>
          <w:rFonts w:ascii="Times New Roman" w:cs="Times New Roman" w:eastAsia="Times New Roman" w:hAnsi="Times New Roman"/>
          <w:sz w:val="19"/>
          <w:szCs w:val="19"/>
          <w:u w:val="single" w:color="auto"/>
          <w:color w:val="auto"/>
        </w:rPr>
        <w:t>Interest Elections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410"/>
        <w:spacing w:after="0" w:line="254" w:lineRule="auto"/>
        <w:tabs>
          <w:tab w:leader="none" w:pos="1668"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Elections by the Borrower for Syndicated Borrowings</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2.03(d)</w:t>
      </w:r>
      <w:r>
        <w:rPr>
          <w:rFonts w:ascii="Times New Roman" w:cs="Times New Roman" w:eastAsia="Times New Roman" w:hAnsi="Times New Roman"/>
          <w:sz w:val="19"/>
          <w:szCs w:val="19"/>
          <w:color w:val="auto"/>
        </w:rPr>
        <w:t xml:space="preserve">, the Loans constituting each Syndicated Borrowing initially shall be of the Type specified in the applicable Borrowing Request and, in the case of a Term Benchmark Borrowing or RFR Borrowing, shall have the Interest Period specified in such Borrowing Request. Thereafter, the Borrower may elect to convert such Borrowing to a Borrowing of a different Type or to continue such Borrowing as a Borrowing of the same Type and, in the case of a Term Benchmark Borrowing or RFR Borrowing, may elect the Interest Period therefor, all as provided in this Section;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 a Syndicated Borrowing of a Class may only be continued or converted into a Syndicated Borrowing of the same Class, (ii) a Syndicated Borrowing denominated in one Currency may not be continued as, or converted to, a Syndicated Borrowing in a different Currency, (iii) no Term Benchmark Borrowing or RFR Borrowing denominated in a Foreign Currency or RFR Borrowing may be continued if, after giving effect thereto, the aggregate Revolving Multicurrency Credit Exposures would exceed the aggregate Multicurrency</w:t>
      </w:r>
    </w:p>
    <w:p>
      <w:pPr>
        <w:spacing w:after="0" w:line="15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51" w:name="page152"/>
    <w:bookmarkEnd w:id="151"/>
    <w:p>
      <w:pPr>
        <w:spacing w:after="0" w:line="26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auto"/>
        </w:rPr>
        <w:t xml:space="preserve">Commitments, and (iv) a Term Benchmark Borrowing or RFR Borrowing denominated in a Foreign Currency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w:t>
      </w:r>
      <w:r>
        <w:rPr>
          <w:rFonts w:ascii="Times New Roman" w:cs="Times New Roman" w:eastAsia="Times New Roman" w:hAnsi="Times New Roman"/>
          <w:sz w:val="19"/>
          <w:szCs w:val="19"/>
          <w:u w:val="single" w:color="auto"/>
          <w:color w:val="auto"/>
        </w:rPr>
        <w:t>Section 2.07(a)</w:t>
      </w:r>
      <w:r>
        <w:rPr>
          <w:rFonts w:ascii="Times New Roman" w:cs="Times New Roman" w:eastAsia="Times New Roman" w:hAnsi="Times New Roman"/>
          <w:sz w:val="19"/>
          <w:szCs w:val="19"/>
          <w:color w:val="auto"/>
        </w:rPr>
        <w:t xml:space="preserve"> shall not apply to Swingline Loans, which may not be converted or continued.</w:t>
      </w:r>
    </w:p>
    <w:p>
      <w:pPr>
        <w:spacing w:after="0" w:line="154" w:lineRule="exact"/>
        <w:rPr>
          <w:sz w:val="20"/>
          <w:szCs w:val="20"/>
          <w:color w:val="auto"/>
        </w:rPr>
      </w:pPr>
    </w:p>
    <w:p>
      <w:pPr>
        <w:ind w:right="300" w:firstLine="1410"/>
        <w:spacing w:after="0" w:line="257" w:lineRule="auto"/>
        <w:tabs>
          <w:tab w:leader="none" w:pos="168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Elections</w:t>
      </w:r>
      <w:r>
        <w:rPr>
          <w:rFonts w:ascii="Times New Roman" w:cs="Times New Roman" w:eastAsia="Times New Roman" w:hAnsi="Times New Roman"/>
          <w:sz w:val="19"/>
          <w:szCs w:val="19"/>
          <w:color w:val="auto"/>
        </w:rPr>
        <w:t xml:space="preserve">. To make an election pursuant to this </w:t>
      </w:r>
      <w:r>
        <w:rPr>
          <w:rFonts w:ascii="Times New Roman" w:cs="Times New Roman" w:eastAsia="Times New Roman" w:hAnsi="Times New Roman"/>
          <w:sz w:val="19"/>
          <w:szCs w:val="19"/>
          <w:u w:val="single" w:color="auto"/>
          <w:color w:val="auto"/>
        </w:rPr>
        <w:t>Section 2.07</w:t>
      </w:r>
      <w:r>
        <w:rPr>
          <w:rFonts w:ascii="Times New Roman" w:cs="Times New Roman" w:eastAsia="Times New Roman" w:hAnsi="Times New Roman"/>
          <w:sz w:val="19"/>
          <w:szCs w:val="19"/>
          <w:color w:val="auto"/>
        </w:rPr>
        <w:t xml:space="preserve">, the Borrower shall notify the Administrative Agent of such election by telephone by the time that a Borrowing Request would be required under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156" w:lineRule="exact"/>
        <w:rPr>
          <w:rFonts w:ascii="Times New Roman" w:cs="Times New Roman" w:eastAsia="Times New Roman" w:hAnsi="Times New Roman"/>
          <w:sz w:val="19"/>
          <w:szCs w:val="19"/>
          <w:color w:val="auto"/>
        </w:rPr>
      </w:pPr>
    </w:p>
    <w:p>
      <w:pPr>
        <w:ind w:right="480" w:firstLine="1410"/>
        <w:spacing w:after="0" w:line="286" w:lineRule="auto"/>
        <w:tabs>
          <w:tab w:leader="none" w:pos="1668"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Content of Interest Election Requests</w:t>
      </w:r>
      <w:r>
        <w:rPr>
          <w:rFonts w:ascii="Times New Roman" w:cs="Times New Roman" w:eastAsia="Times New Roman" w:hAnsi="Times New Roman"/>
          <w:sz w:val="19"/>
          <w:szCs w:val="19"/>
          <w:color w:val="auto"/>
        </w:rPr>
        <w:t xml:space="preserve">. Each telephonic and written Interest Election Request shall specify the following information in compliance with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auto"/>
        </w:rPr>
      </w:pPr>
    </w:p>
    <w:p>
      <w:pPr>
        <w:ind w:left="700" w:right="20" w:firstLine="746"/>
        <w:spacing w:after="0" w:line="262" w:lineRule="auto"/>
        <w:tabs>
          <w:tab w:leader="none" w:pos="1673"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Borrowing (including the Class)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19"/>
          <w:szCs w:val="19"/>
          <w:u w:val="single" w:color="auto"/>
          <w:color w:val="auto"/>
        </w:rPr>
        <w:t>clauses (iii)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(iv)</w:t>
      </w:r>
      <w:r>
        <w:rPr>
          <w:rFonts w:ascii="Times New Roman" w:cs="Times New Roman" w:eastAsia="Times New Roman" w:hAnsi="Times New Roman"/>
          <w:sz w:val="19"/>
          <w:szCs w:val="19"/>
          <w:color w:val="auto"/>
        </w:rPr>
        <w:t xml:space="preserve"> of this paragraph shall be specified for each resulting Borrowing);</w:t>
      </w:r>
    </w:p>
    <w:p>
      <w:pPr>
        <w:spacing w:after="0" w:line="150" w:lineRule="exact"/>
        <w:rPr>
          <w:rFonts w:ascii="Times New Roman" w:cs="Times New Roman" w:eastAsia="Times New Roman" w:hAnsi="Times New Roman"/>
          <w:sz w:val="19"/>
          <w:szCs w:val="19"/>
          <w:color w:val="auto"/>
        </w:rPr>
      </w:pPr>
    </w:p>
    <w:p>
      <w:pPr>
        <w:ind w:left="1720" w:hanging="274"/>
        <w:spacing w:after="0"/>
        <w:tabs>
          <w:tab w:leader="none" w:pos="1720"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effective date of the election made pursuant to such Interest Election Request, which shall be a Business Day;</w:t>
      </w:r>
    </w:p>
    <w:p>
      <w:pPr>
        <w:spacing w:after="0" w:line="201" w:lineRule="exact"/>
        <w:rPr>
          <w:rFonts w:ascii="Times New Roman" w:cs="Times New Roman" w:eastAsia="Times New Roman" w:hAnsi="Times New Roman"/>
          <w:sz w:val="19"/>
          <w:szCs w:val="19"/>
          <w:color w:val="auto"/>
        </w:rPr>
      </w:pPr>
    </w:p>
    <w:p>
      <w:pPr>
        <w:ind w:left="700" w:right="120" w:firstLine="746"/>
        <w:spacing w:after="0" w:line="286" w:lineRule="auto"/>
        <w:tabs>
          <w:tab w:leader="none" w:pos="1780"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in the case of a Borrowing denominated in Dollars, the resulting Borrowing is to be an ABR Borrowing or a Term Benchmark Borrowing; and</w:t>
      </w:r>
    </w:p>
    <w:p>
      <w:pPr>
        <w:spacing w:after="0" w:line="127" w:lineRule="exact"/>
        <w:rPr>
          <w:rFonts w:ascii="Times New Roman" w:cs="Times New Roman" w:eastAsia="Times New Roman" w:hAnsi="Times New Roman"/>
          <w:sz w:val="19"/>
          <w:szCs w:val="19"/>
          <w:color w:val="auto"/>
        </w:rPr>
      </w:pPr>
    </w:p>
    <w:p>
      <w:pPr>
        <w:ind w:left="700" w:right="40" w:firstLine="746"/>
        <w:spacing w:after="0" w:line="268" w:lineRule="auto"/>
        <w:tabs>
          <w:tab w:leader="none" w:pos="1769"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resulting Borrowing is a Term Benchmark Borrowing or RFR Borrowing, the Interest Period therefor after giving effect to such election, which shall be a period contemplated by the definition of the term “Interest Period” and permitted under </w:t>
      </w:r>
      <w:r>
        <w:rPr>
          <w:rFonts w:ascii="Times New Roman" w:cs="Times New Roman" w:eastAsia="Times New Roman" w:hAnsi="Times New Roman"/>
          <w:sz w:val="19"/>
          <w:szCs w:val="19"/>
          <w:u w:val="single" w:color="auto"/>
          <w:color w:val="auto"/>
        </w:rPr>
        <w:t>Section 2.02(d)</w:t>
      </w:r>
      <w:r>
        <w:rPr>
          <w:rFonts w:ascii="Times New Roman" w:cs="Times New Roman" w:eastAsia="Times New Roman" w:hAnsi="Times New Roman"/>
          <w:sz w:val="19"/>
          <w:szCs w:val="19"/>
          <w:color w:val="auto"/>
        </w:rPr>
        <w:t>.</w:t>
      </w:r>
    </w:p>
    <w:p>
      <w:pPr>
        <w:spacing w:after="0" w:line="144" w:lineRule="exact"/>
        <w:rPr>
          <w:rFonts w:ascii="Times New Roman" w:cs="Times New Roman" w:eastAsia="Times New Roman" w:hAnsi="Times New Roman"/>
          <w:sz w:val="19"/>
          <w:szCs w:val="19"/>
          <w:color w:val="auto"/>
        </w:rPr>
      </w:pPr>
    </w:p>
    <w:p>
      <w:pPr>
        <w:ind w:right="20" w:firstLine="1410"/>
        <w:spacing w:after="0" w:line="277" w:lineRule="auto"/>
        <w:tabs>
          <w:tab w:leader="none" w:pos="168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by the Administrative Agent to the Lenders</w:t>
      </w:r>
      <w:r>
        <w:rPr>
          <w:rFonts w:ascii="Times New Roman" w:cs="Times New Roman" w:eastAsia="Times New Roman" w:hAnsi="Times New Roman"/>
          <w:sz w:val="19"/>
          <w:szCs w:val="19"/>
          <w:color w:val="auto"/>
        </w:rPr>
        <w:t>. Promptly following receipt of an Interest Election Request, the Administrative Agent shall advise each applicable Lender of the details thereof and of such Lender’s portion of each resulting Borrowing.</w:t>
      </w:r>
    </w:p>
    <w:p>
      <w:pPr>
        <w:spacing w:after="0" w:line="371" w:lineRule="exact"/>
        <w:rPr>
          <w:rFonts w:ascii="Times New Roman" w:cs="Times New Roman" w:eastAsia="Times New Roman" w:hAnsi="Times New Roman"/>
          <w:sz w:val="19"/>
          <w:szCs w:val="19"/>
          <w:color w:val="auto"/>
        </w:rPr>
      </w:pPr>
    </w:p>
    <w:p>
      <w:pPr>
        <w:ind w:firstLine="1410"/>
        <w:spacing w:after="0" w:line="259" w:lineRule="auto"/>
        <w:tabs>
          <w:tab w:leader="none" w:pos="1668"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Failure to Elect; Events of Default</w:t>
      </w:r>
      <w:r>
        <w:rPr>
          <w:rFonts w:ascii="Times New Roman" w:cs="Times New Roman" w:eastAsia="Times New Roman" w:hAnsi="Times New Roman"/>
          <w:sz w:val="19"/>
          <w:szCs w:val="19"/>
          <w:color w:val="auto"/>
        </w:rPr>
        <w:t>. If the Borrower fails to deliver a timely and complete Interest Election Request with respect to a Term Benchmark Borrowing or RFR Borrowing prior to the end of the Interest Period therefor, then, unless such Borrowing is repaid as provided herein, (i) if such Borrowing is denominated in Dollars, at the end of such Interest Period such Borrowing shall be converted to a Syndicated Term Benchmark Borrowing of the same Class having an Interest Period of one month, and (ii) if such Borrowing is denominated in a Foreign Currency, the Borrower shall be deemed to have selected an Interest Period of one</w:t>
      </w:r>
    </w:p>
    <w:p>
      <w:pPr>
        <w:spacing w:after="0" w:line="15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52" w:name="page153"/>
    <w:bookmarkEnd w:id="152"/>
    <w:p>
      <w:pPr>
        <w:spacing w:after="0" w:line="269"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9"/>
          <w:szCs w:val="19"/>
          <w:color w:val="auto"/>
        </w:rPr>
        <w:t>month’s duration. Notwithstanding any contrary provision hereof, if an Event of Default has occurred and is continuing and the Administrative Agent, at the request of the Required Lenders, so notifies the Borrower, (i) any Term Benchmark Borrowing denominated in Dollars shall, at the end of the applicable Interest Period for such Term Benchmark Borrowing, be automatically converted to an ABR Borrowing and (ii) any Term Benchmark Borrowing or RFR Borrowing denominated in a Foreign Currency shall not have an Interest Period of more than one month’s duration.</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2.08. </w:t>
      </w:r>
      <w:r>
        <w:rPr>
          <w:rFonts w:ascii="Times New Roman" w:cs="Times New Roman" w:eastAsia="Times New Roman" w:hAnsi="Times New Roman"/>
          <w:sz w:val="19"/>
          <w:szCs w:val="19"/>
          <w:u w:val="single" w:color="auto"/>
          <w:color w:val="auto"/>
        </w:rPr>
        <w:t>Termination, Reduction or Increase of the Commitments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right="20" w:firstLine="1410"/>
        <w:spacing w:after="0" w:line="262" w:lineRule="auto"/>
        <w:tabs>
          <w:tab w:leader="none" w:pos="1668"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Scheduled Termination</w:t>
      </w:r>
      <w:r>
        <w:rPr>
          <w:rFonts w:ascii="Times New Roman" w:cs="Times New Roman" w:eastAsia="Times New Roman" w:hAnsi="Times New Roman"/>
          <w:sz w:val="19"/>
          <w:szCs w:val="19"/>
          <w:color w:val="auto"/>
        </w:rPr>
        <w:t>. Unless previously terminated, the Commitments of each Extending Lender with respect to such Extending Lender’s Extended Loans shall terminate on the Extended Commitment Termination Date and the Commitments of each Non-Extending Lender with respect to such Non-Extending Lender’s Non-Extended Loans shall terminate on the Non-Extended Commitment Termination Date for such Non-Extending Lender.</w:t>
      </w:r>
    </w:p>
    <w:p>
      <w:pPr>
        <w:spacing w:after="0" w:line="150" w:lineRule="exact"/>
        <w:rPr>
          <w:rFonts w:ascii="Times New Roman" w:cs="Times New Roman" w:eastAsia="Times New Roman" w:hAnsi="Times New Roman"/>
          <w:sz w:val="19"/>
          <w:szCs w:val="19"/>
          <w:color w:val="auto"/>
        </w:rPr>
      </w:pPr>
    </w:p>
    <w:p>
      <w:pPr>
        <w:ind w:right="40" w:firstLine="1410"/>
        <w:spacing w:after="0" w:line="256" w:lineRule="auto"/>
        <w:tabs>
          <w:tab w:leader="none" w:pos="168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Termination or Reduction</w:t>
      </w:r>
      <w:r>
        <w:rPr>
          <w:rFonts w:ascii="Times New Roman" w:cs="Times New Roman" w:eastAsia="Times New Roman" w:hAnsi="Times New Roman"/>
          <w:sz w:val="19"/>
          <w:szCs w:val="19"/>
          <w:color w:val="auto"/>
        </w:rPr>
        <w:t xml:space="preserve">. The Borrower may at any time terminate, or from time to time reduce, the Commitments of either Class;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each reduction of the Commitments of a Class shall be in an amount that is $25,000,000 or a larger multiple of $5,000,000 in excess thereof and (ii) the Borrower shall not terminate or reduce the Commitments of either Class if, after giving effect to any concurrent prepayment of the Syndicated Loans of such Class in accordance with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the total Revolving Credit Exposures of such Class would exceed the total Commitments of such Class. Any such reduction of the Commitments below the principal amount of the Swingline Loans permitted under </w:t>
      </w:r>
      <w:r>
        <w:rPr>
          <w:rFonts w:ascii="Times New Roman" w:cs="Times New Roman" w:eastAsia="Times New Roman" w:hAnsi="Times New Roman"/>
          <w:sz w:val="19"/>
          <w:szCs w:val="19"/>
          <w:u w:val="single" w:color="auto"/>
          <w:color w:val="auto"/>
        </w:rPr>
        <w:t>Section 2.04(a)(i)</w:t>
      </w:r>
      <w:r>
        <w:rPr>
          <w:rFonts w:ascii="Times New Roman" w:cs="Times New Roman" w:eastAsia="Times New Roman" w:hAnsi="Times New Roman"/>
          <w:sz w:val="19"/>
          <w:szCs w:val="19"/>
          <w:color w:val="auto"/>
        </w:rPr>
        <w:t xml:space="preserve"> and the Letters of Credit permitted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2.05(c)(i)</w:t>
      </w:r>
      <w:r>
        <w:rPr>
          <w:rFonts w:ascii="Times New Roman" w:cs="Times New Roman" w:eastAsia="Times New Roman" w:hAnsi="Times New Roman"/>
          <w:sz w:val="19"/>
          <w:szCs w:val="19"/>
          <w:color w:val="auto"/>
        </w:rPr>
        <w:t xml:space="preserve"> shall result in a dollar-for-dollar reduction of such amounts as applicable.</w:t>
      </w:r>
    </w:p>
    <w:p>
      <w:pPr>
        <w:spacing w:after="0" w:line="157" w:lineRule="exact"/>
        <w:rPr>
          <w:rFonts w:ascii="Times New Roman" w:cs="Times New Roman" w:eastAsia="Times New Roman" w:hAnsi="Times New Roman"/>
          <w:sz w:val="19"/>
          <w:szCs w:val="19"/>
          <w:color w:val="auto"/>
        </w:rPr>
      </w:pPr>
    </w:p>
    <w:p>
      <w:pPr>
        <w:ind w:right="80" w:firstLine="1410"/>
        <w:spacing w:after="0" w:line="256" w:lineRule="auto"/>
        <w:tabs>
          <w:tab w:leader="none" w:pos="1668"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Voluntary Termination or Reduction</w:t>
      </w:r>
      <w:r>
        <w:rPr>
          <w:rFonts w:ascii="Times New Roman" w:cs="Times New Roman" w:eastAsia="Times New Roman" w:hAnsi="Times New Roman"/>
          <w:sz w:val="19"/>
          <w:szCs w:val="19"/>
          <w:color w:val="auto"/>
        </w:rPr>
        <w:t xml:space="preserve">. The Borrower shall notify the Administrative Agent of any election to terminate or reduce the Commitments under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at least two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notice of termination of the Commitments of a Class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157" w:lineRule="exact"/>
        <w:rPr>
          <w:rFonts w:ascii="Times New Roman" w:cs="Times New Roman" w:eastAsia="Times New Roman" w:hAnsi="Times New Roman"/>
          <w:sz w:val="19"/>
          <w:szCs w:val="19"/>
          <w:color w:val="auto"/>
        </w:rPr>
      </w:pPr>
    </w:p>
    <w:p>
      <w:pPr>
        <w:ind w:right="320" w:firstLine="1410"/>
        <w:spacing w:after="0" w:line="262" w:lineRule="auto"/>
        <w:tabs>
          <w:tab w:leader="none" w:pos="168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of Termination or Reduction</w:t>
      </w:r>
      <w:r>
        <w:rPr>
          <w:rFonts w:ascii="Times New Roman" w:cs="Times New Roman" w:eastAsia="Times New Roman" w:hAnsi="Times New Roman"/>
          <w:sz w:val="19"/>
          <w:szCs w:val="19"/>
          <w:color w:val="auto"/>
        </w:rPr>
        <w:t xml:space="preserve">. Any termination or reduction of the Commitments of a Class pursuant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shall be permanent. Each reduction of the Commitments of a Class pursuant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shall be made ratably among the Lenders of such Class (including with respect to (x) Dollar Lenders and Multicurrency Lenders and (y) Extending Lenders and Non-Extending Lenders) in accordance with their respective Commitments.</w:t>
      </w:r>
    </w:p>
    <w:p>
      <w:pPr>
        <w:spacing w:after="0" w:line="14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3" w:name="page154"/>
    <w:bookmarkEnd w:id="153"/>
    <w:p>
      <w:pPr>
        <w:spacing w:after="0" w:line="269" w:lineRule="exact"/>
        <w:rPr>
          <w:sz w:val="20"/>
          <w:szCs w:val="20"/>
          <w:color w:val="auto"/>
        </w:rPr>
      </w:pPr>
    </w:p>
    <w:p>
      <w:pPr>
        <w:ind w:left="980" w:hanging="270"/>
        <w:spacing w:after="0"/>
        <w:tabs>
          <w:tab w:leader="none" w:pos="98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Increase of the Commitments</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right="80" w:firstLine="746"/>
        <w:spacing w:after="0" w:line="256" w:lineRule="auto"/>
        <w:tabs>
          <w:tab w:leader="none" w:pos="972"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Requests for Increase by Borrower</w:t>
      </w:r>
      <w:r>
        <w:rPr>
          <w:rFonts w:ascii="Times New Roman" w:cs="Times New Roman" w:eastAsia="Times New Roman" w:hAnsi="Times New Roman"/>
          <w:sz w:val="19"/>
          <w:szCs w:val="19"/>
          <w:color w:val="auto"/>
        </w:rPr>
        <w:t>. The Borrower may, at any time, request that the Commitments hereunder of a Class be increased (each such proposed increase being a “</w:t>
      </w:r>
      <w:r>
        <w:rPr>
          <w:rFonts w:ascii="Times New Roman" w:cs="Times New Roman" w:eastAsia="Times New Roman" w:hAnsi="Times New Roman"/>
          <w:sz w:val="19"/>
          <w:szCs w:val="19"/>
          <w:u w:val="single" w:color="auto"/>
          <w:color w:val="auto"/>
        </w:rPr>
        <w:t>Commitment Increase</w:t>
      </w:r>
      <w:r>
        <w:rPr>
          <w:rFonts w:ascii="Times New Roman" w:cs="Times New Roman" w:eastAsia="Times New Roman" w:hAnsi="Times New Roman"/>
          <w:sz w:val="19"/>
          <w:szCs w:val="19"/>
          <w:color w:val="auto"/>
        </w:rPr>
        <w:t>”), upon notice to the Administrative Agent (who shall promptly notify the Lenders), which notice shall specify each existing Lender (each an “</w:t>
      </w:r>
      <w:r>
        <w:rPr>
          <w:rFonts w:ascii="Times New Roman" w:cs="Times New Roman" w:eastAsia="Times New Roman" w:hAnsi="Times New Roman"/>
          <w:sz w:val="19"/>
          <w:szCs w:val="19"/>
          <w:u w:val="single" w:color="auto"/>
          <w:color w:val="auto"/>
        </w:rPr>
        <w:t>Increasing Lender</w:t>
      </w:r>
      <w:r>
        <w:rPr>
          <w:rFonts w:ascii="Times New Roman" w:cs="Times New Roman" w:eastAsia="Times New Roman" w:hAnsi="Times New Roman"/>
          <w:sz w:val="19"/>
          <w:szCs w:val="19"/>
          <w:color w:val="auto"/>
        </w:rPr>
        <w:t>”) and/or each additional lender (each an “</w:t>
      </w:r>
      <w:r>
        <w:rPr>
          <w:rFonts w:ascii="Times New Roman" w:cs="Times New Roman" w:eastAsia="Times New Roman" w:hAnsi="Times New Roman"/>
          <w:sz w:val="19"/>
          <w:szCs w:val="19"/>
          <w:u w:val="single" w:color="auto"/>
          <w:color w:val="auto"/>
        </w:rPr>
        <w:t>Assuming Lender</w:t>
      </w:r>
      <w:r>
        <w:rPr>
          <w:rFonts w:ascii="Times New Roman" w:cs="Times New Roman" w:eastAsia="Times New Roman" w:hAnsi="Times New Roman"/>
          <w:sz w:val="19"/>
          <w:szCs w:val="19"/>
          <w:color w:val="auto"/>
        </w:rPr>
        <w:t>”) that shall have agreed to an additional Commitment and the date on which such increase is to be effective (the “</w:t>
      </w:r>
      <w:r>
        <w:rPr>
          <w:rFonts w:ascii="Times New Roman" w:cs="Times New Roman" w:eastAsia="Times New Roman" w:hAnsi="Times New Roman"/>
          <w:sz w:val="19"/>
          <w:szCs w:val="19"/>
          <w:u w:val="single" w:color="auto"/>
          <w:color w:val="auto"/>
        </w:rPr>
        <w:t>Commitment Increase Date</w:t>
      </w:r>
      <w:r>
        <w:rPr>
          <w:rFonts w:ascii="Times New Roman" w:cs="Times New Roman" w:eastAsia="Times New Roman" w:hAnsi="Times New Roman"/>
          <w:sz w:val="19"/>
          <w:szCs w:val="19"/>
          <w:color w:val="auto"/>
        </w:rPr>
        <w:t xml:space="preserve">”), which shall be a Business Day at least three Business Days (or such lesser period as the Administrative Agent may reasonably agree) after delivery of such notice and 30 days prior to the Extended Commitment Termination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57" w:lineRule="exact"/>
        <w:rPr>
          <w:rFonts w:ascii="Times New Roman" w:cs="Times New Roman" w:eastAsia="Times New Roman" w:hAnsi="Times New Roman"/>
          <w:sz w:val="19"/>
          <w:szCs w:val="19"/>
          <w:color w:val="auto"/>
        </w:rPr>
      </w:pPr>
    </w:p>
    <w:p>
      <w:pPr>
        <w:ind w:left="720" w:right="80" w:firstLine="795"/>
        <w:spacing w:after="0" w:line="262" w:lineRule="auto"/>
        <w:tabs>
          <w:tab w:leader="none" w:pos="1839" w:val="left"/>
        </w:tabs>
        <w:numPr>
          <w:ilvl w:val="2"/>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150" w:lineRule="exact"/>
        <w:rPr>
          <w:rFonts w:ascii="Times New Roman" w:cs="Times New Roman" w:eastAsia="Times New Roman" w:hAnsi="Times New Roman"/>
          <w:sz w:val="19"/>
          <w:szCs w:val="19"/>
          <w:color w:val="auto"/>
        </w:rPr>
      </w:pPr>
    </w:p>
    <w:p>
      <w:pPr>
        <w:ind w:left="720" w:right="100" w:firstLine="795"/>
        <w:spacing w:after="0" w:line="268" w:lineRule="auto"/>
        <w:tabs>
          <w:tab w:leader="none" w:pos="1828" w:val="left"/>
        </w:tabs>
        <w:numPr>
          <w:ilvl w:val="2"/>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immediately after giving effect to such Commitment Increase (including, if applicable, the substantially concurrent reduction of the Commitments of a Non-Extending Lender in accordance with </w:t>
      </w:r>
      <w:r>
        <w:rPr>
          <w:rFonts w:ascii="Times New Roman" w:cs="Times New Roman" w:eastAsia="Times New Roman" w:hAnsi="Times New Roman"/>
          <w:sz w:val="19"/>
          <w:szCs w:val="19"/>
          <w:u w:val="single" w:color="auto"/>
          <w:color w:val="auto"/>
        </w:rPr>
        <w:t>Section 2.08(f)</w:t>
      </w:r>
      <w:r>
        <w:rPr>
          <w:rFonts w:ascii="Times New Roman" w:cs="Times New Roman" w:eastAsia="Times New Roman" w:hAnsi="Times New Roman"/>
          <w:sz w:val="19"/>
          <w:szCs w:val="19"/>
          <w:color w:val="auto"/>
        </w:rPr>
        <w:t>), the total Commitments of all of the Lenders hereunder shall not exceed $750,000,000;</w:t>
      </w:r>
    </w:p>
    <w:p>
      <w:pPr>
        <w:spacing w:after="0" w:line="144" w:lineRule="exact"/>
        <w:rPr>
          <w:rFonts w:ascii="Times New Roman" w:cs="Times New Roman" w:eastAsia="Times New Roman" w:hAnsi="Times New Roman"/>
          <w:sz w:val="19"/>
          <w:szCs w:val="19"/>
          <w:color w:val="auto"/>
        </w:rPr>
      </w:pPr>
    </w:p>
    <w:p>
      <w:pPr>
        <w:ind w:left="720" w:right="280" w:firstLine="795"/>
        <w:spacing w:after="0" w:line="286" w:lineRule="auto"/>
        <w:tabs>
          <w:tab w:leader="none" w:pos="1828" w:val="left"/>
        </w:tabs>
        <w:numPr>
          <w:ilvl w:val="2"/>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Assuming Lender shall be consented to by the Administrative Agent and the Issuing Bank (such consent not to be unreasonably withheld);</w:t>
      </w:r>
    </w:p>
    <w:p>
      <w:pPr>
        <w:spacing w:after="0" w:line="127" w:lineRule="exact"/>
        <w:rPr>
          <w:rFonts w:ascii="Times New Roman" w:cs="Times New Roman" w:eastAsia="Times New Roman" w:hAnsi="Times New Roman"/>
          <w:sz w:val="19"/>
          <w:szCs w:val="19"/>
          <w:color w:val="auto"/>
        </w:rPr>
      </w:pPr>
    </w:p>
    <w:p>
      <w:pPr>
        <w:ind w:left="720" w:right="380" w:firstLine="795"/>
        <w:spacing w:after="0" w:line="286" w:lineRule="auto"/>
        <w:tabs>
          <w:tab w:leader="none" w:pos="1839" w:val="left"/>
        </w:tabs>
        <w:numPr>
          <w:ilvl w:val="2"/>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shall have occurred and be continuing on such Commitment Increase Date or shall result from the proposed Commitment Increase; and</w:t>
      </w:r>
    </w:p>
    <w:p>
      <w:pPr>
        <w:spacing w:after="0" w:line="127" w:lineRule="exact"/>
        <w:rPr>
          <w:rFonts w:ascii="Times New Roman" w:cs="Times New Roman" w:eastAsia="Times New Roman" w:hAnsi="Times New Roman"/>
          <w:sz w:val="19"/>
          <w:szCs w:val="19"/>
          <w:color w:val="auto"/>
        </w:rPr>
      </w:pPr>
    </w:p>
    <w:p>
      <w:pPr>
        <w:ind w:left="720" w:right="200" w:firstLine="795"/>
        <w:spacing w:after="0" w:line="259" w:lineRule="auto"/>
        <w:tabs>
          <w:tab w:leader="none" w:pos="1817" w:val="left"/>
        </w:tabs>
        <w:numPr>
          <w:ilvl w:val="2"/>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153" w:lineRule="exact"/>
        <w:rPr>
          <w:rFonts w:ascii="Times New Roman" w:cs="Times New Roman" w:eastAsia="Times New Roman" w:hAnsi="Times New Roman"/>
          <w:sz w:val="19"/>
          <w:szCs w:val="19"/>
          <w:color w:val="auto"/>
        </w:rPr>
      </w:pPr>
    </w:p>
    <w:p>
      <w:pPr>
        <w:ind w:firstLine="746"/>
        <w:spacing w:after="0" w:line="268" w:lineRule="auto"/>
        <w:tabs>
          <w:tab w:leader="none" w:pos="1032"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Effectiveness of Commitment Increase by Borrower</w:t>
      </w:r>
      <w:r>
        <w:rPr>
          <w:rFonts w:ascii="Times New Roman" w:cs="Times New Roman" w:eastAsia="Times New Roman" w:hAnsi="Times New Roman"/>
          <w:sz w:val="19"/>
          <w:szCs w:val="19"/>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44" w:lineRule="exact"/>
        <w:rPr>
          <w:sz w:val="20"/>
          <w:szCs w:val="20"/>
          <w:color w:val="auto"/>
        </w:rPr>
      </w:pPr>
    </w:p>
    <w:p>
      <w:pPr>
        <w:ind w:left="720" w:right="340" w:firstLine="795"/>
        <w:spacing w:after="0" w:line="268" w:lineRule="auto"/>
        <w:tabs>
          <w:tab w:leader="none" w:pos="1796"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on or prior to 11:00 a.m., New York City time, on such Commitment Increase Date (or on or prior to a time on an earlier date specified by the Administrative Agent) a certificate of a duly authorized officer of the Borrower stating that each of the applicable conditions to</w:t>
      </w:r>
    </w:p>
    <w:p>
      <w:pPr>
        <w:spacing w:after="0" w:line="1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545465</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154" w:name="page155"/>
    <w:bookmarkEnd w:id="154"/>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such Commitment Increase set forth in the foregoing </w:t>
      </w:r>
      <w:r>
        <w:rPr>
          <w:rFonts w:ascii="Times New Roman" w:cs="Times New Roman" w:eastAsia="Times New Roman" w:hAnsi="Times New Roman"/>
          <w:sz w:val="19"/>
          <w:szCs w:val="19"/>
          <w:u w:val="single" w:color="auto"/>
          <w:color w:val="auto"/>
        </w:rPr>
        <w:t>paragraph (i)</w:t>
      </w:r>
      <w:r>
        <w:rPr>
          <w:rFonts w:ascii="Times New Roman" w:cs="Times New Roman" w:eastAsia="Times New Roman" w:hAnsi="Times New Roman"/>
          <w:sz w:val="19"/>
          <w:szCs w:val="19"/>
          <w:color w:val="auto"/>
        </w:rPr>
        <w:t xml:space="preserve"> has been satisfied; and</w:t>
      </w:r>
    </w:p>
    <w:p>
      <w:pPr>
        <w:spacing w:after="0" w:line="202" w:lineRule="exact"/>
        <w:rPr>
          <w:sz w:val="20"/>
          <w:szCs w:val="20"/>
          <w:color w:val="auto"/>
        </w:rPr>
      </w:pPr>
    </w:p>
    <w:p>
      <w:pPr>
        <w:ind w:left="1420" w:right="20" w:firstLine="795"/>
        <w:spacing w:after="0" w:line="257" w:lineRule="auto"/>
        <w:tabs>
          <w:tab w:leader="none" w:pos="2496"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Assuming Lender or Increasing Lender shall have delivered to the Administrative Agent, on or prior to 11:00 a.m., New York City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in each case of the respective Class, duly executed by such Assuming Lender and the Borrower and acknowledged by the Administrative Agent.</w:t>
      </w:r>
    </w:p>
    <w:p>
      <w:pPr>
        <w:spacing w:after="0" w:line="157" w:lineRule="exact"/>
        <w:rPr>
          <w:sz w:val="20"/>
          <w:szCs w:val="20"/>
          <w:color w:val="auto"/>
        </w:rPr>
      </w:pPr>
    </w:p>
    <w:p>
      <w:pPr>
        <w:jc w:val="both"/>
        <w:ind w:left="700" w:right="60"/>
        <w:spacing w:after="0" w:line="268" w:lineRule="auto"/>
        <w:rPr>
          <w:sz w:val="20"/>
          <w:szCs w:val="20"/>
          <w:color w:val="auto"/>
        </w:rPr>
      </w:pPr>
      <w:r>
        <w:rPr>
          <w:rFonts w:ascii="Times New Roman" w:cs="Times New Roman" w:eastAsia="Times New Roman" w:hAnsi="Times New Roman"/>
          <w:sz w:val="19"/>
          <w:szCs w:val="19"/>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144" w:lineRule="exact"/>
        <w:rPr>
          <w:sz w:val="20"/>
          <w:szCs w:val="20"/>
          <w:color w:val="auto"/>
        </w:rPr>
      </w:pPr>
    </w:p>
    <w:p>
      <w:pPr>
        <w:ind w:left="700" w:right="180" w:firstLine="746"/>
        <w:spacing w:after="0" w:line="262" w:lineRule="auto"/>
        <w:tabs>
          <w:tab w:leader="none" w:pos="1780"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Recordation into Register</w:t>
      </w:r>
      <w:r>
        <w:rPr>
          <w:rFonts w:ascii="Times New Roman" w:cs="Times New Roman" w:eastAsia="Times New Roman" w:hAnsi="Times New Roman"/>
          <w:sz w:val="19"/>
          <w:szCs w:val="19"/>
          <w:color w:val="auto"/>
        </w:rPr>
        <w:t xml:space="preserve">. Upon its receipt of an agreement referred to in </w:t>
      </w:r>
      <w:r>
        <w:rPr>
          <w:rFonts w:ascii="Times New Roman" w:cs="Times New Roman" w:eastAsia="Times New Roman" w:hAnsi="Times New Roman"/>
          <w:sz w:val="19"/>
          <w:szCs w:val="19"/>
          <w:u w:val="single" w:color="auto"/>
          <w:color w:val="auto"/>
        </w:rPr>
        <w:t>clause (ii)(y)</w:t>
      </w:r>
      <w:r>
        <w:rPr>
          <w:rFonts w:ascii="Times New Roman" w:cs="Times New Roman" w:eastAsia="Times New Roman" w:hAnsi="Times New Roman"/>
          <w:sz w:val="19"/>
          <w:szCs w:val="19"/>
          <w:color w:val="auto"/>
        </w:rPr>
        <w:t xml:space="preserve"> above executed by an Assuming Lender or any Increasing Lender, together with the certificate referred to in </w:t>
      </w:r>
      <w:r>
        <w:rPr>
          <w:rFonts w:ascii="Times New Roman" w:cs="Times New Roman" w:eastAsia="Times New Roman" w:hAnsi="Times New Roman"/>
          <w:sz w:val="19"/>
          <w:szCs w:val="19"/>
          <w:u w:val="single" w:color="auto"/>
          <w:color w:val="auto"/>
        </w:rPr>
        <w:t>clause (ii)(x)</w:t>
      </w:r>
      <w:r>
        <w:rPr>
          <w:rFonts w:ascii="Times New Roman" w:cs="Times New Roman" w:eastAsia="Times New Roman" w:hAnsi="Times New Roman"/>
          <w:sz w:val="19"/>
          <w:szCs w:val="19"/>
          <w:color w:val="auto"/>
        </w:rPr>
        <w:t xml:space="preserve"> above, the Administrative Agent shall, if such agreement has been completed, (x) accept such agreement, (y) record the information contained therein in the Register and (z) give prompt notice thereof to the Borrower.</w:t>
      </w:r>
    </w:p>
    <w:p>
      <w:pPr>
        <w:spacing w:after="0" w:line="150" w:lineRule="exact"/>
        <w:rPr>
          <w:rFonts w:ascii="Times New Roman" w:cs="Times New Roman" w:eastAsia="Times New Roman" w:hAnsi="Times New Roman"/>
          <w:sz w:val="19"/>
          <w:szCs w:val="19"/>
          <w:color w:val="auto"/>
        </w:rPr>
      </w:pPr>
    </w:p>
    <w:p>
      <w:pPr>
        <w:ind w:left="700" w:firstLine="746"/>
        <w:spacing w:after="0" w:line="254" w:lineRule="auto"/>
        <w:tabs>
          <w:tab w:leader="none" w:pos="1768"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Adjustments of Borrowings upon Effectiveness of Increase</w:t>
      </w:r>
      <w:r>
        <w:rPr>
          <w:rFonts w:ascii="Times New Roman" w:cs="Times New Roman" w:eastAsia="Times New Roman" w:hAnsi="Times New Roman"/>
          <w:sz w:val="19"/>
          <w:szCs w:val="19"/>
          <w:color w:val="auto"/>
        </w:rPr>
        <w:t xml:space="preserve">. On the Commitment Increase Date, the Borrower shall (A) prepay the outstanding Loans (if any) of the affected Class in full, (B) simultaneously borrow new Loans of such Class hereunder in an amount equal to such prepayment;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w:t>
      </w:r>
      <w:r>
        <w:rPr>
          <w:rFonts w:ascii="Times New Roman" w:cs="Times New Roman" w:eastAsia="Times New Roman" w:hAnsi="Times New Roman"/>
          <w:sz w:val="19"/>
          <w:szCs w:val="19"/>
          <w:u w:val="single" w:color="auto"/>
          <w:color w:val="auto"/>
        </w:rPr>
        <w:t>subclauses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as a result of any such prepayment. Concurrently therewith, the Lenders of such Class shall be deemed to have adjusted their participation interests in any outstanding Letters of Credit of such Class so that such interests are held ratably in accordance with their commitments of such Class as so increased.</w:t>
      </w:r>
    </w:p>
    <w:p>
      <w:pPr>
        <w:spacing w:after="0" w:line="157" w:lineRule="exact"/>
        <w:rPr>
          <w:rFonts w:ascii="Times New Roman" w:cs="Times New Roman" w:eastAsia="Times New Roman" w:hAnsi="Times New Roman"/>
          <w:sz w:val="19"/>
          <w:szCs w:val="19"/>
          <w:color w:val="auto"/>
        </w:rPr>
      </w:pPr>
    </w:p>
    <w:p>
      <w:pPr>
        <w:ind w:left="1660" w:hanging="250"/>
        <w:spacing w:after="0"/>
        <w:tabs>
          <w:tab w:leader="none" w:pos="166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Reduction of Non-Extending Lenders’ Commitment</w:t>
      </w:r>
      <w:r>
        <w:rPr>
          <w:rFonts w:ascii="Times New Roman" w:cs="Times New Roman" w:eastAsia="Times New Roman" w:hAnsi="Times New Roman"/>
          <w:sz w:val="19"/>
          <w:szCs w:val="19"/>
          <w:color w:val="auto"/>
        </w:rPr>
        <w:t>. Notwithstanding anything to the contrary herein (including</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2.08(d)</w:t>
      </w:r>
      <w:r>
        <w:rPr>
          <w:rFonts w:ascii="Times New Roman" w:cs="Times New Roman" w:eastAsia="Times New Roman" w:hAnsi="Times New Roman"/>
          <w:sz w:val="19"/>
          <w:szCs w:val="19"/>
          <w:color w:val="auto"/>
        </w:rPr>
        <w:t>):</w:t>
      </w:r>
    </w:p>
    <w:p>
      <w:pPr>
        <w:spacing w:after="0" w:line="179" w:lineRule="exact"/>
        <w:rPr>
          <w:rFonts w:ascii="Times New Roman" w:cs="Times New Roman" w:eastAsia="Times New Roman" w:hAnsi="Times New Roman"/>
          <w:sz w:val="19"/>
          <w:szCs w:val="19"/>
          <w:color w:val="auto"/>
        </w:rPr>
      </w:pPr>
    </w:p>
    <w:p>
      <w:pPr>
        <w:ind w:left="700" w:right="200" w:firstLine="746"/>
        <w:spacing w:after="0" w:line="268" w:lineRule="auto"/>
        <w:tabs>
          <w:tab w:leader="none" w:pos="1673"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may at any time no Default or Event of Default exists (x) in connection with any Commitment Increase under Section 2.08(e), terminate, or from time to time reduce, the Commitment of any Non-Extending Lender (by an amount not to exceed</w:t>
      </w:r>
    </w:p>
    <w:p>
      <w:pPr>
        <w:spacing w:after="0" w:line="1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5" w:name="page156"/>
    <w:bookmarkEnd w:id="155"/>
    <w:p>
      <w:pPr>
        <w:spacing w:after="0" w:line="269" w:lineRule="exact"/>
        <w:rPr>
          <w:sz w:val="20"/>
          <w:szCs w:val="20"/>
          <w:color w:val="auto"/>
        </w:rPr>
      </w:pPr>
    </w:p>
    <w:p>
      <w:pPr>
        <w:ind w:left="700" w:right="20"/>
        <w:spacing w:after="0" w:line="259" w:lineRule="auto"/>
        <w:rPr>
          <w:sz w:val="20"/>
          <w:szCs w:val="20"/>
          <w:color w:val="auto"/>
        </w:rPr>
      </w:pPr>
      <w:r>
        <w:rPr>
          <w:rFonts w:ascii="Times New Roman" w:cs="Times New Roman" w:eastAsia="Times New Roman" w:hAnsi="Times New Roman"/>
          <w:sz w:val="19"/>
          <w:szCs w:val="19"/>
          <w:color w:val="auto"/>
        </w:rPr>
        <w:t xml:space="preserve">the amount of such Commitment Increase) without reducing the Commitments of any other Lender or (y) at any time after a Non-Extending Lender’s Non-Extended Commitment Termination Date, prepay the Loans of such Non-Extending Lender without prepaying the Loans of any other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reduction of the Commitment or prepayment of Loans of a Non-Extending Lender hereunder shall be in an amount that is $10,000,000 or a larger multiple of $5,000,000 in excess thereof (or, in each case, the entire Commitment or outstanding Loans of such Non-Extending Lender, as applicable).</w:t>
      </w:r>
    </w:p>
    <w:p>
      <w:pPr>
        <w:spacing w:after="0" w:line="154" w:lineRule="exact"/>
        <w:rPr>
          <w:sz w:val="20"/>
          <w:szCs w:val="20"/>
          <w:color w:val="auto"/>
        </w:rPr>
      </w:pPr>
    </w:p>
    <w:p>
      <w:pPr>
        <w:ind w:left="700" w:right="160" w:firstLine="746"/>
        <w:spacing w:after="0" w:line="255" w:lineRule="auto"/>
        <w:tabs>
          <w:tab w:leader="none" w:pos="1727"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notify the Administrative Agent of any election to terminate or reduce the Commitment or prepay the Loans of any Non-Extending Lender under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at least two Business Days prior to (x) the related Commitment Increase Date in the case of any termination or reduction or (y) the effective date of such prepayment, in each case, specifying such election and the related Commitment Increase Date or effective date thereof, as applicable. Promptly following receipt of any notice, the Administrative Agent shall advise each Lender of the contents thereof. Each notice delivered by the Borrower pursuant to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shall be irrevocable;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notice of termination may state that such notice is conditioned upon the effectiveness of the related Commitment Increase, in which case such notice may be revoked by the Borrower (by notice to the Administrative Agent on or prior to the specified effective date) if such condition is not satisfied.</w:t>
      </w:r>
    </w:p>
    <w:p>
      <w:pPr>
        <w:spacing w:after="0" w:line="155" w:lineRule="exact"/>
        <w:rPr>
          <w:rFonts w:ascii="Times New Roman" w:cs="Times New Roman" w:eastAsia="Times New Roman" w:hAnsi="Times New Roman"/>
          <w:sz w:val="19"/>
          <w:szCs w:val="19"/>
          <w:color w:val="auto"/>
        </w:rPr>
      </w:pPr>
    </w:p>
    <w:p>
      <w:pPr>
        <w:jc w:val="both"/>
        <w:ind w:left="700" w:firstLine="746"/>
        <w:spacing w:after="0" w:line="268" w:lineRule="auto"/>
        <w:tabs>
          <w:tab w:leader="none" w:pos="178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termination or reduction of the Commitment or prepayment of Loans of any Non-Extending Lender pursuant to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shall be permanent and, if applicable in connection with any termination or reduction of Commitments, shall be made concurrently with all required reallocation prepayments and cash collateralizations required under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2.09. </w:t>
      </w:r>
      <w:r>
        <w:rPr>
          <w:rFonts w:ascii="Times New Roman" w:cs="Times New Roman" w:eastAsia="Times New Roman" w:hAnsi="Times New Roman"/>
          <w:sz w:val="19"/>
          <w:szCs w:val="19"/>
          <w:u w:val="single" w:color="auto"/>
          <w:color w:val="auto"/>
        </w:rPr>
        <w:t>Repayment of Loans; Evidence of Debt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680" w:hanging="270"/>
        <w:spacing w:after="0"/>
        <w:tabs>
          <w:tab w:leader="none" w:pos="168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Repayment</w:t>
      </w:r>
      <w:r>
        <w:rPr>
          <w:rFonts w:ascii="Times New Roman" w:cs="Times New Roman" w:eastAsia="Times New Roman" w:hAnsi="Times New Roman"/>
          <w:sz w:val="19"/>
          <w:szCs w:val="19"/>
          <w:color w:val="auto"/>
        </w:rPr>
        <w:t>. The Borrower hereby unconditionally promises to pay the Loans of each Class as follows:</w:t>
      </w:r>
    </w:p>
    <w:p>
      <w:pPr>
        <w:spacing w:after="0" w:line="201" w:lineRule="exact"/>
        <w:rPr>
          <w:rFonts w:ascii="Times New Roman" w:cs="Times New Roman" w:eastAsia="Times New Roman" w:hAnsi="Times New Roman"/>
          <w:sz w:val="19"/>
          <w:szCs w:val="19"/>
          <w:color w:val="auto"/>
        </w:rPr>
      </w:pPr>
    </w:p>
    <w:p>
      <w:pPr>
        <w:jc w:val="both"/>
        <w:ind w:left="700" w:right="520" w:firstLine="746"/>
        <w:spacing w:after="0" w:line="268" w:lineRule="auto"/>
        <w:tabs>
          <w:tab w:leader="none" w:pos="1673"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Administrative Agent for account of the Lenders of such Class the outstanding principal amount of the Syndicated Loans of the Lenders of such Class and all other amounts due and owing hereunder and under the other Loan Documents on such Lender’s applicable Final Maturity Date; and</w:t>
      </w:r>
    </w:p>
    <w:p>
      <w:pPr>
        <w:spacing w:after="0" w:line="144" w:lineRule="exact"/>
        <w:rPr>
          <w:rFonts w:ascii="Times New Roman" w:cs="Times New Roman" w:eastAsia="Times New Roman" w:hAnsi="Times New Roman"/>
          <w:sz w:val="19"/>
          <w:szCs w:val="19"/>
          <w:color w:val="auto"/>
        </w:rPr>
      </w:pPr>
    </w:p>
    <w:p>
      <w:pPr>
        <w:ind w:left="700" w:right="20" w:firstLine="746"/>
        <w:spacing w:after="0" w:line="259" w:lineRule="auto"/>
        <w:tabs>
          <w:tab w:leader="none" w:pos="1727"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Swingline Lender the then unpaid principal amount of each Swingline Loan of such Class denominated in Dollars, on the earlier of the Extended Commitment Termination Date and the first date after such Swingline Loan is made that is the 15th or last day of a calendar month and is at least ten Business Days after such Swingline Loan is made;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on each date that a Syndicated Borrowing of such Class is made, the Borrower shall repay all Swingline Loans of such Class then outstanding.</w:t>
      </w:r>
    </w:p>
    <w:p>
      <w:pPr>
        <w:spacing w:after="0" w:line="154" w:lineRule="exact"/>
        <w:rPr>
          <w:sz w:val="20"/>
          <w:szCs w:val="20"/>
          <w:color w:val="auto"/>
        </w:rPr>
      </w:pPr>
    </w:p>
    <w:p>
      <w:pPr>
        <w:ind w:right="80" w:firstLine="1404"/>
        <w:spacing w:after="0" w:line="268" w:lineRule="auto"/>
        <w:rPr>
          <w:sz w:val="20"/>
          <w:szCs w:val="20"/>
          <w:color w:val="auto"/>
        </w:rPr>
      </w:pPr>
      <w:r>
        <w:rPr>
          <w:rFonts w:ascii="Times New Roman" w:cs="Times New Roman" w:eastAsia="Times New Roman" w:hAnsi="Times New Roman"/>
          <w:sz w:val="19"/>
          <w:szCs w:val="19"/>
          <w:color w:val="auto"/>
        </w:rPr>
        <w:t>In addition, on the Extended Commitment Termination Date, the Borrower shall deposit Cash into the Letter of Credit Collateral Account (denominated in the Currency of the Letter of Credit under which such LC Exposure arises) in an amount equal to 100% of the undrawn</w:t>
      </w:r>
    </w:p>
    <w:p>
      <w:pPr>
        <w:spacing w:after="0" w:line="1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6" w:name="page157"/>
    <w:bookmarkEnd w:id="156"/>
    <w:p>
      <w:pPr>
        <w:spacing w:after="0" w:line="2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face amount of all Letters of Credit outstanding on the close of business on the Extended Commitment Termination Date, such deposit to be held by the Administrative Agent as collateral security for the LC Exposure under this Agreement in respect of the undrawn portion of such Letters of Credit.</w:t>
      </w:r>
    </w:p>
    <w:p>
      <w:pPr>
        <w:spacing w:after="0" w:line="144" w:lineRule="exact"/>
        <w:rPr>
          <w:sz w:val="20"/>
          <w:szCs w:val="20"/>
          <w:color w:val="auto"/>
        </w:rPr>
      </w:pPr>
    </w:p>
    <w:p>
      <w:pPr>
        <w:ind w:right="40" w:firstLine="1410"/>
        <w:spacing w:after="0" w:line="253" w:lineRule="auto"/>
        <w:tabs>
          <w:tab w:leader="none" w:pos="168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Manner of Payment</w:t>
      </w:r>
      <w:r>
        <w:rPr>
          <w:rFonts w:ascii="Times New Roman" w:cs="Times New Roman" w:eastAsia="Times New Roman" w:hAnsi="Times New Roman"/>
          <w:sz w:val="19"/>
          <w:szCs w:val="19"/>
          <w:color w:val="auto"/>
        </w:rPr>
        <w:t xml:space="preserve">. Prior to any repayment or prepayment of any Borrowings to any Lenders of any Class hereunder, the Borrower shall select the Borrowing or Borrowings of such Class to be paid and shall notify the Administrative Agent by telephone (confirmed by telecopy) of such selection not later than the time set forth in </w:t>
      </w:r>
      <w:r>
        <w:rPr>
          <w:rFonts w:ascii="Times New Roman" w:cs="Times New Roman" w:eastAsia="Times New Roman" w:hAnsi="Times New Roman"/>
          <w:sz w:val="19"/>
          <w:szCs w:val="19"/>
          <w:u w:val="single" w:color="auto"/>
          <w:color w:val="auto"/>
        </w:rPr>
        <w:t>Section 2.10(f)</w:t>
      </w:r>
      <w:r>
        <w:rPr>
          <w:rFonts w:ascii="Times New Roman" w:cs="Times New Roman" w:eastAsia="Times New Roman" w:hAnsi="Times New Roman"/>
          <w:sz w:val="19"/>
          <w:szCs w:val="19"/>
          <w:color w:val="auto"/>
        </w:rPr>
        <w:t xml:space="preserve"> prior to the scheduled date of such repayment;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Other than in connection with a reduction or termination of Commitments or prepayment of Loans pursuant to </w:t>
      </w:r>
      <w:r>
        <w:rPr>
          <w:rFonts w:ascii="Times New Roman" w:cs="Times New Roman" w:eastAsia="Times New Roman" w:hAnsi="Times New Roman"/>
          <w:sz w:val="19"/>
          <w:szCs w:val="19"/>
          <w:u w:val="single" w:color="auto"/>
          <w:color w:val="auto"/>
        </w:rPr>
        <w:t>Section 2.08(f)</w:t>
      </w:r>
      <w:r>
        <w:rPr>
          <w:rFonts w:ascii="Times New Roman" w:cs="Times New Roman" w:eastAsia="Times New Roman" w:hAnsi="Times New Roman"/>
          <w:sz w:val="19"/>
          <w:szCs w:val="19"/>
          <w:color w:val="auto"/>
        </w:rPr>
        <w:t xml:space="preserve">, the occurrence of the Final Maturity Date with respect to any Lender pursuant to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or a mandatory prepayment pursuant to </w:t>
      </w:r>
      <w:r>
        <w:rPr>
          <w:rFonts w:ascii="Times New Roman" w:cs="Times New Roman" w:eastAsia="Times New Roman" w:hAnsi="Times New Roman"/>
          <w:sz w:val="19"/>
          <w:szCs w:val="19"/>
          <w:u w:val="single" w:color="auto"/>
          <w:color w:val="auto"/>
        </w:rPr>
        <w:t>Section 2.10(e)</w:t>
      </w:r>
      <w:r>
        <w:rPr>
          <w:rFonts w:ascii="Times New Roman" w:cs="Times New Roman" w:eastAsia="Times New Roman" w:hAnsi="Times New Roman"/>
          <w:sz w:val="19"/>
          <w:szCs w:val="19"/>
          <w:color w:val="auto"/>
        </w:rPr>
        <w:t>, each payment of a Syndicated Borrowing to Lenders of a Class shall be applied ratably (both with respect to (x) Dollar Loans and Multicurrency Loans and (y) Extended Loans and Non-Extended Loans) to the Loans included in such Borrowing.</w:t>
      </w:r>
    </w:p>
    <w:p>
      <w:pPr>
        <w:spacing w:after="0" w:line="165" w:lineRule="exact"/>
        <w:rPr>
          <w:rFonts w:ascii="Times New Roman" w:cs="Times New Roman" w:eastAsia="Times New Roman" w:hAnsi="Times New Roman"/>
          <w:sz w:val="19"/>
          <w:szCs w:val="19"/>
          <w:color w:val="auto"/>
        </w:rPr>
      </w:pPr>
    </w:p>
    <w:p>
      <w:pPr>
        <w:ind w:right="140" w:firstLine="1410"/>
        <w:spacing w:after="0" w:line="268" w:lineRule="auto"/>
        <w:tabs>
          <w:tab w:leader="none" w:pos="1668"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Maintenance of Records by Lenders</w:t>
      </w:r>
      <w:r>
        <w:rPr>
          <w:rFonts w:ascii="Times New Roman" w:cs="Times New Roman" w:eastAsia="Times New Roman" w:hAnsi="Times New Roman"/>
          <w:sz w:val="19"/>
          <w:szCs w:val="19"/>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44" w:lineRule="exact"/>
        <w:rPr>
          <w:rFonts w:ascii="Times New Roman" w:cs="Times New Roman" w:eastAsia="Times New Roman" w:hAnsi="Times New Roman"/>
          <w:sz w:val="19"/>
          <w:szCs w:val="19"/>
          <w:color w:val="auto"/>
        </w:rPr>
      </w:pPr>
    </w:p>
    <w:p>
      <w:pPr>
        <w:ind w:firstLine="1410"/>
        <w:spacing w:after="0" w:line="259" w:lineRule="auto"/>
        <w:tabs>
          <w:tab w:leader="none" w:pos="168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Maintenance of Records by the Administrative Agent</w:t>
      </w:r>
      <w:r>
        <w:rPr>
          <w:rFonts w:ascii="Times New Roman" w:cs="Times New Roman" w:eastAsia="Times New Roman" w:hAnsi="Times New Roman"/>
          <w:sz w:val="19"/>
          <w:szCs w:val="19"/>
          <w:color w:val="auto"/>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hereunder and (iii) the amount and Currency of any sum received by the Administrative Agent hereunder for account of the Lenders and each Lender’s share thereof.</w:t>
      </w:r>
    </w:p>
    <w:p>
      <w:pPr>
        <w:spacing w:after="0" w:line="153" w:lineRule="exact"/>
        <w:rPr>
          <w:rFonts w:ascii="Times New Roman" w:cs="Times New Roman" w:eastAsia="Times New Roman" w:hAnsi="Times New Roman"/>
          <w:sz w:val="19"/>
          <w:szCs w:val="19"/>
          <w:color w:val="auto"/>
        </w:rPr>
      </w:pPr>
    </w:p>
    <w:p>
      <w:pPr>
        <w:jc w:val="both"/>
        <w:ind w:right="120" w:firstLine="1410"/>
        <w:spacing w:after="0" w:line="262" w:lineRule="auto"/>
        <w:tabs>
          <w:tab w:leader="none" w:pos="1668"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of Entries</w:t>
      </w:r>
      <w:r>
        <w:rPr>
          <w:rFonts w:ascii="Times New Roman" w:cs="Times New Roman" w:eastAsia="Times New Roman" w:hAnsi="Times New Roman"/>
          <w:sz w:val="19"/>
          <w:szCs w:val="19"/>
          <w:color w:val="auto"/>
        </w:rPr>
        <w:t xml:space="preserve">. The entries made in the records maintained pursuant to </w:t>
      </w:r>
      <w:r>
        <w:rPr>
          <w:rFonts w:ascii="Times New Roman" w:cs="Times New Roman" w:eastAsia="Times New Roman" w:hAnsi="Times New Roman"/>
          <w:sz w:val="19"/>
          <w:szCs w:val="19"/>
          <w:u w:val="single" w:color="auto"/>
          <w:color w:val="auto"/>
        </w:rPr>
        <w:t>paragraph (c)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of this Section shall be </w:t>
      </w:r>
      <w:r>
        <w:rPr>
          <w:rFonts w:ascii="Times New Roman" w:cs="Times New Roman" w:eastAsia="Times New Roman" w:hAnsi="Times New Roman"/>
          <w:sz w:val="19"/>
          <w:szCs w:val="19"/>
          <w:u w:val="single" w:color="auto"/>
          <w:color w:val="auto"/>
        </w:rPr>
        <w:t>prima facie</w:t>
      </w:r>
      <w:r>
        <w:rPr>
          <w:rFonts w:ascii="Times New Roman" w:cs="Times New Roman" w:eastAsia="Times New Roman" w:hAnsi="Times New Roman"/>
          <w:sz w:val="19"/>
          <w:szCs w:val="19"/>
          <w:color w:val="auto"/>
        </w:rPr>
        <w:t xml:space="preserve"> evidence, absent obvious error, of the existence and amounts of the obligations recorded therein;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150" w:lineRule="exact"/>
        <w:rPr>
          <w:rFonts w:ascii="Times New Roman" w:cs="Times New Roman" w:eastAsia="Times New Roman" w:hAnsi="Times New Roman"/>
          <w:sz w:val="19"/>
          <w:szCs w:val="19"/>
          <w:color w:val="auto"/>
        </w:rPr>
      </w:pPr>
    </w:p>
    <w:p>
      <w:pPr>
        <w:ind w:right="40" w:firstLine="1410"/>
        <w:spacing w:after="0" w:line="268" w:lineRule="auto"/>
        <w:tabs>
          <w:tab w:leader="none" w:pos="1644"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Promissory Notes</w:t>
      </w:r>
      <w:r>
        <w:rPr>
          <w:rFonts w:ascii="Times New Roman" w:cs="Times New Roman" w:eastAsia="Times New Roman" w:hAnsi="Times New Roman"/>
          <w:sz w:val="19"/>
          <w:szCs w:val="19"/>
          <w:color w:val="auto"/>
        </w:rPr>
        <w:t>.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w:t>
      </w:r>
    </w:p>
    <w:p>
      <w:pPr>
        <w:spacing w:after="0" w:line="1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57" w:name="page158"/>
    <w:bookmarkEnd w:id="157"/>
    <w:p>
      <w:pPr>
        <w:spacing w:after="0" w:line="269"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9"/>
          <w:szCs w:val="19"/>
          <w:color w:val="auto"/>
        </w:rPr>
        <w:t xml:space="preserve">Thereafter, the Loans evidenced by such promissory note and interest thereon shall at all times (including after assignment pursuant to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be represented by one or more promissory notes in such form payable to the payee named therein (or, if such promissory note is a registered note, to such payee and its registered assigns).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2.10. </w:t>
      </w:r>
      <w:r>
        <w:rPr>
          <w:rFonts w:ascii="Times New Roman" w:cs="Times New Roman" w:eastAsia="Times New Roman" w:hAnsi="Times New Roman"/>
          <w:sz w:val="19"/>
          <w:szCs w:val="19"/>
          <w:u w:val="single" w:color="auto"/>
          <w:color w:val="auto"/>
        </w:rPr>
        <w:t>Prepayment of Loans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1410"/>
        <w:spacing w:after="0" w:line="259" w:lineRule="auto"/>
        <w:tabs>
          <w:tab w:leader="none" w:pos="1668"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Optional Prepayments</w:t>
      </w:r>
      <w:r>
        <w:rPr>
          <w:rFonts w:ascii="Times New Roman" w:cs="Times New Roman" w:eastAsia="Times New Roman" w:hAnsi="Times New Roman"/>
          <w:sz w:val="19"/>
          <w:szCs w:val="19"/>
          <w:color w:val="auto"/>
        </w:rPr>
        <w:t xml:space="preserve">. The Borrower shall have the right at any time and from time to time to prepay any Borrowing in whole or in part, without premium or penalty except for payments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subject to the requirements of this Section. Any prepayment of a Borrowing made in accordance with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shall be applied ratably among the Lenders unless such prepayment is made in connection with the reduction of Commitments or the prepayment of Loans in accordance with </w:t>
      </w:r>
      <w:r>
        <w:rPr>
          <w:rFonts w:ascii="Times New Roman" w:cs="Times New Roman" w:eastAsia="Times New Roman" w:hAnsi="Times New Roman"/>
          <w:sz w:val="19"/>
          <w:szCs w:val="19"/>
          <w:u w:val="single" w:color="auto"/>
          <w:color w:val="auto"/>
        </w:rPr>
        <w:t>Section 2.08(f)</w:t>
      </w:r>
      <w:r>
        <w:rPr>
          <w:rFonts w:ascii="Times New Roman" w:cs="Times New Roman" w:eastAsia="Times New Roman" w:hAnsi="Times New Roman"/>
          <w:sz w:val="19"/>
          <w:szCs w:val="19"/>
          <w:color w:val="auto"/>
        </w:rPr>
        <w:t xml:space="preserve"> in which case such prepayment shall be applied in accordance with </w:t>
      </w:r>
      <w:r>
        <w:rPr>
          <w:rFonts w:ascii="Times New Roman" w:cs="Times New Roman" w:eastAsia="Times New Roman" w:hAnsi="Times New Roman"/>
          <w:sz w:val="19"/>
          <w:szCs w:val="19"/>
          <w:u w:val="single" w:color="auto"/>
          <w:color w:val="auto"/>
        </w:rPr>
        <w:t>Section 2.08(f)</w:t>
      </w:r>
      <w:r>
        <w:rPr>
          <w:rFonts w:ascii="Times New Roman" w:cs="Times New Roman" w:eastAsia="Times New Roman" w:hAnsi="Times New Roman"/>
          <w:sz w:val="19"/>
          <w:szCs w:val="19"/>
          <w:color w:val="auto"/>
        </w:rPr>
        <w:t>.</w:t>
      </w:r>
    </w:p>
    <w:p>
      <w:pPr>
        <w:spacing w:after="0" w:line="153"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Mandatory Prepayments due to Changes in Exchange Rates</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700" w:right="80" w:firstLine="746"/>
        <w:spacing w:after="0" w:line="255" w:lineRule="auto"/>
        <w:tabs>
          <w:tab w:leader="none" w:pos="1672"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Determination of Amount Outstanding</w:t>
      </w:r>
      <w:r>
        <w:rPr>
          <w:rFonts w:ascii="Times New Roman" w:cs="Times New Roman" w:eastAsia="Times New Roman" w:hAnsi="Times New Roman"/>
          <w:sz w:val="19"/>
          <w:szCs w:val="19"/>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New York City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155" w:lineRule="exact"/>
        <w:rPr>
          <w:rFonts w:ascii="Times New Roman" w:cs="Times New Roman" w:eastAsia="Times New Roman" w:hAnsi="Times New Roman"/>
          <w:sz w:val="19"/>
          <w:szCs w:val="19"/>
          <w:color w:val="auto"/>
        </w:rPr>
      </w:pPr>
    </w:p>
    <w:p>
      <w:pPr>
        <w:ind w:left="700" w:right="40" w:firstLine="746"/>
        <w:spacing w:after="0" w:line="256" w:lineRule="auto"/>
        <w:tabs>
          <w:tab w:leader="none" w:pos="1732"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Prepayment</w:t>
      </w:r>
      <w:r>
        <w:rPr>
          <w:rFonts w:ascii="Times New Roman" w:cs="Times New Roman" w:eastAsia="Times New Roman" w:hAnsi="Times New Roman"/>
          <w:sz w:val="19"/>
          <w:szCs w:val="19"/>
          <w:color w:val="auto"/>
        </w:rPr>
        <w:t xml:space="preserve">. If on the date of such determination the aggregate Revolving Multicurrency Credit Exposure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Multicurrency Loans (and/or provide Cash Collateral for Multicurrency LC Exposure as specified in </w:t>
      </w:r>
      <w:r>
        <w:rPr>
          <w:rFonts w:ascii="Times New Roman" w:cs="Times New Roman" w:eastAsia="Times New Roman" w:hAnsi="Times New Roman"/>
          <w:sz w:val="19"/>
          <w:szCs w:val="19"/>
          <w:u w:val="single" w:color="auto"/>
          <w:color w:val="auto"/>
        </w:rPr>
        <w:t>Section 2.05(k)</w:t>
      </w:r>
      <w:r>
        <w:rPr>
          <w:rFonts w:ascii="Times New Roman" w:cs="Times New Roman" w:eastAsia="Times New Roman" w:hAnsi="Times New Roman"/>
          <w:sz w:val="19"/>
          <w:szCs w:val="19"/>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5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9"/>
          <w:szCs w:val="19"/>
          <w:color w:val="auto"/>
        </w:rPr>
        <w:t>For purposes hereof “</w:t>
      </w:r>
      <w:r>
        <w:rPr>
          <w:rFonts w:ascii="Times New Roman" w:cs="Times New Roman" w:eastAsia="Times New Roman" w:hAnsi="Times New Roman"/>
          <w:sz w:val="19"/>
          <w:szCs w:val="19"/>
          <w:u w:val="single" w:color="auto"/>
          <w:color w:val="auto"/>
        </w:rPr>
        <w:t>Currency Valuation Notice</w:t>
      </w:r>
      <w:r>
        <w:rPr>
          <w:rFonts w:ascii="Times New Roman" w:cs="Times New Roman" w:eastAsia="Times New Roman" w:hAnsi="Times New Roman"/>
          <w:sz w:val="19"/>
          <w:szCs w:val="19"/>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4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8" w:name="page159"/>
    <w:bookmarkEnd w:id="158"/>
    <w:p>
      <w:pPr>
        <w:spacing w:after="0" w:line="269" w:lineRule="exact"/>
        <w:rPr>
          <w:sz w:val="20"/>
          <w:szCs w:val="20"/>
          <w:color w:val="auto"/>
        </w:rPr>
      </w:pPr>
    </w:p>
    <w:p>
      <w:pPr>
        <w:ind w:right="480" w:firstLine="1404"/>
        <w:spacing w:after="0" w:line="286" w:lineRule="auto"/>
        <w:rPr>
          <w:sz w:val="20"/>
          <w:szCs w:val="20"/>
          <w:color w:val="auto"/>
        </w:rPr>
      </w:pPr>
      <w:r>
        <w:rPr>
          <w:rFonts w:ascii="Times New Roman" w:cs="Times New Roman" w:eastAsia="Times New Roman" w:hAnsi="Times New Roman"/>
          <w:sz w:val="19"/>
          <w:szCs w:val="19"/>
          <w:color w:val="auto"/>
        </w:rPr>
        <w:t xml:space="preserve">Any prepayment pursuant to this paragraph shall be applied,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Swingline Multicurrency Loans outstanding,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Syndicated Multicurrency Loans outstanding and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as cover for Multicurrency LC Exposure.</w:t>
      </w:r>
    </w:p>
    <w:p>
      <w:pPr>
        <w:spacing w:after="0" w:line="127" w:lineRule="exact"/>
        <w:rPr>
          <w:sz w:val="20"/>
          <w:szCs w:val="20"/>
          <w:color w:val="auto"/>
        </w:rPr>
      </w:pPr>
    </w:p>
    <w:p>
      <w:pPr>
        <w:ind w:right="40" w:firstLine="1410"/>
        <w:spacing w:after="0" w:line="254" w:lineRule="auto"/>
        <w:tabs>
          <w:tab w:leader="none" w:pos="1668"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Mandatory Prepayments due to Borrowing Base Deficiency</w:t>
      </w:r>
      <w:r>
        <w:rPr>
          <w:rFonts w:ascii="Times New Roman" w:cs="Times New Roman" w:eastAsia="Times New Roman" w:hAnsi="Times New Roman"/>
          <w:sz w:val="19"/>
          <w:szCs w:val="19"/>
          <w:color w:val="auto"/>
        </w:rPr>
        <w:t xml:space="preserve">. In the event that at any time any Borrowing Base Deficiency shall exist, the Borrower shall, within five Business Days after delivery of the applicable Borrowing Base Certificate, prepay the Loans (or provide Cash Collateral for Letters of Credit as contemplated by </w:t>
      </w:r>
      <w:r>
        <w:rPr>
          <w:rFonts w:ascii="Times New Roman" w:cs="Times New Roman" w:eastAsia="Times New Roman" w:hAnsi="Times New Roman"/>
          <w:sz w:val="19"/>
          <w:szCs w:val="19"/>
          <w:u w:val="single" w:color="auto"/>
          <w:color w:val="auto"/>
        </w:rPr>
        <w:t>Section 2.05(k)</w:t>
      </w:r>
      <w:r>
        <w:rPr>
          <w:rFonts w:ascii="Times New Roman" w:cs="Times New Roman" w:eastAsia="Times New Roman" w:hAnsi="Times New Roman"/>
          <w:sz w:val="19"/>
          <w:szCs w:val="19"/>
          <w:color w:val="auto"/>
        </w:rPr>
        <w:t xml:space="preserve">) or reduce Other Covered Indebtedness in such amounts as shall be necessary so that such Borrowing Base Deficiency is cured;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aggregate amount of such prepayment of Loans (and Cash Collateral for Letters of Credit) shall be at least equal to the Revolving Percentage times the aggregate prepayment of the Covered Debt Amount, and (ii) if, within five Business Days after delivery of a Borrowing Base Certificate demonstrating such Borrowing Base Deficiency, the Borrower shall present the Administrative Agent with a reasonably feasible plan acceptable to the Administrative Agent in its sole discretion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157"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01" w:lineRule="exact"/>
        <w:rPr>
          <w:rFonts w:ascii="Times New Roman" w:cs="Times New Roman" w:eastAsia="Times New Roman" w:hAnsi="Times New Roman"/>
          <w:sz w:val="19"/>
          <w:szCs w:val="19"/>
          <w:color w:val="auto"/>
        </w:rPr>
      </w:pPr>
    </w:p>
    <w:p>
      <w:pPr>
        <w:ind w:right="40" w:firstLine="1410"/>
        <w:spacing w:after="0" w:line="268" w:lineRule="auto"/>
        <w:tabs>
          <w:tab w:leader="none" w:pos="1668"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Mandatory Prepayments During Amortization Period</w:t>
      </w:r>
      <w:r>
        <w:rPr>
          <w:rFonts w:ascii="Times New Roman" w:cs="Times New Roman" w:eastAsia="Times New Roman" w:hAnsi="Times New Roman"/>
          <w:sz w:val="19"/>
          <w:szCs w:val="19"/>
          <w:color w:val="auto"/>
        </w:rPr>
        <w:t>. During the period commencing on the date immediately following the Commitment Termination Date with respect to any Loans of any Lender or Lenders and ending on the Final Maturity Date with respect to the Loans of such Lender or Lenders:</w:t>
      </w:r>
    </w:p>
    <w:p>
      <w:pPr>
        <w:spacing w:after="0" w:line="144" w:lineRule="exact"/>
        <w:rPr>
          <w:rFonts w:ascii="Times New Roman" w:cs="Times New Roman" w:eastAsia="Times New Roman" w:hAnsi="Times New Roman"/>
          <w:sz w:val="19"/>
          <w:szCs w:val="19"/>
          <w:color w:val="auto"/>
        </w:rPr>
      </w:pPr>
    </w:p>
    <w:p>
      <w:pPr>
        <w:ind w:left="700" w:firstLine="746"/>
        <w:spacing w:after="0" w:line="259" w:lineRule="auto"/>
        <w:tabs>
          <w:tab w:leader="none" w:pos="1672"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Asset Disposition</w:t>
      </w:r>
      <w:r>
        <w:rPr>
          <w:rFonts w:ascii="Times New Roman" w:cs="Times New Roman" w:eastAsia="Times New Roman" w:hAnsi="Times New Roman"/>
          <w:sz w:val="19"/>
          <w:szCs w:val="19"/>
          <w:color w:val="auto"/>
        </w:rPr>
        <w:t>. If the Borrower or any of its Subsidiaries (other than a Financing Subsidiary) Disposes of any property which results in the receipt by such Person of Net Cash Proceeds in excess of $3,000,000 in the aggregate since the applicable Commitment Termination Date (which aggregate amount shall reset to $0 on the Extended Commitment Termination Date), the Borrower shall prepay an aggregate principal amount of such Loans owed to such Lender or Lenders equal to 100% of such Net Cash Proceeds no later than the fifth Business Day following the receipt of such Net Cash Proceeds.</w:t>
      </w:r>
    </w:p>
    <w:p>
      <w:pPr>
        <w:spacing w:after="0" w:line="153" w:lineRule="exact"/>
        <w:rPr>
          <w:rFonts w:ascii="Times New Roman" w:cs="Times New Roman" w:eastAsia="Times New Roman" w:hAnsi="Times New Roman"/>
          <w:sz w:val="19"/>
          <w:szCs w:val="19"/>
          <w:color w:val="auto"/>
        </w:rPr>
      </w:pPr>
    </w:p>
    <w:p>
      <w:pPr>
        <w:ind w:left="700" w:firstLine="746"/>
        <w:spacing w:after="0" w:line="259" w:lineRule="auto"/>
        <w:tabs>
          <w:tab w:leader="none" w:pos="1732"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 Issuance</w:t>
      </w:r>
      <w:r>
        <w:rPr>
          <w:rFonts w:ascii="Times New Roman" w:cs="Times New Roman" w:eastAsia="Times New Roman" w:hAnsi="Times New Roman"/>
          <w:sz w:val="19"/>
          <w:szCs w:val="19"/>
          <w:color w:val="auto"/>
        </w:rPr>
        <w:t>.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such Loans owed to such Lender or Lenders equal to 75% of all Net Cash Proceeds received therefrom no later than the fifth Business Day following the receipt of such Net Cash Proceeds.</w:t>
      </w:r>
    </w:p>
    <w:p>
      <w:pPr>
        <w:spacing w:after="0" w:line="153" w:lineRule="exact"/>
        <w:rPr>
          <w:rFonts w:ascii="Times New Roman" w:cs="Times New Roman" w:eastAsia="Times New Roman" w:hAnsi="Times New Roman"/>
          <w:sz w:val="19"/>
          <w:szCs w:val="19"/>
          <w:color w:val="auto"/>
        </w:rPr>
      </w:pPr>
    </w:p>
    <w:p>
      <w:pPr>
        <w:ind w:left="700" w:right="60" w:firstLine="746"/>
        <w:spacing w:after="0" w:line="268" w:lineRule="auto"/>
        <w:tabs>
          <w:tab w:leader="none" w:pos="1780"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Upon the incurrence or issuance by the Borrower or any of its Subsidiaries (other than a Financing Subsidiary) of any Indebtedness (other than the making of any Loans or issuance of any Letters of Credit hereunder), the Borrower shall prepay an aggregate principal amount of such Loans owed to such Lender or Lenders equal</w:t>
      </w:r>
    </w:p>
    <w:p>
      <w:pPr>
        <w:spacing w:after="0" w:line="1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9" w:name="page160"/>
    <w:bookmarkEnd w:id="159"/>
    <w:p>
      <w:pPr>
        <w:spacing w:after="0" w:line="269" w:lineRule="exact"/>
        <w:rPr>
          <w:sz w:val="20"/>
          <w:szCs w:val="20"/>
          <w:color w:val="auto"/>
        </w:rPr>
      </w:pPr>
    </w:p>
    <w:p>
      <w:pPr>
        <w:ind w:left="700"/>
        <w:spacing w:after="0" w:line="286" w:lineRule="auto"/>
        <w:rPr>
          <w:sz w:val="20"/>
          <w:szCs w:val="20"/>
          <w:color w:val="auto"/>
        </w:rPr>
      </w:pPr>
      <w:r>
        <w:rPr>
          <w:rFonts w:ascii="Times New Roman" w:cs="Times New Roman" w:eastAsia="Times New Roman" w:hAnsi="Times New Roman"/>
          <w:sz w:val="19"/>
          <w:szCs w:val="19"/>
          <w:color w:val="auto"/>
        </w:rPr>
        <w:t>to 100% of all Net Cash Proceeds received therefrom no later than the fifth Business Day following the receipt of such Net Cash Proceeds.</w:t>
      </w:r>
    </w:p>
    <w:p>
      <w:pPr>
        <w:spacing w:after="0" w:line="127" w:lineRule="exact"/>
        <w:rPr>
          <w:sz w:val="20"/>
          <w:szCs w:val="20"/>
          <w:color w:val="auto"/>
        </w:rPr>
      </w:pPr>
    </w:p>
    <w:p>
      <w:pPr>
        <w:ind w:left="700" w:right="220" w:firstLine="746"/>
        <w:spacing w:after="0" w:line="256" w:lineRule="auto"/>
        <w:tabs>
          <w:tab w:leader="none" w:pos="1768"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Extraordinary Receipt</w:t>
      </w:r>
      <w:r>
        <w:rPr>
          <w:rFonts w:ascii="Times New Roman" w:cs="Times New Roman" w:eastAsia="Times New Roman" w:hAnsi="Times New Roman"/>
          <w:sz w:val="19"/>
          <w:szCs w:val="19"/>
          <w:color w:val="auto"/>
        </w:rPr>
        <w:t xml:space="preserve">. Upon any Extraordinary Receipt (which, when taken with all other Extraordinary Receipts received after the applicable Commitment Termination Date, exceeds $7,500,000 in the aggregate (which aggregate amount shall reset to $0 on the Extended Commitment Termination Date)) received by or paid to or for the account of the Borrower or any of its Subsidiaries (other than a Financing Subsidiary), and not otherwise included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2.10(e)</w:t>
      </w:r>
      <w:r>
        <w:rPr>
          <w:rFonts w:ascii="Times New Roman" w:cs="Times New Roman" w:eastAsia="Times New Roman" w:hAnsi="Times New Roman"/>
          <w:sz w:val="19"/>
          <w:szCs w:val="19"/>
          <w:color w:val="auto"/>
        </w:rPr>
        <w:t>, the Borrower shall prepay an aggregate principal amount of such Loans owed to such Lender or Lenders equal to 100% of all Net Cash Proceeds received therefrom no later than the fifth Business Day following the receipt of such Net Cash Proceeds.</w:t>
      </w:r>
    </w:p>
    <w:p>
      <w:pPr>
        <w:spacing w:after="0" w:line="157" w:lineRule="exact"/>
        <w:rPr>
          <w:rFonts w:ascii="Times New Roman" w:cs="Times New Roman" w:eastAsia="Times New Roman" w:hAnsi="Times New Roman"/>
          <w:sz w:val="19"/>
          <w:szCs w:val="19"/>
          <w:color w:val="auto"/>
        </w:rPr>
      </w:pPr>
    </w:p>
    <w:p>
      <w:pPr>
        <w:jc w:val="both"/>
        <w:ind w:left="700" w:right="140" w:firstLine="746"/>
        <w:spacing w:after="0" w:line="262" w:lineRule="auto"/>
        <w:tabs>
          <w:tab w:leader="none" w:pos="172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 of Capital</w:t>
      </w:r>
      <w:r>
        <w:rPr>
          <w:rFonts w:ascii="Times New Roman" w:cs="Times New Roman" w:eastAsia="Times New Roman" w:hAnsi="Times New Roman"/>
          <w:sz w:val="19"/>
          <w:szCs w:val="19"/>
          <w:color w:val="auto"/>
        </w:rPr>
        <w:t xml:space="preserve">. If any Obligor shall receive any Return of Capital (other than from any Financing Subsidiary), the Borrower shall prepay an aggregate principal amount of such Loans owed to such Lender or Lenders equal to 90% of such Return of Capital (excluding amounts payable by the Borrower pursuant to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no later than the fifth Business Day following the receipt of such Return of Capital.</w:t>
      </w:r>
    </w:p>
    <w:p>
      <w:pPr>
        <w:spacing w:after="0" w:line="150" w:lineRule="exact"/>
        <w:rPr>
          <w:sz w:val="20"/>
          <w:szCs w:val="20"/>
          <w:color w:val="auto"/>
        </w:rPr>
      </w:pPr>
    </w:p>
    <w:p>
      <w:pPr>
        <w:ind w:right="100" w:firstLine="696"/>
        <w:spacing w:after="0" w:line="255" w:lineRule="auto"/>
        <w:rPr>
          <w:sz w:val="20"/>
          <w:szCs w:val="20"/>
          <w:color w:val="auto"/>
        </w:rPr>
      </w:pPr>
      <w:r>
        <w:rPr>
          <w:rFonts w:ascii="Times New Roman" w:cs="Times New Roman" w:eastAsia="Times New Roman" w:hAnsi="Times New Roman"/>
          <w:sz w:val="19"/>
          <w:szCs w:val="19"/>
          <w:color w:val="auto"/>
        </w:rPr>
        <w:t xml:space="preserve">Notwithstanding the foregoing, Net Cash Proceeds and Return of Capital required to be applied to the prepayment of the Loans pursuant to this </w:t>
      </w:r>
      <w:r>
        <w:rPr>
          <w:rFonts w:ascii="Times New Roman" w:cs="Times New Roman" w:eastAsia="Times New Roman" w:hAnsi="Times New Roman"/>
          <w:sz w:val="19"/>
          <w:szCs w:val="19"/>
          <w:u w:val="single" w:color="auto"/>
          <w:color w:val="auto"/>
        </w:rPr>
        <w:t>Section 2.10(e)</w:t>
      </w:r>
      <w:r>
        <w:rPr>
          <w:rFonts w:ascii="Times New Roman" w:cs="Times New Roman" w:eastAsia="Times New Roman" w:hAnsi="Times New Roman"/>
          <w:sz w:val="19"/>
          <w:szCs w:val="19"/>
          <w:color w:val="auto"/>
        </w:rPr>
        <w:t xml:space="preserve"> shall (A) (I) from the period commencing on the Non- Extended Commitment Termination Date and ending on the Extended Commitment Termination Date, be applied ratably among the Non-Extending Lenders for which the Non-Extending Lender Commitment Termination Date shall have occurred and (II) from the Extended Commitment Termination Date to the Extended Final Maturity Date, be applied ratably among the Extending Lenders and shall be made in the manner specified in </w:t>
      </w:r>
      <w:r>
        <w:rPr>
          <w:rFonts w:ascii="Times New Roman" w:cs="Times New Roman" w:eastAsia="Times New Roman" w:hAnsi="Times New Roman"/>
          <w:sz w:val="19"/>
          <w:szCs w:val="19"/>
          <w:u w:val="single" w:color="auto"/>
          <w:color w:val="auto"/>
        </w:rPr>
        <w:t>Section</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u w:val="single" w:color="auto"/>
          <w:color w:val="auto"/>
        </w:rPr>
        <w:t>2.09(b)</w:t>
      </w:r>
      <w:r>
        <w:rPr>
          <w:rFonts w:ascii="Times New Roman" w:cs="Times New Roman" w:eastAsia="Times New Roman" w:hAnsi="Times New Roman"/>
          <w:sz w:val="19"/>
          <w:szCs w:val="19"/>
          <w:color w:val="auto"/>
        </w:rPr>
        <w:t xml:space="preserve">, (B) exclude the amount necessary for the Borrower to make all required distributions (which shall be no less than the amount estimated in good faith by Borrower under </w:t>
      </w:r>
      <w:r>
        <w:rPr>
          <w:rFonts w:ascii="Times New Roman" w:cs="Times New Roman" w:eastAsia="Times New Roman" w:hAnsi="Times New Roman"/>
          <w:sz w:val="19"/>
          <w:szCs w:val="19"/>
          <w:u w:val="single" w:color="auto"/>
          <w:color w:val="auto"/>
        </w:rPr>
        <w:t>Section 6.05(b)</w:t>
      </w:r>
      <w:r>
        <w:rPr>
          <w:rFonts w:ascii="Times New Roman" w:cs="Times New Roman" w:eastAsia="Times New Roman" w:hAnsi="Times New Roman"/>
          <w:sz w:val="19"/>
          <w:szCs w:val="19"/>
          <w:color w:val="auto"/>
        </w:rPr>
        <w:t xml:space="preserve"> herein) to maintain its ability to be subject to Tax as a RIC under Section 852 of the Code and its election to be treated as a “business development company” under the Investment Company Act for so long as the Borrower retains such status and to avoid payment by the Borrower of federal excise Taxes imposed by Section 4982 of the Code for so long as the Borrower retains the status of a RIC under the Code and (C) if the Loans to be prepaid are Term Benchmark Loans, the Borrower may defer such prepayment until the last day of the Interest Period applicable to such Loans,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the Administrative Agent may direct the application of such deposits as set forth in </w:t>
      </w:r>
      <w:r>
        <w:rPr>
          <w:rFonts w:ascii="Times New Roman" w:cs="Times New Roman" w:eastAsia="Times New Roman" w:hAnsi="Times New Roman"/>
          <w:sz w:val="19"/>
          <w:szCs w:val="19"/>
          <w:u w:val="single" w:color="auto"/>
          <w:color w:val="auto"/>
        </w:rPr>
        <w:t>Section 2.09(b)</w:t>
      </w:r>
      <w:r>
        <w:rPr>
          <w:rFonts w:ascii="Times New Roman" w:cs="Times New Roman" w:eastAsia="Times New Roman" w:hAnsi="Times New Roman"/>
          <w:sz w:val="19"/>
          <w:szCs w:val="19"/>
          <w:color w:val="auto"/>
        </w:rPr>
        <w:t xml:space="preserve"> at any time and if the Administrative Agent does so, no amounts will be payable by the Borrower pursuant to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ind w:right="80" w:firstLine="1410"/>
        <w:spacing w:after="0" w:line="262" w:lineRule="auto"/>
        <w:tabs>
          <w:tab w:leader="none" w:pos="1644"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Etc</w:t>
      </w:r>
      <w:r>
        <w:rPr>
          <w:rFonts w:ascii="Times New Roman" w:cs="Times New Roman" w:eastAsia="Times New Roman" w:hAnsi="Times New Roman"/>
          <w:sz w:val="19"/>
          <w:szCs w:val="19"/>
          <w:color w:val="auto"/>
        </w:rPr>
        <w:t xml:space="preserve">. The Borrower shall notify the Administrative Agent (and, in the case of prepayment of a Swingline Loan, the Swingline Lender) by telephone (confirmed by telecopy) of any prepayment hereunder (i) in the case of prepayment of a Term Benchmark Borrowing denominated in Dollars (other than in the case of a prepayment pursuant to </w:t>
      </w:r>
      <w:r>
        <w:rPr>
          <w:rFonts w:ascii="Times New Roman" w:cs="Times New Roman" w:eastAsia="Times New Roman" w:hAnsi="Times New Roman"/>
          <w:sz w:val="19"/>
          <w:szCs w:val="19"/>
          <w:u w:val="single" w:color="auto"/>
          <w:color w:val="auto"/>
        </w:rPr>
        <w:t>Section 2.10(e)</w:t>
      </w:r>
      <w:r>
        <w:rPr>
          <w:rFonts w:ascii="Times New Roman" w:cs="Times New Roman" w:eastAsia="Times New Roman" w:hAnsi="Times New Roman"/>
          <w:sz w:val="19"/>
          <w:szCs w:val="19"/>
          <w:color w:val="auto"/>
        </w:rPr>
        <w:t>), not later than 11:00 a.m., New York City time, two Business Days before the date of</w:t>
      </w:r>
    </w:p>
    <w:p>
      <w:pPr>
        <w:spacing w:after="0" w:line="14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0" w:name="page161"/>
    <w:bookmarkEnd w:id="160"/>
    <w:p>
      <w:pPr>
        <w:spacing w:after="0" w:line="2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 xml:space="preserve">prepayment, (ii) in the case of prepayment of a Term Benchmark Borrowing denominated in a Foreign Currency (other than in the case of a prepayment pursuant to </w:t>
      </w:r>
      <w:r>
        <w:rPr>
          <w:rFonts w:ascii="Times New Roman" w:cs="Times New Roman" w:eastAsia="Times New Roman" w:hAnsi="Times New Roman"/>
          <w:sz w:val="19"/>
          <w:szCs w:val="19"/>
          <w:u w:val="single" w:color="auto"/>
          <w:color w:val="auto"/>
        </w:rPr>
        <w:t>Section 2.10(e)</w:t>
      </w:r>
      <w:r>
        <w:rPr>
          <w:rFonts w:ascii="Times New Roman" w:cs="Times New Roman" w:eastAsia="Times New Roman" w:hAnsi="Times New Roman"/>
          <w:sz w:val="19"/>
          <w:szCs w:val="19"/>
          <w:color w:val="auto"/>
        </w:rPr>
        <w:t xml:space="preserve">), not later than 11:00 a.m., New York time, four Business Days before the date of prepayment, (iii) in the case of prepayment of an RFR Borrowing (other than in the case of a prepayment pursuant to </w:t>
      </w:r>
      <w:r>
        <w:rPr>
          <w:rFonts w:ascii="Times New Roman" w:cs="Times New Roman" w:eastAsia="Times New Roman" w:hAnsi="Times New Roman"/>
          <w:sz w:val="19"/>
          <w:szCs w:val="19"/>
          <w:u w:val="single" w:color="auto"/>
          <w:color w:val="auto"/>
        </w:rPr>
        <w:t>Section 2.10(e)</w:t>
      </w:r>
      <w:r>
        <w:rPr>
          <w:rFonts w:ascii="Times New Roman" w:cs="Times New Roman" w:eastAsia="Times New Roman" w:hAnsi="Times New Roman"/>
          <w:sz w:val="19"/>
          <w:szCs w:val="19"/>
          <w:color w:val="auto"/>
        </w:rPr>
        <w:t xml:space="preserve">), not later than 11:00 a.m., New York time, four Business Days before the date of prepayment, (iv) in the case of prepayment of a Syndicated ABR Borrowing (other than in the case of a prepayment pursuant to </w:t>
      </w:r>
      <w:r>
        <w:rPr>
          <w:rFonts w:ascii="Times New Roman" w:cs="Times New Roman" w:eastAsia="Times New Roman" w:hAnsi="Times New Roman"/>
          <w:sz w:val="19"/>
          <w:szCs w:val="19"/>
          <w:u w:val="single" w:color="auto"/>
          <w:color w:val="auto"/>
        </w:rPr>
        <w:t>Section 2.10(e))</w:t>
      </w:r>
      <w:r>
        <w:rPr>
          <w:rFonts w:ascii="Times New Roman" w:cs="Times New Roman" w:eastAsia="Times New Roman" w:hAnsi="Times New Roman"/>
          <w:sz w:val="19"/>
          <w:szCs w:val="19"/>
          <w:color w:val="auto"/>
        </w:rPr>
        <w:t xml:space="preserve">, not later than 11:00 a.m., New York City time, one Business Day before the date of prepayment, (v) in the case of prepayment of a Swingline Loan, not later than 11:00 a.m., New York City time, on the date of prepayment, or (vi) in the case of any prepayment pursuant to </w:t>
      </w:r>
      <w:r>
        <w:rPr>
          <w:rFonts w:ascii="Times New Roman" w:cs="Times New Roman" w:eastAsia="Times New Roman" w:hAnsi="Times New Roman"/>
          <w:sz w:val="19"/>
          <w:szCs w:val="19"/>
          <w:u w:val="single" w:color="auto"/>
          <w:color w:val="auto"/>
        </w:rPr>
        <w:t>Section 2.10(e)</w:t>
      </w:r>
      <w:r>
        <w:rPr>
          <w:rFonts w:ascii="Times New Roman" w:cs="Times New Roman" w:eastAsia="Times New Roman" w:hAnsi="Times New Roman"/>
          <w:sz w:val="19"/>
          <w:szCs w:val="19"/>
          <w:color w:val="auto"/>
        </w:rPr>
        <w:t xml:space="preserve">, not later than 11:00 a.m., New York City time, one Business Day before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(i) a notice of prepayment is given in connection with a conditional notice of termination of the Commitments of a Class as contemplated by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then such notice of prepayment may be revoked if such notice of termination is revoked in accordance with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and (ii) any notice given in connection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2.10(e)</w:t>
      </w:r>
      <w:r>
        <w:rPr>
          <w:rFonts w:ascii="Times New Roman" w:cs="Times New Roman" w:eastAsia="Times New Roman" w:hAnsi="Times New Roman"/>
          <w:sz w:val="19"/>
          <w:szCs w:val="19"/>
          <w:color w:val="auto"/>
        </w:rPr>
        <w:t xml:space="preserve">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xml:space="preserve"> or in the case of a Swingline Loan, as provided in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xml:space="preserve"> , except as necessary to apply fully the required amount of a mandatory prepayment. Each prepayment of a Syndicated Borrowing shall be applied ratably to the Loans held by the Lenders of such Class included in the prepaid Borrowing. Prepayments shall be accompanied by accrued interest to the extent required by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xml:space="preserve"> and shall be made in the manner specified in </w:t>
      </w:r>
      <w:r>
        <w:rPr>
          <w:rFonts w:ascii="Times New Roman" w:cs="Times New Roman" w:eastAsia="Times New Roman" w:hAnsi="Times New Roman"/>
          <w:sz w:val="19"/>
          <w:szCs w:val="19"/>
          <w:u w:val="single" w:color="auto"/>
          <w:color w:val="auto"/>
        </w:rPr>
        <w:t>Section 2.09(b)</w:t>
      </w:r>
      <w:r>
        <w:rPr>
          <w:rFonts w:ascii="Times New Roman" w:cs="Times New Roman" w:eastAsia="Times New Roman" w:hAnsi="Times New Roman"/>
          <w:sz w:val="19"/>
          <w:szCs w:val="19"/>
          <w:color w:val="auto"/>
        </w:rPr>
        <w:t xml:space="preserve"> unless such prepayment is made in connection with the reduction of Commitments or the prepayment of Loans in accordance with Section 2.08(f) or a mandatory prepayment pursuant to Section 2.10(e) in which case such prepayment shall be applied in accordance with Section 2.08(f) or Section 2.10(e), as applicable.</w:t>
      </w:r>
    </w:p>
    <w:p>
      <w:pPr>
        <w:spacing w:after="0" w:line="16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2.11. </w:t>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60" w:firstLine="1410"/>
        <w:spacing w:after="0" w:line="255" w:lineRule="auto"/>
        <w:tabs>
          <w:tab w:leader="none" w:pos="1668"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Commitment Fee</w:t>
      </w:r>
      <w:r>
        <w:rPr>
          <w:rFonts w:ascii="Times New Roman" w:cs="Times New Roman" w:eastAsia="Times New Roman" w:hAnsi="Times New Roman"/>
          <w:sz w:val="19"/>
          <w:szCs w:val="19"/>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such Lender’s Commitment Termination Date. Accrued commitment fees shall be payable within one Business Day after each Quarterly Date and on the earlier of the date the Commitments of the respective Class terminate and the Commitment Termination Date of such Class,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the Commitment of any Class of a Lender shall be deemed to be used to the extent of the outstanding Syndicated Loans</w:t>
      </w:r>
    </w:p>
    <w:p>
      <w:pPr>
        <w:spacing w:after="0" w:line="15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1" w:name="page162"/>
    <w:bookmarkEnd w:id="161"/>
    <w:p>
      <w:pPr>
        <w:spacing w:after="0" w:line="26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9"/>
          <w:szCs w:val="19"/>
          <w:color w:val="auto"/>
        </w:rPr>
        <w:t>and LC Exposure of such Class of such Lender (and the Swingline Exposure of such Class of such Lender shall be disregarded for such purpose).</w:t>
      </w:r>
    </w:p>
    <w:p>
      <w:pPr>
        <w:spacing w:after="0" w:line="127" w:lineRule="exact"/>
        <w:rPr>
          <w:sz w:val="20"/>
          <w:szCs w:val="20"/>
          <w:color w:val="auto"/>
        </w:rPr>
      </w:pPr>
    </w:p>
    <w:p>
      <w:pPr>
        <w:ind w:firstLine="1410"/>
        <w:spacing w:after="0" w:line="252" w:lineRule="auto"/>
        <w:tabs>
          <w:tab w:leader="none" w:pos="168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Letter of Credit Fees</w:t>
      </w:r>
      <w:r>
        <w:rPr>
          <w:rFonts w:ascii="Times New Roman" w:cs="Times New Roman" w:eastAsia="Times New Roman" w:hAnsi="Times New Roman"/>
          <w:sz w:val="19"/>
          <w:szCs w:val="19"/>
          <w:color w:val="auto"/>
        </w:rPr>
        <w:t xml:space="preserve">. The Borrower agrees to pay (i) to the Administrative Agent for account of each Lender a participation fee with respect to its participations in Letters of Credit of each Class, which shall accrue at a rate per annum equal to the Applicable Margin applicable to interest on Term Benchmark Loans (or, if such Letter of Credit is denominated in Sterling or Swiss Franc, RFR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the Issuing Bank a fronting fee, which shall accrue at the rate of 0.125% per annum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the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such fees with respect to the Letters of Credit shall be payable (i) with respect to the Issuing Bank, on the Termination Date and (ii) with respect to any Lender, on the earlier to occur of such Lender’s Final Maturity Date and the Termination Date and the Borrower shall pay any such fees that have accrued and that are unpaid on such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the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59" w:lineRule="exact"/>
        <w:rPr>
          <w:rFonts w:ascii="Times New Roman" w:cs="Times New Roman" w:eastAsia="Times New Roman" w:hAnsi="Times New Roman"/>
          <w:sz w:val="19"/>
          <w:szCs w:val="19"/>
          <w:color w:val="auto"/>
        </w:rPr>
      </w:pPr>
    </w:p>
    <w:p>
      <w:pPr>
        <w:ind w:right="380" w:firstLine="1410"/>
        <w:spacing w:after="0" w:line="286" w:lineRule="auto"/>
        <w:tabs>
          <w:tab w:leader="none" w:pos="1668"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Administrative Agent Fees</w:t>
      </w:r>
      <w:r>
        <w:rPr>
          <w:rFonts w:ascii="Times New Roman" w:cs="Times New Roman" w:eastAsia="Times New Roman" w:hAnsi="Times New Roman"/>
          <w:sz w:val="19"/>
          <w:szCs w:val="19"/>
          <w:color w:val="auto"/>
        </w:rPr>
        <w:t>. The Borrower agrees to pay to the Administrative Agent, for its own account, fees payable in the amounts and at the times separately agreed upon between the Borrower and the Administrative Agent.</w:t>
      </w:r>
    </w:p>
    <w:p>
      <w:pPr>
        <w:spacing w:after="0" w:line="127" w:lineRule="exact"/>
        <w:rPr>
          <w:rFonts w:ascii="Times New Roman" w:cs="Times New Roman" w:eastAsia="Times New Roman" w:hAnsi="Times New Roman"/>
          <w:sz w:val="19"/>
          <w:szCs w:val="19"/>
          <w:color w:val="auto"/>
        </w:rPr>
      </w:pPr>
    </w:p>
    <w:p>
      <w:pPr>
        <w:jc w:val="both"/>
        <w:ind w:right="280" w:firstLine="1410"/>
        <w:spacing w:after="0" w:line="268" w:lineRule="auto"/>
        <w:tabs>
          <w:tab w:leader="none" w:pos="168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Fees</w:t>
      </w:r>
      <w:r>
        <w:rPr>
          <w:rFonts w:ascii="Times New Roman" w:cs="Times New Roman" w:eastAsia="Times New Roman" w:hAnsi="Times New Roman"/>
          <w:sz w:val="19"/>
          <w:szCs w:val="19"/>
          <w:color w:val="auto"/>
        </w:rPr>
        <w:t>. All fees payable hereunder shall be paid on the dates due, in Dollars (or, at the election of the Borrower with respect to any fees payable to the Issuing Bank on account of Letters of Credit issued in any Foreign Currency, in such Foreign Currency) and immediately available funds, to the Administrative Agent (or to the Issuing Bank, in the case of</w:t>
      </w:r>
    </w:p>
    <w:p>
      <w:pPr>
        <w:spacing w:after="0" w:line="1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2" w:name="page163"/>
    <w:bookmarkEnd w:id="162"/>
    <w:p>
      <w:pPr>
        <w:spacing w:after="0" w:line="26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9"/>
          <w:szCs w:val="19"/>
          <w:color w:val="auto"/>
        </w:rPr>
        <w:t>fees payable to it) for distribution, in the case of facility fees and participation fees, to the Lenders entitled thereto. Fees paid shall not be refundable under any circumstances absent obvious error.</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2.12. </w:t>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60" w:firstLine="1410"/>
        <w:spacing w:after="0" w:line="286" w:lineRule="auto"/>
        <w:tabs>
          <w:tab w:leader="none" w:pos="1668"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ABR Loans</w:t>
      </w:r>
      <w:r>
        <w:rPr>
          <w:rFonts w:ascii="Times New Roman" w:cs="Times New Roman" w:eastAsia="Times New Roman" w:hAnsi="Times New Roman"/>
          <w:sz w:val="19"/>
          <w:szCs w:val="19"/>
          <w:color w:val="auto"/>
        </w:rPr>
        <w:t xml:space="preserve">. The Loans constituting each ABR Borrowing (including each Swingline Loan) shall bear interest at a rate per annum equal to the Alternate Base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Margin.</w:t>
      </w:r>
    </w:p>
    <w:p>
      <w:pPr>
        <w:spacing w:after="0" w:line="127" w:lineRule="exact"/>
        <w:rPr>
          <w:rFonts w:ascii="Times New Roman" w:cs="Times New Roman" w:eastAsia="Times New Roman" w:hAnsi="Times New Roman"/>
          <w:sz w:val="19"/>
          <w:szCs w:val="19"/>
          <w:color w:val="auto"/>
        </w:rPr>
      </w:pPr>
    </w:p>
    <w:p>
      <w:pPr>
        <w:ind w:right="100" w:firstLine="1410"/>
        <w:spacing w:after="0" w:line="268" w:lineRule="auto"/>
        <w:tabs>
          <w:tab w:leader="none" w:pos="168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Benchmark Loans</w:t>
      </w:r>
      <w:r>
        <w:rPr>
          <w:rFonts w:ascii="Times New Roman" w:cs="Times New Roman" w:eastAsia="Times New Roman" w:hAnsi="Times New Roman"/>
          <w:sz w:val="19"/>
          <w:szCs w:val="19"/>
          <w:color w:val="auto"/>
        </w:rPr>
        <w:t xml:space="preserve">. The Loans constituting each Term Benchmark Borrowing shall bear interest at a rate per annum equal to the applicable Adjusted Term Benchmark Rate for the related Interest Period for such Borrowing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Margin.</w:t>
      </w:r>
    </w:p>
    <w:p>
      <w:pPr>
        <w:spacing w:after="0" w:line="144" w:lineRule="exact"/>
        <w:rPr>
          <w:rFonts w:ascii="Times New Roman" w:cs="Times New Roman" w:eastAsia="Times New Roman" w:hAnsi="Times New Roman"/>
          <w:sz w:val="19"/>
          <w:szCs w:val="19"/>
          <w:color w:val="auto"/>
        </w:rPr>
      </w:pPr>
    </w:p>
    <w:p>
      <w:pPr>
        <w:ind w:right="80" w:firstLine="1410"/>
        <w:spacing w:after="0" w:line="286" w:lineRule="auto"/>
        <w:tabs>
          <w:tab w:leader="none" w:pos="1668"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RFR Loans</w:t>
      </w:r>
      <w:r>
        <w:rPr>
          <w:rFonts w:ascii="Times New Roman" w:cs="Times New Roman" w:eastAsia="Times New Roman" w:hAnsi="Times New Roman"/>
          <w:sz w:val="19"/>
          <w:szCs w:val="19"/>
          <w:color w:val="auto"/>
        </w:rPr>
        <w:t xml:space="preserve">. The Loans constituting each RFR Borrowing shall bear interest at a rate per annum equal to the Daily Simple RFR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Margin.</w:t>
      </w:r>
    </w:p>
    <w:p>
      <w:pPr>
        <w:spacing w:after="0" w:line="127" w:lineRule="exact"/>
        <w:rPr>
          <w:rFonts w:ascii="Times New Roman" w:cs="Times New Roman" w:eastAsia="Times New Roman" w:hAnsi="Times New Roman"/>
          <w:sz w:val="19"/>
          <w:szCs w:val="19"/>
          <w:color w:val="auto"/>
        </w:rPr>
      </w:pPr>
    </w:p>
    <w:p>
      <w:pPr>
        <w:ind w:right="40" w:firstLine="1410"/>
        <w:spacing w:after="0" w:line="254" w:lineRule="auto"/>
        <w:tabs>
          <w:tab w:leader="none" w:pos="168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 Interest</w:t>
      </w:r>
      <w:r>
        <w:rPr>
          <w:rFonts w:ascii="Times New Roman" w:cs="Times New Roman" w:eastAsia="Times New Roman" w:hAnsi="Times New Roman"/>
          <w:sz w:val="19"/>
          <w:szCs w:val="19"/>
          <w:color w:val="auto"/>
        </w:rPr>
        <w:t xml:space="preserve">. Notwithstanding the foregoing, (i) if any amount of principal of any Loan or any fee or other amount payable by the Borrower hereunder is not paid when due (without regard to any applicable grace periods), whether at stated maturity, by acceleration or otherwise, such amount shall thereafter bear interest at a fluctuating interest rate per annum at all times equal to (A) in the case of principal of any Loan, 2%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rate otherwise applicable to such Loan as provided above, (B) in the case of any Letter of Credit, 2%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fee otherwise applicable to such Letter of Credit as provided in </w:t>
      </w:r>
      <w:r>
        <w:rPr>
          <w:rFonts w:ascii="Times New Roman" w:cs="Times New Roman" w:eastAsia="Times New Roman" w:hAnsi="Times New Roman"/>
          <w:sz w:val="19"/>
          <w:szCs w:val="19"/>
          <w:u w:val="single" w:color="auto"/>
          <w:color w:val="auto"/>
        </w:rPr>
        <w:t>Section 2.11(b)(i)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in the case of any fee or other amount, 2%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rate applicable to ABR Loans as provided in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of this Section and (ii) if any Event of Default has occurred and is continuing for any Term Benchmark Loan or RFR Loan, at the end of the current applicable Interest Period, interest shall (if requested by the Administrative Agent upon instructions of the Required Lenders) accrue (A) in the case of Dollar Loans, at the Alternate Base Rate plus the Applicable Margin plus 2% per annum and (B) for Loans in any Foreign Currency, at the one month Term Benchmark Rate or RFR Rate, as applicable, plus the Applicable Margin plus 2% per annum.</w:t>
      </w:r>
    </w:p>
    <w:p>
      <w:pPr>
        <w:spacing w:after="0" w:line="160" w:lineRule="exact"/>
        <w:rPr>
          <w:rFonts w:ascii="Times New Roman" w:cs="Times New Roman" w:eastAsia="Times New Roman" w:hAnsi="Times New Roman"/>
          <w:sz w:val="19"/>
          <w:szCs w:val="19"/>
          <w:color w:val="auto"/>
        </w:rPr>
      </w:pPr>
    </w:p>
    <w:p>
      <w:pPr>
        <w:ind w:firstLine="1410"/>
        <w:spacing w:after="0" w:line="255" w:lineRule="auto"/>
        <w:tabs>
          <w:tab w:leader="none" w:pos="1668"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Interest</w:t>
      </w:r>
      <w:r>
        <w:rPr>
          <w:rFonts w:ascii="Times New Roman" w:cs="Times New Roman" w:eastAsia="Times New Roman" w:hAnsi="Times New Roman"/>
          <w:sz w:val="19"/>
          <w:szCs w:val="19"/>
          <w:color w:val="auto"/>
        </w:rPr>
        <w:t xml:space="preserve">. Accrued interest on each Loan shall be payable in arrears on each Interest Payment Date for such Loan in the Currency in which such Loan is denominated and, in the case of Syndicated Loans, with respect to any Lender, upon the earlier of such Lender’s Final Maturity Date and the Termination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interest accrued pursuant to </w:t>
      </w:r>
      <w:r>
        <w:rPr>
          <w:rFonts w:ascii="Times New Roman" w:cs="Times New Roman" w:eastAsia="Times New Roman" w:hAnsi="Times New Roman"/>
          <w:sz w:val="19"/>
          <w:szCs w:val="19"/>
          <w:u w:val="single" w:color="auto"/>
          <w:color w:val="auto"/>
        </w:rPr>
        <w:t>paragraph (c)</w:t>
      </w:r>
      <w:r>
        <w:rPr>
          <w:rFonts w:ascii="Times New Roman" w:cs="Times New Roman" w:eastAsia="Times New Roman" w:hAnsi="Times New Roman"/>
          <w:sz w:val="19"/>
          <w:szCs w:val="19"/>
          <w:color w:val="auto"/>
        </w:rPr>
        <w:t xml:space="preserve"> of this Section shall be payable on demand, (ii) in the event of any repayment or prepayment of any Loan (other than a prepayment of a Syndicated ABR Loan prior to such Lender’s Final Maturity Date), accrued interest on the principal amount repaid or prepaid shall be payable on the date of such repayment or prepayment and (iii) in the event of any conversion of any Term Benchmark Borrowing denominated in Dollars prior to the end of the Interest Period therefor, accrued interest on such Borrowing shall be payable on the effective date of such conversion.</w:t>
      </w:r>
    </w:p>
    <w:p>
      <w:pPr>
        <w:spacing w:after="0" w:line="159" w:lineRule="exact"/>
        <w:rPr>
          <w:rFonts w:ascii="Times New Roman" w:cs="Times New Roman" w:eastAsia="Times New Roman" w:hAnsi="Times New Roman"/>
          <w:sz w:val="19"/>
          <w:szCs w:val="19"/>
          <w:color w:val="auto"/>
        </w:rPr>
      </w:pPr>
    </w:p>
    <w:p>
      <w:pPr>
        <w:ind w:right="500" w:firstLine="1410"/>
        <w:spacing w:after="0" w:line="268" w:lineRule="auto"/>
        <w:tabs>
          <w:tab w:leader="none" w:pos="1644"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Computation</w:t>
      </w:r>
      <w:r>
        <w:rPr>
          <w:rFonts w:ascii="Times New Roman" w:cs="Times New Roman" w:eastAsia="Times New Roman" w:hAnsi="Times New Roman"/>
          <w:sz w:val="19"/>
          <w:szCs w:val="19"/>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Canadian Dollars or Sterling shall be computed on the basis of a year of 365 days</w:t>
      </w:r>
    </w:p>
    <w:p>
      <w:pPr>
        <w:spacing w:after="0" w:line="1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3" w:name="page164"/>
    <w:bookmarkEnd w:id="163"/>
    <w:p>
      <w:pPr>
        <w:spacing w:after="0" w:line="2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(or 366 days in a leap year), and in each case shall be payable for the actual number of days elapsed (including the first day but excluding the last day). The applicable Alternate Base Rate, Daily Simple RFR or Adjusted Term Benchmark Rate shall be determined by the Administrative Agent and such determination shall be conclusive absent manifest error.</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2.13. </w:t>
      </w:r>
      <w:r>
        <w:rPr>
          <w:rFonts w:ascii="Times New Roman" w:cs="Times New Roman" w:eastAsia="Times New Roman" w:hAnsi="Times New Roman"/>
          <w:sz w:val="19"/>
          <w:szCs w:val="19"/>
          <w:u w:val="single" w:color="auto"/>
          <w:color w:val="auto"/>
        </w:rPr>
        <w:t>Inability to Determine Interest Rates</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if:</w:t>
      </w:r>
    </w:p>
    <w:p>
      <w:pPr>
        <w:spacing w:after="0" w:line="202" w:lineRule="exact"/>
        <w:rPr>
          <w:sz w:val="20"/>
          <w:szCs w:val="20"/>
          <w:color w:val="auto"/>
        </w:rPr>
      </w:pPr>
    </w:p>
    <w:p>
      <w:pPr>
        <w:ind w:right="20" w:firstLine="1410"/>
        <w:spacing w:after="0" w:line="256" w:lineRule="auto"/>
        <w:tabs>
          <w:tab w:leader="none" w:pos="1714"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prior to the commencement of any Interest Period for a Term Benchmark Borrowing in any Currency, the Administrative Agent determines (which determination shall be conclusive absent manifest error) that adequate and reasonable means do not exist for ascertaining the applicable Adjusted Term Benchmark Rate (including, without limitation, because the applicable Screen Rate for such Currency for such Interest Period is not available or published on a current basis and such circumstances are unlikely to be temporary) for such Interest Period or (ii) at any time, for an RFR Borrowing, the Administrative Agent determines that adequate and reasonable means do not exist for ascertaining the Daily Simple RFR (each determination under this clause (a) shall be made in good faith and shall be conclusive absent manifest error); or</w:t>
      </w:r>
    </w:p>
    <w:p>
      <w:pPr>
        <w:spacing w:after="0" w:line="157" w:lineRule="exact"/>
        <w:rPr>
          <w:rFonts w:ascii="Times New Roman" w:cs="Times New Roman" w:eastAsia="Times New Roman" w:hAnsi="Times New Roman"/>
          <w:sz w:val="19"/>
          <w:szCs w:val="19"/>
          <w:color w:val="auto"/>
        </w:rPr>
      </w:pPr>
    </w:p>
    <w:p>
      <w:pPr>
        <w:ind w:firstLine="1410"/>
        <w:spacing w:after="0" w:line="257" w:lineRule="auto"/>
        <w:tabs>
          <w:tab w:leader="none" w:pos="1676"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prior to the commencement of any Interest Period for a Term Benchmark Borrowing in any Currency, the Administrative Agent is advised by the Required Lenders of the applicable Class that the Adjusted Term Benchmark Rate for a Loan in such Currency or for the applicable Interest Period will not adequately and fairly reflect the cost to such Lenders of making or maintaining the Loans included in such Borrowing for such Interest Period or (ii) at any time for an RFR Borrowing in any Currency, the Administrative Agent is advised by the Required Multicurrency Lenders that the Daily Simple RFR for a Loan in such Currency will not adequately and fairly reflect the cost to such Lenders of making or maintaining the Loans included in such Borrowing;</w:t>
      </w:r>
    </w:p>
    <w:p>
      <w:pPr>
        <w:spacing w:after="0" w:line="15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 xml:space="preserve">then the Administrative Agent shall give written notice thereof (or telephonic notice, promptly confirmed in writing) to the Borrower and the affected Lenders as promptly as practicable thereafter identifying the relevant provision above. Until the Administrative Agent shall notify the Borrower and the Lenders that the circumstances giving rise to such notice no longer exist, (i) any Interest Election Request that requests the conversion of any Syndicated Borrowing to, or the continuation of any Syndicated Borrowing as, a Term Benchmark Borrowing denominated in the affected Currency shall be ineffective and, if the affected Currency is Dollars, such Syndicated Borrowing (unless prepaid) shall be continued as, or converted to, a Syndicated ABR Borrowing at the end of the applicable Interest Period, (ii) if the affected Currency is Dollars and any Borrowing Request requests a Term Benchmark Borrowing denominated in Dollars, such Borrowing shall be made as a Syndicated ABR Borrowing, (iii) if the affected Currency is a Foreign Currency other than Canadian Dollars, (A) any Borrowing Request that requests a Term Benchmark Borrowing or RFR Borrowing denominated in the affected Currency shall be made as a Borrowing bearing interest at the Central Bank Rate for the applicable Agreed Foreign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 determines (which determination shall be conclusive and binding absent manifest error) that the Central Bank Rate for the applicable Agreed Foreign Currency cannot be determined, such Borrowing Request shall be ineffective, and (B) any outstanding Term Benchmark Borrowing or RFR Borrowing in the affected Currency, at the Borrower’s election shall either (1) be converted to a Borrowing bearing interest at the Central Bank Rate for the applicable Agreed Foreign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w:t>
      </w:r>
    </w:p>
    <w:p>
      <w:pPr>
        <w:spacing w:after="0" w:line="15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4" w:name="page165"/>
    <w:bookmarkEnd w:id="164"/>
    <w:p>
      <w:pPr>
        <w:spacing w:after="0" w:line="26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color w:val="auto"/>
        </w:rPr>
        <w:t xml:space="preserve">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 Syndicated ABR Borrowing denominated in Dollars (in an amount 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(2) be converted into a Syndicated ABR Borrowing denominated in Dollars (in an amount equal to the Dollar Equivalent of such affected Currency) at the end of the applicable Interest Period, or (3) be prepaid in full at the end of the applicable Interest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no election is made by the Borrower by the date that is three Business Days after receipt by the Borrower of such notice or, in the case of a Term Benchmark Borrowing, the last day of the current Interest Period for the applicable Term Benchmark Loan, if earlier, the Borrower shall be deemed to have elected </w:t>
      </w:r>
      <w:r>
        <w:rPr>
          <w:rFonts w:ascii="Times New Roman" w:cs="Times New Roman" w:eastAsia="Times New Roman" w:hAnsi="Times New Roman"/>
          <w:sz w:val="19"/>
          <w:szCs w:val="19"/>
          <w:u w:val="single" w:color="auto"/>
          <w:color w:val="auto"/>
        </w:rPr>
        <w:t>clause (iii)(B)(1)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(iv)(B)(1)</w:t>
      </w:r>
      <w:r>
        <w:rPr>
          <w:rFonts w:ascii="Times New Roman" w:cs="Times New Roman" w:eastAsia="Times New Roman" w:hAnsi="Times New Roman"/>
          <w:sz w:val="19"/>
          <w:szCs w:val="19"/>
          <w:color w:val="auto"/>
        </w:rPr>
        <w:t xml:space="preserve"> above, as applicable.</w:t>
      </w:r>
    </w:p>
    <w:p>
      <w:pPr>
        <w:spacing w:after="0" w:line="16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2.14. </w:t>
      </w:r>
      <w:r>
        <w:rPr>
          <w:rFonts w:ascii="Times New Roman" w:cs="Times New Roman" w:eastAsia="Times New Roman" w:hAnsi="Times New Roman"/>
          <w:sz w:val="19"/>
          <w:szCs w:val="19"/>
          <w:u w:val="single" w:color="auto"/>
          <w:color w:val="auto"/>
        </w:rPr>
        <w:t>Increased Costs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680" w:hanging="270"/>
        <w:spacing w:after="0"/>
        <w:tabs>
          <w:tab w:leader="none" w:pos="168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Increased Costs Generally</w:t>
      </w:r>
      <w:r>
        <w:rPr>
          <w:rFonts w:ascii="Times New Roman" w:cs="Times New Roman" w:eastAsia="Times New Roman" w:hAnsi="Times New Roman"/>
          <w:sz w:val="19"/>
          <w:szCs w:val="19"/>
          <w:color w:val="auto"/>
        </w:rPr>
        <w:t>. If any Change in Law shall:</w:t>
      </w:r>
    </w:p>
    <w:p>
      <w:pPr>
        <w:spacing w:after="0" w:line="201" w:lineRule="exact"/>
        <w:rPr>
          <w:rFonts w:ascii="Times New Roman" w:cs="Times New Roman" w:eastAsia="Times New Roman" w:hAnsi="Times New Roman"/>
          <w:sz w:val="19"/>
          <w:szCs w:val="19"/>
          <w:color w:val="auto"/>
        </w:rPr>
      </w:pPr>
    </w:p>
    <w:p>
      <w:pPr>
        <w:ind w:left="700" w:right="80" w:firstLine="746"/>
        <w:spacing w:after="0" w:line="259" w:lineRule="auto"/>
        <w:tabs>
          <w:tab w:leader="none" w:pos="1673"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modify or deem applicable any reserve (including pursuant to regulations issued from time to time by the Board for determining the maximum reserve requirement (including any emergency, special, supplemental other marginal reserve requirement) with respect to any eurocurrency funding (currently referred to as “Eurocurrency liabilities” in Regulation D)), special deposit or similar requirement against assets of, deposits with or for account of, or credit extended by, any Lender (except any such reserve requirement reflected in the Adjusted Term Benchmark Rate for Euros) or the Issuing Bank; or</w:t>
      </w:r>
    </w:p>
    <w:p>
      <w:pPr>
        <w:spacing w:after="0" w:line="153" w:lineRule="exact"/>
        <w:rPr>
          <w:rFonts w:ascii="Times New Roman" w:cs="Times New Roman" w:eastAsia="Times New Roman" w:hAnsi="Times New Roman"/>
          <w:sz w:val="19"/>
          <w:szCs w:val="19"/>
          <w:color w:val="auto"/>
        </w:rPr>
      </w:pPr>
    </w:p>
    <w:p>
      <w:pPr>
        <w:ind w:left="700" w:right="120" w:firstLine="746"/>
        <w:spacing w:after="0" w:line="268" w:lineRule="auto"/>
        <w:tabs>
          <w:tab w:leader="none" w:pos="1727"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on any Lender or the Issuing Bank any other condition, cost or expense (other than Taxes) affecting this Agreement or Term Benchmark Loans or RFR Loans made by such Lender or any Letter of Credit or participation in any such Loan or Letter of Credit;</w:t>
      </w:r>
    </w:p>
    <w:p>
      <w:pPr>
        <w:spacing w:after="0" w:line="14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Lenders of making, converting to, continuing or maintaining any Term Benchmark Loan or RFR Loan (or of maintaining its obligation to make any such Loan) or to increase the cost to such Lender or the</w:t>
      </w:r>
    </w:p>
    <w:p>
      <w:pPr>
        <w:spacing w:after="0" w:line="1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5" w:name="page166"/>
    <w:bookmarkEnd w:id="165"/>
    <w:p>
      <w:pPr>
        <w:spacing w:after="0" w:line="26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Issuing Bank of participating in, issuing or maintaining any Letter of Credit or to reduce the amount of any sum received or receivable by such Lender or the Issuing Bank hereunder (whether of principal, interest or otherwise), then the Borrower will pay to such Lender or the Issuing Bank, as the case may be, in Dollars, such additional amount or amounts as will compensate such Lender or the Issuing Bank, as the case may be, for such additional costs incurred or reduction suffered.</w:t>
      </w:r>
    </w:p>
    <w:p>
      <w:pPr>
        <w:spacing w:after="0" w:line="150" w:lineRule="exact"/>
        <w:rPr>
          <w:sz w:val="20"/>
          <w:szCs w:val="20"/>
          <w:color w:val="auto"/>
        </w:rPr>
      </w:pPr>
    </w:p>
    <w:p>
      <w:pPr>
        <w:ind w:right="40" w:firstLine="1410"/>
        <w:spacing w:after="0" w:line="254" w:lineRule="auto"/>
        <w:tabs>
          <w:tab w:leader="none" w:pos="1680"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Capital or Liquidity Requirements</w:t>
      </w:r>
      <w:r>
        <w:rPr>
          <w:rFonts w:ascii="Times New Roman" w:cs="Times New Roman" w:eastAsia="Times New Roman" w:hAnsi="Times New Roman"/>
          <w:sz w:val="19"/>
          <w:szCs w:val="19"/>
          <w:color w:val="auto"/>
        </w:rPr>
        <w:t>.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Swingline Loans and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by an amount deemed to be material by such Lender or the Issuing Bank, then from time to time the Borrower will pay to such Lender or the Issuing Bank, as the case may be, in Dollars, such additional amount or amounts as will compensate such Lender or the Issuing Bank or such Lender’s or the Issuing Bank’s holding company for any such reduction suffered.</w:t>
      </w:r>
    </w:p>
    <w:p>
      <w:pPr>
        <w:spacing w:after="0" w:line="160" w:lineRule="exact"/>
        <w:rPr>
          <w:rFonts w:ascii="Times New Roman" w:cs="Times New Roman" w:eastAsia="Times New Roman" w:hAnsi="Times New Roman"/>
          <w:sz w:val="19"/>
          <w:szCs w:val="19"/>
          <w:color w:val="auto"/>
        </w:rPr>
      </w:pPr>
    </w:p>
    <w:p>
      <w:pPr>
        <w:ind w:right="80" w:firstLine="1410"/>
        <w:spacing w:after="0" w:line="257" w:lineRule="auto"/>
        <w:tabs>
          <w:tab w:leader="none" w:pos="1668"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Certificates from Lenders</w:t>
      </w:r>
      <w:r>
        <w:rPr>
          <w:rFonts w:ascii="Times New Roman" w:cs="Times New Roman" w:eastAsia="Times New Roman" w:hAnsi="Times New Roman"/>
          <w:sz w:val="19"/>
          <w:szCs w:val="19"/>
          <w:color w:val="auto"/>
        </w:rPr>
        <w:t xml:space="preserve">. A certificate of a Lender or the Issuing Bank setting forth in reasonable detail the basis for and the calculation of the amount or amounts, in Dollars, necessary to compensate such Lender or the Issuing Bank or its holding company, as the case may be, as specified in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Section shall be promptly delivered to the Borrower and shall be conclusive absent manifest error (it being understood that no Lender shall be required to disclose (i) any confidential or price sensitive information or (ii) any information to the extent prohibited by applicable law). The Borrower shall pay such Lender or the Issuing Bank, as the case may be, the amount shown as due on any such certificate within 10 days after receipt thereof.</w:t>
      </w:r>
    </w:p>
    <w:p>
      <w:pPr>
        <w:spacing w:after="0" w:line="156" w:lineRule="exact"/>
        <w:rPr>
          <w:rFonts w:ascii="Times New Roman" w:cs="Times New Roman" w:eastAsia="Times New Roman" w:hAnsi="Times New Roman"/>
          <w:sz w:val="19"/>
          <w:szCs w:val="19"/>
          <w:color w:val="auto"/>
        </w:rPr>
      </w:pPr>
    </w:p>
    <w:p>
      <w:pPr>
        <w:ind w:firstLine="1410"/>
        <w:spacing w:after="0" w:line="256" w:lineRule="auto"/>
        <w:tabs>
          <w:tab w:leader="none" w:pos="1680"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Delay in Requests</w:t>
      </w:r>
      <w:r>
        <w:rPr>
          <w:rFonts w:ascii="Times New Roman" w:cs="Times New Roman" w:eastAsia="Times New Roman" w:hAnsi="Times New Roman"/>
          <w:sz w:val="19"/>
          <w:szCs w:val="19"/>
          <w:color w:val="auto"/>
        </w:rPr>
        <w:t xml:space="preserve">. Failure or delay on the part of any Lender or the Issuing Bank to demand compensation pursuant to this Section shall not constitute a waiver of such Lender’s or the Issuing Bank’s right to demand such compensation;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not be required to compensate a Lender or the Issuing Bank pursuant to this Section for any increased costs or reductions incurred more than six months prior to the date that such Lender or the Issuing Bank, as the case may be, notifies the Borrower of the Change in Law giving rise to such increased costs or reductions and of such Lender’s or the Issuing Bank’s intention to claim compensation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if the Change in Law giving rise to such increased costs or reductions is retroactive, then the six-month period referred to above shall be extended to include the period of retroactive effect thereof.</w:t>
      </w:r>
    </w:p>
    <w:p>
      <w:pPr>
        <w:spacing w:after="0" w:line="157" w:lineRule="exact"/>
        <w:rPr>
          <w:sz w:val="20"/>
          <w:szCs w:val="20"/>
          <w:color w:val="auto"/>
        </w:rPr>
      </w:pPr>
    </w:p>
    <w:p>
      <w:pPr>
        <w:jc w:val="both"/>
        <w:ind w:right="200" w:firstLine="1404"/>
        <w:spacing w:after="0" w:line="262" w:lineRule="auto"/>
        <w:rPr>
          <w:sz w:val="20"/>
          <w:szCs w:val="20"/>
          <w:color w:val="auto"/>
        </w:rPr>
      </w:pPr>
      <w:r>
        <w:rPr>
          <w:rFonts w:ascii="Times New Roman" w:cs="Times New Roman" w:eastAsia="Times New Roman" w:hAnsi="Times New Roman"/>
          <w:sz w:val="19"/>
          <w:szCs w:val="19"/>
          <w:color w:val="auto"/>
        </w:rPr>
        <w:t xml:space="preserve">SECTION 2.15. </w:t>
      </w:r>
      <w:r>
        <w:rPr>
          <w:rFonts w:ascii="Times New Roman" w:cs="Times New Roman" w:eastAsia="Times New Roman" w:hAnsi="Times New Roman"/>
          <w:sz w:val="19"/>
          <w:szCs w:val="19"/>
          <w:u w:val="single" w:color="auto"/>
          <w:color w:val="auto"/>
        </w:rPr>
        <w:t>Break Funding Payments</w:t>
      </w:r>
      <w:r>
        <w:rPr>
          <w:rFonts w:ascii="Times New Roman" w:cs="Times New Roman" w:eastAsia="Times New Roman" w:hAnsi="Times New Roman"/>
          <w:sz w:val="19"/>
          <w:szCs w:val="19"/>
          <w:color w:val="auto"/>
        </w:rPr>
        <w:t>. In the event of (a) the payment of any principal of any Term Benchmark Loan, in each case, other than on the last day of an Interest Period therefor (including as a result of the occurrence of any Commitment Increase Date or an Event of Default), (b) the conversion of any Term Benchmark Loan other than on the last day of an Interest Period therefor, (c) the failure to borrow, convert, continue or prepay any Term</w:t>
      </w:r>
    </w:p>
    <w:p>
      <w:pPr>
        <w:spacing w:after="0" w:line="14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66" w:name="page167"/>
    <w:bookmarkEnd w:id="166"/>
    <w:p>
      <w:pPr>
        <w:spacing w:after="0" w:line="26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 xml:space="preserve">Benchmark Loan on the date specified in any notice delivered pursuant hereto (including, in connection with any Commitment Increase Date, and regardless of whether such notice is permitted to be revocable under </w:t>
      </w:r>
      <w:r>
        <w:rPr>
          <w:rFonts w:ascii="Times New Roman" w:cs="Times New Roman" w:eastAsia="Times New Roman" w:hAnsi="Times New Roman"/>
          <w:sz w:val="19"/>
          <w:szCs w:val="19"/>
          <w:u w:val="single" w:color="auto"/>
          <w:color w:val="auto"/>
        </w:rPr>
        <w:t>Section 2.10(f)</w:t>
      </w:r>
      <w:r>
        <w:rPr>
          <w:rFonts w:ascii="Times New Roman" w:cs="Times New Roman" w:eastAsia="Times New Roman" w:hAnsi="Times New Roman"/>
          <w:sz w:val="19"/>
          <w:szCs w:val="19"/>
          <w:color w:val="auto"/>
        </w:rPr>
        <w:t xml:space="preserve"> and is revoked in accordance herewith), or</w:t>
      </w:r>
    </w:p>
    <w:p>
      <w:pPr>
        <w:spacing w:after="0" w:line="1" w:lineRule="exact"/>
        <w:rPr>
          <w:sz w:val="20"/>
          <w:szCs w:val="20"/>
          <w:color w:val="auto"/>
        </w:rPr>
      </w:pPr>
    </w:p>
    <w:p>
      <w:pPr>
        <w:ind w:right="20" w:firstLine="6"/>
        <w:spacing w:after="0" w:line="253" w:lineRule="auto"/>
        <w:tabs>
          <w:tab w:leader="none" w:pos="272"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assignment as a result of a request by the Borrower pursuant to </w:t>
      </w:r>
      <w:r>
        <w:rPr>
          <w:rFonts w:ascii="Times New Roman" w:cs="Times New Roman" w:eastAsia="Times New Roman" w:hAnsi="Times New Roman"/>
          <w:sz w:val="19"/>
          <w:szCs w:val="19"/>
          <w:u w:val="single" w:color="auto"/>
          <w:color w:val="auto"/>
        </w:rPr>
        <w:t>Section 2.18(b)</w:t>
      </w:r>
      <w:r>
        <w:rPr>
          <w:rFonts w:ascii="Times New Roman" w:cs="Times New Roman" w:eastAsia="Times New Roman" w:hAnsi="Times New Roman"/>
          <w:sz w:val="19"/>
          <w:szCs w:val="19"/>
          <w:color w:val="auto"/>
        </w:rPr>
        <w:t xml:space="preserve"> of any Term Benchmark Loan other than on the last day of an Interest Period therefor, then, in any such event, the Borrower shall compensate each affected Lender for such Lender’s the loss, cost and reasonable expense attributable to such event (excluding loss of anticipated profits). In the case of a Term Benchmark Loan, the loss to any Lender attributable to any such event shall be deemed to include an amount determined by such Lender to be equal to the excess, if any, of</w:t>
      </w:r>
    </w:p>
    <w:p>
      <w:pPr>
        <w:spacing w:after="0" w:line="158" w:lineRule="exact"/>
        <w:rPr>
          <w:rFonts w:ascii="Times New Roman" w:cs="Times New Roman" w:eastAsia="Times New Roman" w:hAnsi="Times New Roman"/>
          <w:sz w:val="19"/>
          <w:szCs w:val="19"/>
          <w:color w:val="auto"/>
        </w:rPr>
      </w:pPr>
    </w:p>
    <w:p>
      <w:pPr>
        <w:ind w:left="700" w:right="240" w:firstLine="746"/>
        <w:spacing w:after="0" w:line="259" w:lineRule="auto"/>
        <w:tabs>
          <w:tab w:leader="none" w:pos="1673"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Adjusted Term Benchmark Rate for such Currency for such Interest Period, </w:t>
      </w:r>
      <w:r>
        <w:rPr>
          <w:rFonts w:ascii="Times New Roman" w:cs="Times New Roman" w:eastAsia="Times New Roman" w:hAnsi="Times New Roman"/>
          <w:sz w:val="19"/>
          <w:szCs w:val="19"/>
          <w:u w:val="single" w:color="auto"/>
          <w:color w:val="auto"/>
        </w:rPr>
        <w:t>over</w:t>
      </w:r>
    </w:p>
    <w:p>
      <w:pPr>
        <w:spacing w:after="0" w:line="153" w:lineRule="exact"/>
        <w:rPr>
          <w:rFonts w:ascii="Times New Roman" w:cs="Times New Roman" w:eastAsia="Times New Roman" w:hAnsi="Times New Roman"/>
          <w:sz w:val="19"/>
          <w:szCs w:val="19"/>
          <w:color w:val="auto"/>
        </w:rPr>
      </w:pPr>
    </w:p>
    <w:p>
      <w:pPr>
        <w:ind w:left="700" w:right="100" w:firstLine="746"/>
        <w:spacing w:after="0" w:line="262" w:lineRule="auto"/>
        <w:tabs>
          <w:tab w:leader="none" w:pos="1727"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market for the applicable Term Benchmark Rate at the commencement of such period.</w:t>
      </w:r>
    </w:p>
    <w:p>
      <w:pPr>
        <w:spacing w:after="0" w:line="15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auto"/>
        </w:rPr>
        <w:t xml:space="preserve">Payment under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shall be made upon request of a Lender delivered not later than five Business Days following the payment, conversion, or failure to borrow, convert, continue or prepay that gives rise to a claim under this Section accompanied by a certificate of such Lender setting forth in reasonable detail the basis for and the calculation of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154" w:lineRule="exact"/>
        <w:rPr>
          <w:sz w:val="20"/>
          <w:szCs w:val="20"/>
          <w:color w:val="auto"/>
        </w:rPr>
      </w:pPr>
    </w:p>
    <w:p>
      <w:pPr>
        <w:ind w:right="140" w:firstLine="1404"/>
        <w:spacing w:after="0" w:line="286" w:lineRule="auto"/>
        <w:rPr>
          <w:sz w:val="20"/>
          <w:szCs w:val="20"/>
          <w:color w:val="auto"/>
        </w:rPr>
      </w:pPr>
      <w:r>
        <w:rPr>
          <w:rFonts w:ascii="Times New Roman" w:cs="Times New Roman" w:eastAsia="Times New Roman" w:hAnsi="Times New Roman"/>
          <w:sz w:val="19"/>
          <w:szCs w:val="19"/>
          <w:color w:val="auto"/>
        </w:rPr>
        <w:t xml:space="preserve">SECTION 2.16.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xml:space="preserve">. For purposes of this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the term “Lender” includes the Issuing Bank and the term “applicable law” includes FATCA.</w:t>
      </w:r>
    </w:p>
    <w:p>
      <w:pPr>
        <w:spacing w:after="0" w:line="127" w:lineRule="exact"/>
        <w:rPr>
          <w:sz w:val="20"/>
          <w:szCs w:val="20"/>
          <w:color w:val="auto"/>
        </w:rPr>
      </w:pPr>
    </w:p>
    <w:p>
      <w:pPr>
        <w:ind w:firstLine="1410"/>
        <w:spacing w:after="0" w:line="255" w:lineRule="auto"/>
        <w:tabs>
          <w:tab w:leader="none" w:pos="1668"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Free of Taxes</w:t>
      </w:r>
      <w:r>
        <w:rPr>
          <w:rFonts w:ascii="Times New Roman" w:cs="Times New Roman" w:eastAsia="Times New Roman" w:hAnsi="Times New Roman"/>
          <w:sz w:val="19"/>
          <w:szCs w:val="19"/>
          <w:color w:val="auto"/>
        </w:rPr>
        <w:t xml:space="preserve">. Any and all payments by or on account of any obligation of the Borrower hereunder or under any other Loan Document shall be made free and clear of and without deduction for any Taxes, except as required by applicable law;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Borrower shall be required to deduct any Taxes from such payments, then (i) if such Taxes are Indemnified Taxes, the sum payable by the Borrower shall be increased as necessary so that after making all required deductions (including deductions applicable to additional sums payable under this Section) the Administrative Agent, applicable Lender or the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15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7" w:name="page168"/>
    <w:bookmarkEnd w:id="167"/>
    <w:p>
      <w:pPr>
        <w:spacing w:after="0" w:line="269" w:lineRule="exact"/>
        <w:rPr>
          <w:sz w:val="20"/>
          <w:szCs w:val="20"/>
          <w:color w:val="auto"/>
        </w:rPr>
      </w:pPr>
    </w:p>
    <w:p>
      <w:pPr>
        <w:ind w:right="420" w:firstLine="1410"/>
        <w:spacing w:after="0" w:line="286" w:lineRule="auto"/>
        <w:tabs>
          <w:tab w:leader="none" w:pos="168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Other Taxes by the Borrower</w:t>
      </w:r>
      <w:r>
        <w:rPr>
          <w:rFonts w:ascii="Times New Roman" w:cs="Times New Roman" w:eastAsia="Times New Roman" w:hAnsi="Times New Roman"/>
          <w:sz w:val="19"/>
          <w:szCs w:val="19"/>
          <w:color w:val="auto"/>
        </w:rPr>
        <w:t>. In addition, the Borrower shall pay any Other Taxes to the relevant Governmental Authority in accordance with applicable law.</w:t>
      </w:r>
    </w:p>
    <w:p>
      <w:pPr>
        <w:spacing w:after="0" w:line="127" w:lineRule="exact"/>
        <w:rPr>
          <w:rFonts w:ascii="Times New Roman" w:cs="Times New Roman" w:eastAsia="Times New Roman" w:hAnsi="Times New Roman"/>
          <w:sz w:val="19"/>
          <w:szCs w:val="19"/>
          <w:color w:val="auto"/>
        </w:rPr>
      </w:pPr>
    </w:p>
    <w:p>
      <w:pPr>
        <w:ind w:right="80" w:firstLine="1410"/>
        <w:spacing w:after="0" w:line="255" w:lineRule="auto"/>
        <w:tabs>
          <w:tab w:leader="none" w:pos="1668"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Borrower</w:t>
      </w:r>
      <w:r>
        <w:rPr>
          <w:rFonts w:ascii="Times New Roman" w:cs="Times New Roman" w:eastAsia="Times New Roman" w:hAnsi="Times New Roman"/>
          <w:sz w:val="19"/>
          <w:szCs w:val="19"/>
          <w:color w:val="auto"/>
        </w:rPr>
        <w:t>. The Borrower shall indemnify the Administrative Agent, each Lender and the Issuing Bank for and, within 10 Business Days after written demand therefor, pay the full amount of any Indemnified Taxes (including Indemnified Taxes imposed or asserted on or attributable to amounts payable under this Section) paid by the Administrative Agent, such Lender or the Issuing Bank, as the case may be, and any penalties, interest and reasonable expenses arising therefrom or with respect thereto, whether or not such Indemnified Taxes were correctly or legally imposed or asserted by the relevant Governmental Authority, except to the extent that any such Indemnified Taxes arise as the result of the gross negligence or willful misconduct of the Administrative Agent, such Lender or the Issuing Bank. A certificate as to the amount of such payment or liability delivered to the Borrower by a Lender or the Issuing Bank, or by the Administrative Agent on its own behalf or on behalf of a Lender or the Issuing Bank, shall be conclusive absent manifest error.</w:t>
      </w:r>
    </w:p>
    <w:p>
      <w:pPr>
        <w:spacing w:after="0" w:line="155" w:lineRule="exact"/>
        <w:rPr>
          <w:rFonts w:ascii="Times New Roman" w:cs="Times New Roman" w:eastAsia="Times New Roman" w:hAnsi="Times New Roman"/>
          <w:sz w:val="19"/>
          <w:szCs w:val="19"/>
          <w:color w:val="auto"/>
        </w:rPr>
      </w:pPr>
    </w:p>
    <w:p>
      <w:pPr>
        <w:ind w:right="80" w:firstLine="1410"/>
        <w:spacing w:after="0" w:line="254" w:lineRule="auto"/>
        <w:tabs>
          <w:tab w:leader="none" w:pos="168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Lenders</w:t>
      </w:r>
      <w:r>
        <w:rPr>
          <w:rFonts w:ascii="Times New Roman" w:cs="Times New Roman" w:eastAsia="Times New Roman" w:hAnsi="Times New Roman"/>
          <w:sz w:val="19"/>
          <w:szCs w:val="19"/>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cs="Times New Roman" w:eastAsia="Times New Roman" w:hAnsi="Times New Roman"/>
          <w:sz w:val="19"/>
          <w:szCs w:val="19"/>
          <w:u w:val="single" w:color="auto"/>
          <w:color w:val="auto"/>
        </w:rPr>
        <w:t>Section 9.04(f)</w:t>
      </w:r>
      <w:r>
        <w:rPr>
          <w:rFonts w:ascii="Times New Roman" w:cs="Times New Roman" w:eastAsia="Times New Roman" w:hAnsi="Times New Roman"/>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9"/>
          <w:szCs w:val="19"/>
          <w:u w:val="single" w:color="auto"/>
          <w:color w:val="auto"/>
        </w:rPr>
        <w:t>paragraph (d)</w:t>
      </w:r>
      <w:r>
        <w:rPr>
          <w:rFonts w:ascii="Times New Roman" w:cs="Times New Roman" w:eastAsia="Times New Roman" w:hAnsi="Times New Roman"/>
          <w:sz w:val="19"/>
          <w:szCs w:val="19"/>
          <w:color w:val="auto"/>
        </w:rPr>
        <w:t>.</w:t>
      </w:r>
    </w:p>
    <w:p>
      <w:pPr>
        <w:spacing w:after="0" w:line="157" w:lineRule="exact"/>
        <w:rPr>
          <w:rFonts w:ascii="Times New Roman" w:cs="Times New Roman" w:eastAsia="Times New Roman" w:hAnsi="Times New Roman"/>
          <w:sz w:val="19"/>
          <w:szCs w:val="19"/>
          <w:color w:val="auto"/>
        </w:rPr>
      </w:pPr>
    </w:p>
    <w:p>
      <w:pPr>
        <w:ind w:right="80" w:firstLine="1410"/>
        <w:spacing w:after="0" w:line="262" w:lineRule="auto"/>
        <w:tabs>
          <w:tab w:leader="none" w:pos="1668"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Evidence of Payments</w:t>
      </w:r>
      <w:r>
        <w:rPr>
          <w:rFonts w:ascii="Times New Roman" w:cs="Times New Roman" w:eastAsia="Times New Roman" w:hAnsi="Times New Roman"/>
          <w:sz w:val="19"/>
          <w:szCs w:val="19"/>
          <w:color w:val="auto"/>
        </w:rPr>
        <w:t xml:space="preserve">. As soon as practicable after any payment of Indemnified Taxes by the Borrower to a Governmental Authority pursuant to this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0" w:lineRule="exact"/>
        <w:rPr>
          <w:rFonts w:ascii="Times New Roman" w:cs="Times New Roman" w:eastAsia="Times New Roman" w:hAnsi="Times New Roman"/>
          <w:sz w:val="19"/>
          <w:szCs w:val="19"/>
          <w:color w:val="auto"/>
        </w:rPr>
      </w:pPr>
    </w:p>
    <w:p>
      <w:pPr>
        <w:ind w:firstLine="1410"/>
        <w:spacing w:after="0" w:line="257" w:lineRule="auto"/>
        <w:tabs>
          <w:tab w:leader="none" w:pos="1644"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Documentation</w:t>
      </w:r>
      <w:r>
        <w:rPr>
          <w:rFonts w:ascii="Times New Roman" w:cs="Times New Roman" w:eastAsia="Times New Roman" w:hAnsi="Times New Roman"/>
          <w:sz w:val="19"/>
          <w:szCs w:val="19"/>
          <w:color w:val="auto"/>
        </w:rPr>
        <w:t>. (i) Any Lender that is entitled to an exemption from or reduction of withholding Tax, with respect to payments under any Loan Document shall deliver to the Borrower and the Administrative Agent, at the time or times prescribed by applicable law or reasonably requested by the Borrower or the Administrative Agent, such properly completed and executed documentation reasonably requested by the Borrower or the Administrative Agent as will permit such payments to be made without withholding or at a reduced rate. In addition, any Lender, if requested by the Borrower or the Administrative Agent, shall deliver such other documentation prescribed by applicable law or reasonably requested by the Borrower or the</w:t>
      </w:r>
    </w:p>
    <w:p>
      <w:pPr>
        <w:spacing w:after="0" w:line="15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8" w:name="page169"/>
    <w:bookmarkEnd w:id="168"/>
    <w:p>
      <w:pPr>
        <w:spacing w:after="0" w:line="26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 xml:space="preserve">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9"/>
          <w:szCs w:val="19"/>
          <w:u w:val="single" w:color="auto"/>
          <w:color w:val="auto"/>
        </w:rPr>
        <w:t>Section 2.16(f)(ii)(A) and (B)</w:t>
      </w:r>
      <w:r>
        <w:rPr>
          <w:rFonts w:ascii="Times New Roman" w:cs="Times New Roman" w:eastAsia="Times New Roman" w:hAnsi="Times New Roman"/>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4" w:lineRule="exact"/>
        <w:rPr>
          <w:sz w:val="20"/>
          <w:szCs w:val="20"/>
          <w:color w:val="auto"/>
        </w:rPr>
      </w:pPr>
    </w:p>
    <w:p>
      <w:pPr>
        <w:ind w:left="1720" w:hanging="274"/>
        <w:spacing w:after="0"/>
        <w:tabs>
          <w:tab w:leader="none" w:pos="172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the foregoing:</w:t>
      </w:r>
    </w:p>
    <w:p>
      <w:pPr>
        <w:spacing w:after="0" w:line="201" w:lineRule="exact"/>
        <w:rPr>
          <w:rFonts w:ascii="Times New Roman" w:cs="Times New Roman" w:eastAsia="Times New Roman" w:hAnsi="Times New Roman"/>
          <w:sz w:val="19"/>
          <w:szCs w:val="19"/>
          <w:color w:val="auto"/>
        </w:rPr>
      </w:pPr>
    </w:p>
    <w:p>
      <w:pPr>
        <w:ind w:left="1420" w:right="20" w:firstLine="795"/>
        <w:spacing w:after="0" w:line="259" w:lineRule="auto"/>
        <w:tabs>
          <w:tab w:leader="none" w:pos="2539" w:val="left"/>
        </w:tabs>
        <w:numPr>
          <w:ilvl w:val="2"/>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that is a U.S. Person shall deliver to the Borrower and the Administrative Agent (and such additional copies as shall be reasonably requested by the recipient) on or prior to the date on which such Lender becomes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153" w:lineRule="exact"/>
        <w:rPr>
          <w:rFonts w:ascii="Times New Roman" w:cs="Times New Roman" w:eastAsia="Times New Roman" w:hAnsi="Times New Roman"/>
          <w:sz w:val="19"/>
          <w:szCs w:val="19"/>
          <w:color w:val="auto"/>
        </w:rPr>
      </w:pPr>
    </w:p>
    <w:p>
      <w:pPr>
        <w:ind w:left="1420" w:right="160" w:firstLine="795"/>
        <w:spacing w:after="0" w:line="259" w:lineRule="auto"/>
        <w:tabs>
          <w:tab w:leader="none" w:pos="2528" w:val="left"/>
        </w:tabs>
        <w:numPr>
          <w:ilvl w:val="2"/>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153" w:lineRule="exact"/>
        <w:rPr>
          <w:rFonts w:ascii="Times New Roman" w:cs="Times New Roman" w:eastAsia="Times New Roman" w:hAnsi="Times New Roman"/>
          <w:sz w:val="19"/>
          <w:szCs w:val="19"/>
          <w:color w:val="auto"/>
        </w:rPr>
      </w:pPr>
    </w:p>
    <w:p>
      <w:pPr>
        <w:ind w:left="2120" w:right="120" w:firstLine="47"/>
        <w:spacing w:after="0" w:line="259" w:lineRule="auto"/>
        <w:tabs>
          <w:tab w:leader="none" w:pos="2483"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duly completed and executed copies of Internal Revenue Service Form W-8BEN, W-8BEN-E or any applicable successor form claiming eligibility for benefits of an income tax treaty to which the United States is a party pursuant to the “interest” article of such tax treaty (for payments of interest) or establishing an exemption from or reduction of U.S. federal withholding Tax pursuant to the “business profits” or “other income” article of such tax treaty (for other payments),</w:t>
      </w:r>
    </w:p>
    <w:p>
      <w:pPr>
        <w:spacing w:after="0" w:line="153" w:lineRule="exact"/>
        <w:rPr>
          <w:rFonts w:ascii="Times New Roman" w:cs="Times New Roman" w:eastAsia="Times New Roman" w:hAnsi="Times New Roman"/>
          <w:sz w:val="19"/>
          <w:szCs w:val="19"/>
          <w:color w:val="auto"/>
        </w:rPr>
      </w:pPr>
    </w:p>
    <w:p>
      <w:pPr>
        <w:ind w:left="2120" w:right="160" w:firstLine="47"/>
        <w:spacing w:after="0" w:line="268" w:lineRule="auto"/>
        <w:tabs>
          <w:tab w:leader="none" w:pos="2440"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144" w:lineRule="exact"/>
        <w:rPr>
          <w:rFonts w:ascii="Times New Roman" w:cs="Times New Roman" w:eastAsia="Times New Roman" w:hAnsi="Times New Roman"/>
          <w:sz w:val="19"/>
          <w:szCs w:val="19"/>
          <w:color w:val="auto"/>
        </w:rPr>
      </w:pPr>
    </w:p>
    <w:p>
      <w:pPr>
        <w:ind w:left="2120" w:right="20" w:firstLine="47"/>
        <w:spacing w:after="0" w:line="257" w:lineRule="auto"/>
        <w:tabs>
          <w:tab w:leader="none" w:pos="2440"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871(h)(3)(B) of the Code, or (3) a “controlled foreign corporation” related to the Borrower as described in Section 881(c)(3)(C) of the Code and (2) duly completed and executed copies of Internal Revenue Service Form W-8BEN</w:t>
      </w:r>
    </w:p>
    <w:p>
      <w:pPr>
        <w:spacing w:after="0" w:line="1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9" w:name="page170"/>
    <w:bookmarkEnd w:id="169"/>
    <w:p>
      <w:pPr>
        <w:spacing w:after="0" w:line="269" w:lineRule="exact"/>
        <w:rPr>
          <w:sz w:val="20"/>
          <w:szCs w:val="20"/>
          <w:color w:val="auto"/>
        </w:rPr>
      </w:pPr>
    </w:p>
    <w:p>
      <w:pPr>
        <w:ind w:left="2120" w:right="360"/>
        <w:spacing w:after="0" w:line="286" w:lineRule="auto"/>
        <w:rPr>
          <w:sz w:val="20"/>
          <w:szCs w:val="20"/>
          <w:color w:val="auto"/>
        </w:rPr>
      </w:pPr>
      <w:r>
        <w:rPr>
          <w:rFonts w:ascii="Times New Roman" w:cs="Times New Roman" w:eastAsia="Times New Roman" w:hAnsi="Times New Roman"/>
          <w:sz w:val="19"/>
          <w:szCs w:val="19"/>
          <w:color w:val="auto"/>
        </w:rPr>
        <w:t>or W-8BEN-E (or any applicable successor form) certifying that the Foreign Lender is not a United States Person, or</w:t>
      </w:r>
    </w:p>
    <w:p>
      <w:pPr>
        <w:spacing w:after="0" w:line="127" w:lineRule="exact"/>
        <w:rPr>
          <w:sz w:val="20"/>
          <w:szCs w:val="20"/>
          <w:color w:val="auto"/>
        </w:rPr>
      </w:pPr>
    </w:p>
    <w:p>
      <w:pPr>
        <w:ind w:left="2120" w:right="200" w:firstLine="47"/>
        <w:spacing w:after="0" w:line="259" w:lineRule="auto"/>
        <w:tabs>
          <w:tab w:leader="none" w:pos="2429" w:val="left"/>
        </w:tabs>
        <w:numPr>
          <w:ilvl w:val="2"/>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duly completed and executed originals of Internal Revenue Service Form W-8IMY (or any applicable successor form), accompanied by Internal Revenue Service Form W-8ECI (or any applicable successor form), Internal Revenue Service Form W-8BEN or W-8BEN-E (or any applicable successor form), a U.S. Tax Compliance Certificate, Internal Revenue Service Form W-9 (or any applicable successor form), and/or other certification documents from each beneficial owner, as applicable.</w:t>
      </w:r>
    </w:p>
    <w:p>
      <w:pPr>
        <w:spacing w:after="0" w:line="153" w:lineRule="exact"/>
        <w:rPr>
          <w:rFonts w:ascii="Times New Roman" w:cs="Times New Roman" w:eastAsia="Times New Roman" w:hAnsi="Times New Roman"/>
          <w:sz w:val="19"/>
          <w:szCs w:val="19"/>
          <w:color w:val="auto"/>
        </w:rPr>
      </w:pPr>
    </w:p>
    <w:p>
      <w:pPr>
        <w:ind w:left="1420" w:right="80" w:firstLine="795"/>
        <w:spacing w:after="0" w:line="256" w:lineRule="auto"/>
        <w:tabs>
          <w:tab w:leader="none" w:pos="2528" w:val="left"/>
        </w:tabs>
        <w:numPr>
          <w:ilvl w:val="3"/>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157" w:lineRule="exact"/>
        <w:rPr>
          <w:rFonts w:ascii="Times New Roman" w:cs="Times New Roman" w:eastAsia="Times New Roman" w:hAnsi="Times New Roman"/>
          <w:sz w:val="19"/>
          <w:szCs w:val="19"/>
          <w:color w:val="auto"/>
        </w:rPr>
      </w:pPr>
    </w:p>
    <w:p>
      <w:pPr>
        <w:ind w:left="700" w:right="140" w:firstLine="746"/>
        <w:spacing w:after="0" w:line="259" w:lineRule="auto"/>
        <w:tabs>
          <w:tab w:leader="none" w:pos="1780"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each Lender shall deliver such forms promptly upon the obsolescence, expiration or invalidity of any form previously delivered by such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153" w:lineRule="exact"/>
        <w:rPr>
          <w:rFonts w:ascii="Times New Roman" w:cs="Times New Roman" w:eastAsia="Times New Roman" w:hAnsi="Times New Roman"/>
          <w:sz w:val="19"/>
          <w:szCs w:val="19"/>
          <w:color w:val="auto"/>
        </w:rPr>
      </w:pPr>
    </w:p>
    <w:p>
      <w:pPr>
        <w:ind w:right="80" w:firstLine="1410"/>
        <w:spacing w:after="0" w:line="255" w:lineRule="auto"/>
        <w:tabs>
          <w:tab w:leader="none" w:pos="168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Documentation Required by FATCA</w:t>
      </w:r>
      <w:r>
        <w:rPr>
          <w:rFonts w:ascii="Times New Roman" w:cs="Times New Roman" w:eastAsia="Times New Roman" w:hAnsi="Times New Roman"/>
          <w:sz w:val="19"/>
          <w:szCs w:val="19"/>
          <w:color w:val="auto"/>
        </w:rPr>
        <w:t xml:space="preserve">.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9"/>
          <w:szCs w:val="19"/>
          <w:u w:val="single" w:color="auto"/>
          <w:color w:val="auto"/>
        </w:rPr>
        <w:t>Section 2.16(g)</w:t>
      </w:r>
      <w:r>
        <w:rPr>
          <w:rFonts w:ascii="Times New Roman" w:cs="Times New Roman" w:eastAsia="Times New Roman" w:hAnsi="Times New Roman"/>
          <w:sz w:val="19"/>
          <w:szCs w:val="19"/>
          <w:color w:val="auto"/>
        </w:rPr>
        <w:t>, “FATCA” shall include any amendments made to FATCA after the date of this Agreement.</w:t>
      </w:r>
    </w:p>
    <w:p>
      <w:pPr>
        <w:spacing w:after="0" w:line="155" w:lineRule="exact"/>
        <w:rPr>
          <w:rFonts w:ascii="Times New Roman" w:cs="Times New Roman" w:eastAsia="Times New Roman" w:hAnsi="Times New Roman"/>
          <w:sz w:val="19"/>
          <w:szCs w:val="19"/>
          <w:color w:val="auto"/>
        </w:rPr>
      </w:pPr>
    </w:p>
    <w:p>
      <w:pPr>
        <w:ind w:firstLine="1410"/>
        <w:spacing w:after="0" w:line="268" w:lineRule="auto"/>
        <w:tabs>
          <w:tab w:leader="none" w:pos="168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Treatment of Certain Refunds</w:t>
      </w:r>
      <w:r>
        <w:rPr>
          <w:rFonts w:ascii="Times New Roman" w:cs="Times New Roman" w:eastAsia="Times New Roman" w:hAnsi="Times New Roman"/>
          <w:sz w:val="19"/>
          <w:szCs w:val="19"/>
          <w:color w:val="auto"/>
        </w:rPr>
        <w:t>. If the Administrative Agent, any Lender or an Issuing Bank determines, in its sole discretion exercised in good faith, that it has received a refund or credit (in lieu of such refund) of any Taxes or Other Taxes as to which it has been</w:t>
      </w:r>
    </w:p>
    <w:p>
      <w:pPr>
        <w:spacing w:after="0" w:line="14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170" w:name="page171"/>
    <w:bookmarkEnd w:id="170"/>
    <w:p>
      <w:pPr>
        <w:spacing w:after="0" w:line="2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 xml:space="preserve">indemnified by the Borrower or with respect to which the Borrower has paid additional amounts pursuant to this Section, it shall pay to the Borrower an amount equal to such refund or credit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Times New Roman" w:cs="Times New Roman" w:eastAsia="Times New Roman" w:hAnsi="Times New Roman"/>
          <w:sz w:val="19"/>
          <w:szCs w:val="19"/>
          <w:u w:val="single" w:color="auto"/>
          <w:color w:val="auto"/>
        </w:rPr>
        <w:t>clause (h)</w:t>
      </w:r>
      <w:r>
        <w:rPr>
          <w:rFonts w:ascii="Times New Roman" w:cs="Times New Roman" w:eastAsia="Times New Roman" w:hAnsi="Times New Roman"/>
          <w:sz w:val="19"/>
          <w:szCs w:val="19"/>
          <w:color w:val="auto"/>
        </w:rPr>
        <w:t xml:space="preserve">, in no event will the Administrative Agent, any Lender or an Issuing Bank be required to pay any amount to Borrower pursuant to this </w:t>
      </w:r>
      <w:r>
        <w:rPr>
          <w:rFonts w:ascii="Times New Roman" w:cs="Times New Roman" w:eastAsia="Times New Roman" w:hAnsi="Times New Roman"/>
          <w:sz w:val="19"/>
          <w:szCs w:val="19"/>
          <w:u w:val="single" w:color="auto"/>
          <w:color w:val="auto"/>
        </w:rPr>
        <w:t>clause (h)</w:t>
      </w:r>
      <w:r>
        <w:rPr>
          <w:rFonts w:ascii="Times New Roman" w:cs="Times New Roman" w:eastAsia="Times New Roman" w:hAnsi="Times New Roman"/>
          <w:sz w:val="19"/>
          <w:szCs w:val="19"/>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16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2.17. </w:t>
      </w:r>
      <w:r>
        <w:rPr>
          <w:rFonts w:ascii="Times New Roman" w:cs="Times New Roman" w:eastAsia="Times New Roman" w:hAnsi="Times New Roman"/>
          <w:sz w:val="19"/>
          <w:szCs w:val="19"/>
          <w:u w:val="single" w:color="auto"/>
          <w:color w:val="auto"/>
        </w:rPr>
        <w:t>Payments Generally; Pro Rata Treatment: Sharing of Set-offs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40" w:firstLine="1410"/>
        <w:spacing w:after="0" w:line="253" w:lineRule="auto"/>
        <w:tabs>
          <w:tab w:leader="none" w:pos="1668"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by the Borrower</w:t>
      </w:r>
      <w:r>
        <w:rPr>
          <w:rFonts w:ascii="Times New Roman" w:cs="Times New Roman" w:eastAsia="Times New Roman" w:hAnsi="Times New Roman"/>
          <w:sz w:val="19"/>
          <w:szCs w:val="19"/>
          <w:color w:val="auto"/>
        </w:rPr>
        <w:t xml:space="preserve">. The Borrower shall make each payment required to be made by it hereunder (whether of principal, interest, fees or reimbursement of LC Disbursements, or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or otherwise) or under any other Loan Document (except to the extent otherwise provided therein) prior to 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the Issuing Bank or the Swingline Lender as expressly provided herein and payments pursuant to </w:t>
      </w:r>
      <w:r>
        <w:rPr>
          <w:rFonts w:ascii="Times New Roman" w:cs="Times New Roman" w:eastAsia="Times New Roman" w:hAnsi="Times New Roman"/>
          <w:sz w:val="19"/>
          <w:szCs w:val="19"/>
          <w:u w:val="single" w:color="auto"/>
          <w:color w:val="auto"/>
        </w:rPr>
        <w:t>Sections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9.03</w:t>
      </w:r>
      <w:r>
        <w:rPr>
          <w:rFonts w:ascii="Times New Roman" w:cs="Times New Roman" w:eastAsia="Times New Roman" w:hAnsi="Times New Roman"/>
          <w:sz w:val="19"/>
          <w:szCs w:val="19"/>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65" w:lineRule="exact"/>
        <w:rPr>
          <w:sz w:val="20"/>
          <w:szCs w:val="20"/>
          <w:color w:val="auto"/>
        </w:rPr>
      </w:pPr>
    </w:p>
    <w:p>
      <w:pPr>
        <w:ind w:right="320" w:firstLine="1404"/>
        <w:spacing w:after="0" w:line="257" w:lineRule="auto"/>
        <w:rPr>
          <w:sz w:val="20"/>
          <w:szCs w:val="20"/>
          <w:color w:val="auto"/>
        </w:rPr>
      </w:pPr>
      <w:r>
        <w:rPr>
          <w:rFonts w:ascii="Times New Roman" w:cs="Times New Roman" w:eastAsia="Times New Roman" w:hAnsi="Times New Roman"/>
          <w:sz w:val="19"/>
          <w:szCs w:val="19"/>
          <w:color w:val="auto"/>
        </w:rPr>
        <w:t xml:space="preserve">All amounts owing under this Agreement (including commitment fees, payments required under </w:t>
      </w:r>
      <w:r>
        <w:rPr>
          <w:rFonts w:ascii="Times New Roman" w:cs="Times New Roman" w:eastAsia="Times New Roman" w:hAnsi="Times New Roman"/>
          <w:sz w:val="19"/>
          <w:szCs w:val="19"/>
          <w:u w:val="single" w:color="auto"/>
          <w:color w:val="auto"/>
        </w:rPr>
        <w:t>Section 2. 14</w:t>
      </w:r>
      <w:r>
        <w:rPr>
          <w:rFonts w:ascii="Times New Roman" w:cs="Times New Roman" w:eastAsia="Times New Roman" w:hAnsi="Times New Roman"/>
          <w:sz w:val="19"/>
          <w:szCs w:val="19"/>
          <w:color w:val="auto"/>
        </w:rPr>
        <w:t xml:space="preserve">, and payments required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relating to any Loan denominated in Dollars, but not including principal of and interest on any Loan denominated in any Foreign Currency or payments relating to any such Loan required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w:t>
      </w:r>
    </w:p>
    <w:p>
      <w:pPr>
        <w:spacing w:after="0" w:line="1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1" w:name="page172"/>
    <w:bookmarkEnd w:id="171"/>
    <w:p>
      <w:pPr>
        <w:spacing w:after="0" w:line="26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57" w:lineRule="exact"/>
        <w:rPr>
          <w:sz w:val="20"/>
          <w:szCs w:val="20"/>
          <w:color w:val="auto"/>
        </w:rPr>
      </w:pPr>
    </w:p>
    <w:p>
      <w:pPr>
        <w:ind w:right="40" w:firstLine="1404"/>
        <w:spacing w:after="0" w:line="256" w:lineRule="auto"/>
        <w:rPr>
          <w:sz w:val="20"/>
          <w:szCs w:val="20"/>
          <w:color w:val="auto"/>
        </w:rPr>
      </w:pPr>
      <w:r>
        <w:rPr>
          <w:rFonts w:ascii="Times New Roman" w:cs="Times New Roman" w:eastAsia="Times New Roman" w:hAnsi="Times New Roman"/>
          <w:sz w:val="19"/>
          <w:szCs w:val="19"/>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Times New Roman" w:cs="Times New Roman" w:eastAsia="Times New Roman" w:hAnsi="Times New Roman"/>
          <w:sz w:val="19"/>
          <w:szCs w:val="19"/>
          <w:u w:val="single" w:color="auto"/>
          <w:color w:val="auto"/>
        </w:rPr>
        <w:t>Original Currency</w:t>
      </w:r>
      <w:r>
        <w:rPr>
          <w:rFonts w:ascii="Times New Roman" w:cs="Times New Roman" w:eastAsia="Times New Roman" w:hAnsi="Times New Roman"/>
          <w:sz w:val="19"/>
          <w:szCs w:val="19"/>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57" w:lineRule="exact"/>
        <w:rPr>
          <w:sz w:val="20"/>
          <w:szCs w:val="20"/>
          <w:color w:val="auto"/>
        </w:rPr>
      </w:pPr>
    </w:p>
    <w:p>
      <w:pPr>
        <w:ind w:right="40" w:firstLine="1410"/>
        <w:spacing w:after="0" w:line="257" w:lineRule="auto"/>
        <w:tabs>
          <w:tab w:leader="none" w:pos="1680"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Application of Insufficient Payments</w:t>
      </w:r>
      <w:r>
        <w:rPr>
          <w:rFonts w:ascii="Times New Roman" w:cs="Times New Roman" w:eastAsia="Times New Roman" w:hAnsi="Times New Roman"/>
          <w:sz w:val="19"/>
          <w:szCs w:val="19"/>
          <w:color w:val="auto"/>
        </w:rPr>
        <w:t>. If at any time insufficient funds are received by and available to the Administrative Agent to pay fully all amounts of principal, unreimbursed LC Disbursements, interest and fees of a Class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56" w:lineRule="exact"/>
        <w:rPr>
          <w:rFonts w:ascii="Times New Roman" w:cs="Times New Roman" w:eastAsia="Times New Roman" w:hAnsi="Times New Roman"/>
          <w:sz w:val="19"/>
          <w:szCs w:val="19"/>
          <w:color w:val="auto"/>
        </w:rPr>
      </w:pPr>
    </w:p>
    <w:p>
      <w:pPr>
        <w:ind w:firstLine="1410"/>
        <w:spacing w:after="0" w:line="253" w:lineRule="auto"/>
        <w:tabs>
          <w:tab w:leader="none" w:pos="1668"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 Rata Treatment</w:t>
      </w:r>
      <w:r>
        <w:rPr>
          <w:rFonts w:ascii="Times New Roman" w:cs="Times New Roman" w:eastAsia="Times New Roman" w:hAnsi="Times New Roman"/>
          <w:sz w:val="19"/>
          <w:szCs w:val="19"/>
          <w:color w:val="auto"/>
        </w:rPr>
        <w:t xml:space="preserve">. Except to the extent otherwise provided herein: (i) (x) other than with respect any Syndicated Borrowing requested pursuant to </w:t>
      </w:r>
      <w:r>
        <w:rPr>
          <w:rFonts w:ascii="Times New Roman" w:cs="Times New Roman" w:eastAsia="Times New Roman" w:hAnsi="Times New Roman"/>
          <w:sz w:val="19"/>
          <w:szCs w:val="19"/>
          <w:u w:val="single" w:color="auto"/>
          <w:color w:val="auto"/>
        </w:rPr>
        <w:t>Section 2.20(a)(i)</w:t>
      </w:r>
      <w:r>
        <w:rPr>
          <w:rFonts w:ascii="Times New Roman" w:cs="Times New Roman" w:eastAsia="Times New Roman" w:hAnsi="Times New Roman"/>
          <w:sz w:val="19"/>
          <w:szCs w:val="19"/>
          <w:color w:val="auto"/>
        </w:rPr>
        <w:t xml:space="preserve">, each Syndicated Borrowing of a Class shall be made from the Lenders of such Class of Commitments, (y) other than the payment of a commitment fee to a Non-Extending Lender on its applicable Non-Extending Commitment Termination Date, each payment of commitment fee under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shall be made for account of the Lenders of the applicable Class, and (z) other than with respect to any termination or reduction of Commitments or prepayment of Loans in accordance with </w:t>
      </w:r>
      <w:r>
        <w:rPr>
          <w:rFonts w:ascii="Times New Roman" w:cs="Times New Roman" w:eastAsia="Times New Roman" w:hAnsi="Times New Roman"/>
          <w:sz w:val="19"/>
          <w:szCs w:val="19"/>
          <w:u w:val="single" w:color="auto"/>
          <w:color w:val="auto"/>
        </w:rPr>
        <w:t>Section 2.08(f)</w:t>
      </w:r>
      <w:r>
        <w:rPr>
          <w:rFonts w:ascii="Times New Roman" w:cs="Times New Roman" w:eastAsia="Times New Roman" w:hAnsi="Times New Roman"/>
          <w:sz w:val="19"/>
          <w:szCs w:val="19"/>
          <w:color w:val="auto"/>
        </w:rPr>
        <w:t xml:space="preserve">, each termination or reduction of the amount of the Commitments of a Class under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shall be applied to the respective Commitments of the Lenders of such Class, in each case pro rata according to the amounts of their respective Commitments of such Class; (ii) other than with respect to any Syndicated Borrowing requested pursuant to </w:t>
      </w:r>
      <w:r>
        <w:rPr>
          <w:rFonts w:ascii="Times New Roman" w:cs="Times New Roman" w:eastAsia="Times New Roman" w:hAnsi="Times New Roman"/>
          <w:sz w:val="19"/>
          <w:szCs w:val="19"/>
          <w:u w:val="single" w:color="auto"/>
          <w:color w:val="auto"/>
        </w:rPr>
        <w:t>Section 2.20(a)(i)</w:t>
      </w:r>
      <w:r>
        <w:rPr>
          <w:rFonts w:ascii="Times New Roman" w:cs="Times New Roman" w:eastAsia="Times New Roman" w:hAnsi="Times New Roman"/>
          <w:sz w:val="19"/>
          <w:szCs w:val="19"/>
          <w:color w:val="auto"/>
        </w:rPr>
        <w:t xml:space="preserve">, each Syndicated Borrowing of a Class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other than in connection with a termination or reduction of Commitments or prepayment of Loans in accordance with </w:t>
      </w:r>
      <w:r>
        <w:rPr>
          <w:rFonts w:ascii="Times New Roman" w:cs="Times New Roman" w:eastAsia="Times New Roman" w:hAnsi="Times New Roman"/>
          <w:sz w:val="19"/>
          <w:szCs w:val="19"/>
          <w:u w:val="single" w:color="auto"/>
          <w:color w:val="auto"/>
        </w:rPr>
        <w:t>Section 2.08(f)</w:t>
      </w:r>
      <w:r>
        <w:rPr>
          <w:rFonts w:ascii="Times New Roman" w:cs="Times New Roman" w:eastAsia="Times New Roman" w:hAnsi="Times New Roman"/>
          <w:sz w:val="19"/>
          <w:szCs w:val="19"/>
          <w:color w:val="auto"/>
        </w:rPr>
        <w:t>, the payment of a Non-Extending Lender’s Non-Extending Loans on such Non-Extending Lender’s</w:t>
      </w:r>
    </w:p>
    <w:p>
      <w:pPr>
        <w:spacing w:after="0" w:line="16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72" w:name="page173"/>
    <w:bookmarkEnd w:id="172"/>
    <w:p>
      <w:pPr>
        <w:spacing w:after="0" w:line="26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 xml:space="preserve">Non-Extending Final Maturity Date pursuant to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or a mandatory prepayment pursuant to </w:t>
      </w:r>
      <w:r>
        <w:rPr>
          <w:rFonts w:ascii="Times New Roman" w:cs="Times New Roman" w:eastAsia="Times New Roman" w:hAnsi="Times New Roman"/>
          <w:sz w:val="19"/>
          <w:szCs w:val="19"/>
          <w:u w:val="single" w:color="auto"/>
          <w:color w:val="auto"/>
        </w:rPr>
        <w:t>Section 2. 10(e)</w:t>
      </w:r>
      <w:r>
        <w:rPr>
          <w:rFonts w:ascii="Times New Roman" w:cs="Times New Roman" w:eastAsia="Times New Roman" w:hAnsi="Times New Roman"/>
          <w:sz w:val="19"/>
          <w:szCs w:val="19"/>
          <w:color w:val="auto"/>
        </w:rPr>
        <w:t xml:space="preserve">, each payment or prepayment of principal of Syndicated Loans of a Class by the Borrower shall be made for account of the Lenders of such Class pro rata in accordance with the respective unpaid principal amounts of the Syndicated Loans of such Class held by them; and (iv) other than the payment of interest to a Non -Extending Lender on its applicable Non-Extending Final Maturity Date, each payment of interest on Syndicated Loans of a Class by the Borrower shall be made for account of the Lenders of such Class pro rata in accordance with the amounts of interest on such Loans of such Class then due and payable to the respective Lenders. Each Syndicated Borrowing requested pursuant to </w:t>
      </w:r>
      <w:r>
        <w:rPr>
          <w:rFonts w:ascii="Times New Roman" w:cs="Times New Roman" w:eastAsia="Times New Roman" w:hAnsi="Times New Roman"/>
          <w:sz w:val="19"/>
          <w:szCs w:val="19"/>
          <w:u w:val="single" w:color="auto"/>
          <w:color w:val="auto"/>
        </w:rPr>
        <w:t>Section 2.20(a)(i)</w:t>
      </w:r>
      <w:r>
        <w:rPr>
          <w:rFonts w:ascii="Times New Roman" w:cs="Times New Roman" w:eastAsia="Times New Roman" w:hAnsi="Times New Roman"/>
          <w:sz w:val="19"/>
          <w:szCs w:val="19"/>
          <w:color w:val="auto"/>
        </w:rPr>
        <w:t xml:space="preserve"> shall be made from each Extending Lender on a pro rata basis according to the amounts of their respective Commitments. Any termination or reduction of Commitments or prepayment of Loans made in accordance with </w:t>
      </w:r>
      <w:r>
        <w:rPr>
          <w:rFonts w:ascii="Times New Roman" w:cs="Times New Roman" w:eastAsia="Times New Roman" w:hAnsi="Times New Roman"/>
          <w:sz w:val="19"/>
          <w:szCs w:val="19"/>
          <w:u w:val="single" w:color="auto"/>
          <w:color w:val="auto"/>
        </w:rPr>
        <w:t>Section 2.08(f)</w:t>
      </w:r>
      <w:r>
        <w:rPr>
          <w:rFonts w:ascii="Times New Roman" w:cs="Times New Roman" w:eastAsia="Times New Roman" w:hAnsi="Times New Roman"/>
          <w:sz w:val="19"/>
          <w:szCs w:val="19"/>
          <w:color w:val="auto"/>
        </w:rPr>
        <w:t xml:space="preserve"> (including any payment or prepayment of principal of Syndicated Loans in connection therewith), shall be applied to the applicable Non-Extending Lender(s) on a pro rata basis according to the amounts of their respective Commitments or Loans, as applicable, (iii) any payment of Non-Extending Loans on a Non-Extending Final Maturity Date pursuant to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shall be made for the account of each Non-Extending Lender for which the applicable Non-Extending Final Maturity Date shall have occurred pro rata in accordance with the respective unpaid principal amounts of the Non-Extending Loans held by them and (iv) any mandatory prepayment of Non-Extending Loans pursuant to </w:t>
      </w:r>
      <w:r>
        <w:rPr>
          <w:rFonts w:ascii="Times New Roman" w:cs="Times New Roman" w:eastAsia="Times New Roman" w:hAnsi="Times New Roman"/>
          <w:sz w:val="19"/>
          <w:szCs w:val="19"/>
          <w:u w:val="single" w:color="auto"/>
          <w:color w:val="auto"/>
        </w:rPr>
        <w:t>Section 2.10(e)</w:t>
      </w:r>
      <w:r>
        <w:rPr>
          <w:rFonts w:ascii="Times New Roman" w:cs="Times New Roman" w:eastAsia="Times New Roman" w:hAnsi="Times New Roman"/>
          <w:sz w:val="19"/>
          <w:szCs w:val="19"/>
          <w:color w:val="auto"/>
        </w:rPr>
        <w:t xml:space="preserve"> shall be made for account of each Non-Extending Lender for which the applicable Non-Extending Commitment Termination Date shall have occurred pro rata in accordance with the respective unpaid principal amounts of the Non-Extending Loans held by them. For the avoidance of doubt, no payments shall be allocated solely to Non-Extending Lenders following the occurrence and during the continuance of a Default or Event of Default.</w:t>
      </w:r>
    </w:p>
    <w:p>
      <w:pPr>
        <w:spacing w:after="0" w:line="169" w:lineRule="exact"/>
        <w:rPr>
          <w:sz w:val="20"/>
          <w:szCs w:val="20"/>
          <w:color w:val="auto"/>
        </w:rPr>
      </w:pPr>
    </w:p>
    <w:p>
      <w:pPr>
        <w:ind w:firstLine="1410"/>
        <w:spacing w:after="0" w:line="252" w:lineRule="auto"/>
        <w:tabs>
          <w:tab w:leader="none" w:pos="168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Sharing of Payments by Lenders</w:t>
      </w:r>
      <w:r>
        <w:rPr>
          <w:rFonts w:ascii="Times New Roman" w:cs="Times New Roman" w:eastAsia="Times New Roman" w:hAnsi="Times New Roman"/>
          <w:sz w:val="19"/>
          <w:szCs w:val="19"/>
          <w:color w:val="auto"/>
        </w:rPr>
        <w:t xml:space="preserve">. If any Lender of any Class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w:t>
      </w:r>
    </w:p>
    <w:p>
      <w:pPr>
        <w:spacing w:after="0" w:line="16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73" w:name="page174"/>
    <w:bookmarkEnd w:id="173"/>
    <w:p>
      <w:pPr>
        <w:spacing w:after="0" w:line="26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9"/>
          <w:szCs w:val="19"/>
          <w:color w:val="auto"/>
        </w:rPr>
        <w:t>counterclaim with respect to such participation as fully as if such Lender were a direct creditor of the Borrower in the amount of such participation.</w:t>
      </w:r>
    </w:p>
    <w:p>
      <w:pPr>
        <w:spacing w:after="0" w:line="127" w:lineRule="exact"/>
        <w:rPr>
          <w:sz w:val="20"/>
          <w:szCs w:val="20"/>
          <w:color w:val="auto"/>
        </w:rPr>
      </w:pPr>
    </w:p>
    <w:p>
      <w:pPr>
        <w:ind w:right="120" w:firstLine="1410"/>
        <w:spacing w:after="0" w:line="255" w:lineRule="auto"/>
        <w:tabs>
          <w:tab w:leader="none" w:pos="1668"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Presumptions of Payment</w:t>
      </w:r>
      <w:r>
        <w:rPr>
          <w:rFonts w:ascii="Times New Roman" w:cs="Times New Roman" w:eastAsia="Times New Roman" w:hAnsi="Times New Roman"/>
          <w:sz w:val="19"/>
          <w:szCs w:val="19"/>
          <w:color w:val="auto"/>
        </w:rPr>
        <w:t>. Unless the Administrative Agent shall have received notice from the Borrower prior to the date on which any payment is due to the Administrative Agent for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the Issuing Bank with interest thereon, for each day from and including the date such amount is distributed to it to but excluding the date of payment to the Administrative Agent at the Federal Funds Effective Rate.</w:t>
      </w:r>
    </w:p>
    <w:p>
      <w:pPr>
        <w:spacing w:after="0" w:line="159" w:lineRule="exact"/>
        <w:rPr>
          <w:rFonts w:ascii="Times New Roman" w:cs="Times New Roman" w:eastAsia="Times New Roman" w:hAnsi="Times New Roman"/>
          <w:sz w:val="19"/>
          <w:szCs w:val="19"/>
          <w:color w:val="auto"/>
        </w:rPr>
      </w:pPr>
    </w:p>
    <w:p>
      <w:pPr>
        <w:jc w:val="both"/>
        <w:ind w:right="80" w:firstLine="1410"/>
        <w:spacing w:after="0" w:line="262" w:lineRule="auto"/>
        <w:tabs>
          <w:tab w:leader="none" w:pos="1644"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Deductions by the Administrative Agent</w:t>
      </w:r>
      <w:r>
        <w:rPr>
          <w:rFonts w:ascii="Times New Roman" w:cs="Times New Roman" w:eastAsia="Times New Roman" w:hAnsi="Times New Roman"/>
          <w:sz w:val="19"/>
          <w:szCs w:val="19"/>
          <w:color w:val="auto"/>
        </w:rPr>
        <w:t xml:space="preserve">. If any Lender shall fail to make any payment required to be made by it pursuant to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2.05(e)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2.06(a)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2.17(e)</w:t>
      </w:r>
      <w:r>
        <w:rPr>
          <w:rFonts w:ascii="Times New Roman" w:cs="Times New Roman" w:eastAsia="Times New Roman" w:hAnsi="Times New Roman"/>
          <w:sz w:val="19"/>
          <w:szCs w:val="19"/>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2.18. </w:t>
      </w:r>
      <w:r>
        <w:rPr>
          <w:rFonts w:ascii="Times New Roman" w:cs="Times New Roman" w:eastAsia="Times New Roman" w:hAnsi="Times New Roman"/>
          <w:sz w:val="19"/>
          <w:szCs w:val="19"/>
          <w:u w:val="single" w:color="auto"/>
          <w:color w:val="auto"/>
        </w:rPr>
        <w:t>Mitigation Obligations; Replacement of Lenders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00" w:firstLine="1410"/>
        <w:spacing w:after="0" w:line="255" w:lineRule="auto"/>
        <w:tabs>
          <w:tab w:leader="none" w:pos="1668"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Designation of a Different Lending Office</w:t>
      </w:r>
      <w:r>
        <w:rPr>
          <w:rFonts w:ascii="Times New Roman" w:cs="Times New Roman" w:eastAsia="Times New Roman" w:hAnsi="Times New Roman"/>
          <w:sz w:val="19"/>
          <w:szCs w:val="19"/>
          <w:color w:val="auto"/>
        </w:rPr>
        <w:t xml:space="preserve">. If any Lender requests compensation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59" w:lineRule="exact"/>
        <w:rPr>
          <w:rFonts w:ascii="Times New Roman" w:cs="Times New Roman" w:eastAsia="Times New Roman" w:hAnsi="Times New Roman"/>
          <w:sz w:val="19"/>
          <w:szCs w:val="19"/>
          <w:color w:val="auto"/>
        </w:rPr>
      </w:pPr>
    </w:p>
    <w:p>
      <w:pPr>
        <w:ind w:firstLine="1410"/>
        <w:spacing w:after="0" w:line="255" w:lineRule="auto"/>
        <w:tabs>
          <w:tab w:leader="none" w:pos="168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Replacement of Lenders</w:t>
      </w:r>
      <w:r>
        <w:rPr>
          <w:rFonts w:ascii="Times New Roman" w:cs="Times New Roman" w:eastAsia="Times New Roman" w:hAnsi="Times New Roman"/>
          <w:sz w:val="19"/>
          <w:szCs w:val="19"/>
          <w:color w:val="auto"/>
        </w:rPr>
        <w:t xml:space="preserve">. If any Lender requests compensation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or if the Borrower is required to pay any additional amount to any Lender or any Governmental Authority for account of any Lender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and, in each case, such Lender has declined or is unable to designate a different lending office in accordance with Section 2.18(a), or if any Lender becomes a Defaulting Lender or is a Non-Consenting Lender (as provided in </w:t>
      </w:r>
      <w:r>
        <w:rPr>
          <w:rFonts w:ascii="Times New Roman" w:cs="Times New Roman" w:eastAsia="Times New Roman" w:hAnsi="Times New Roman"/>
          <w:sz w:val="19"/>
          <w:szCs w:val="19"/>
          <w:u w:val="single" w:color="auto"/>
          <w:color w:val="auto"/>
        </w:rPr>
        <w:t>Section 9.02(d)</w:t>
      </w:r>
      <w:r>
        <w:rPr>
          <w:rFonts w:ascii="Times New Roman" w:cs="Times New Roman" w:eastAsia="Times New Roman" w:hAnsi="Times New Roman"/>
          <w:sz w:val="19"/>
          <w:szCs w:val="19"/>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all its interests, rights (other than its existing rights to payments pursuant to Section 2.14 or Section 2.16) and obligations under this Agreement to an assignee that shall assume such obligations (which assignee may be another Lender, if a Lender accepts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w:t>
      </w:r>
    </w:p>
    <w:p>
      <w:pPr>
        <w:spacing w:after="0" w:line="158"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174" w:name="page175"/>
    <w:bookmarkEnd w:id="174"/>
    <w:p>
      <w:pPr>
        <w:spacing w:after="0" w:line="26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color w:val="auto"/>
        </w:rPr>
        <w:t xml:space="preserve">Borrower shall have received the prior written consent of the Administrative Agent (and, if a Commitment is being assigned, the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or payments required to be made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5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2.19. </w:t>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20" w:firstLine="1410"/>
        <w:spacing w:after="0" w:line="268" w:lineRule="auto"/>
        <w:tabs>
          <w:tab w:leader="none" w:pos="1668"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Adjustments</w:t>
      </w:r>
      <w:r>
        <w:rPr>
          <w:rFonts w:ascii="Times New Roman" w:cs="Times New Roman" w:eastAsia="Times New Roman" w:hAnsi="Times New Roman"/>
          <w:sz w:val="19"/>
          <w:szCs w:val="19"/>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44" w:lineRule="exact"/>
        <w:rPr>
          <w:rFonts w:ascii="Times New Roman" w:cs="Times New Roman" w:eastAsia="Times New Roman" w:hAnsi="Times New Roman"/>
          <w:sz w:val="19"/>
          <w:szCs w:val="19"/>
          <w:color w:val="auto"/>
        </w:rPr>
      </w:pPr>
    </w:p>
    <w:p>
      <w:pPr>
        <w:ind w:left="700" w:right="20" w:firstLine="746"/>
        <w:spacing w:after="0" w:line="252" w:lineRule="auto"/>
        <w:tabs>
          <w:tab w:leader="none" w:pos="1672"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Waterfall</w:t>
      </w:r>
      <w:r>
        <w:rPr>
          <w:rFonts w:ascii="Times New Roman" w:cs="Times New Roman" w:eastAsia="Times New Roman" w:hAnsi="Times New Roman"/>
          <w:sz w:val="19"/>
          <w:szCs w:val="19"/>
          <w:color w:val="auto"/>
        </w:rPr>
        <w:t xml:space="preserve">. Any payment of principal, interest, fees or other amounts received by Administrative Agent for the account of such Defaulting Lender (whether voluntary or mandatory, at maturity, pursuant to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or otherwise) or received by Administrative Agent from a Defaulting Lender pursuant to </w:t>
      </w:r>
      <w:r>
        <w:rPr>
          <w:rFonts w:ascii="Times New Roman" w:cs="Times New Roman" w:eastAsia="Times New Roman" w:hAnsi="Times New Roman"/>
          <w:sz w:val="19"/>
          <w:szCs w:val="19"/>
          <w:u w:val="single" w:color="auto"/>
          <w:color w:val="auto"/>
        </w:rPr>
        <w:t>Section 9.08</w:t>
      </w:r>
      <w:r>
        <w:rPr>
          <w:rFonts w:ascii="Times New Roman" w:cs="Times New Roman" w:eastAsia="Times New Roman" w:hAnsi="Times New Roman"/>
          <w:sz w:val="19"/>
          <w:szCs w:val="19"/>
          <w:color w:val="auto"/>
        </w:rPr>
        <w:t xml:space="preserve"> shall be applied at such time or times as may be determined by Administrative Agent as follows: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to the payment of any amounts owing by such Defaulting Lender to Administrative Agent hereunder;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to the payment on a pro rata basis of any amounts owing by such Defaulting Lender to Issuing Bank or Swingline Lender hereunder; </w:t>
      </w: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xml:space="preserve">, to Cash Collateralize Issuing Bank’s Fronting Exposure with respect to such Defaulting Lender in the manner described in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xml:space="preserve">, as Borrower may request (so long as no Default or Event of Default exists), to the funding of any Loan in respect of which such Defaulting Lender has failed to fund its portion thereof as required by this Agreement, as determined by Administrative Agent; </w:t>
      </w: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Issuing Bank’s future Fronting Exposure with respect to such Defaulting Lender with respect to future Letters of Credit issued under this Agreement, in the manner described in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xml:space="preserve">, to the payment of any amounts owing to the Lenders, Issuing Bank or Swingline Lender as a result of any judgment of a court of competent jurisdiction obtained by any Lender, the Issuing Bank or the Swingline Lender against such Defaulting Lender as a result of such Defaulting Lender’s breach of its obligations under this Agreement; </w:t>
      </w:r>
      <w:r>
        <w:rPr>
          <w:rFonts w:ascii="Times New Roman" w:cs="Times New Roman" w:eastAsia="Times New Roman" w:hAnsi="Times New Roman"/>
          <w:sz w:val="19"/>
          <w:szCs w:val="19"/>
          <w:i w:val="1"/>
          <w:iCs w:val="1"/>
          <w:color w:val="auto"/>
        </w:rPr>
        <w:t>seventh</w:t>
      </w:r>
      <w:r>
        <w:rPr>
          <w:rFonts w:ascii="Times New Roman" w:cs="Times New Roman" w:eastAsia="Times New Roman" w:hAnsi="Times New Roman"/>
          <w:sz w:val="19"/>
          <w:szCs w:val="19"/>
          <w:color w:val="auto"/>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Times New Roman" w:cs="Times New Roman" w:eastAsia="Times New Roman" w:hAnsi="Times New Roman"/>
          <w:sz w:val="19"/>
          <w:szCs w:val="19"/>
          <w:i w:val="1"/>
          <w:iCs w:val="1"/>
          <w:color w:val="auto"/>
        </w:rPr>
        <w:t>eighth</w:t>
      </w:r>
      <w:r>
        <w:rPr>
          <w:rFonts w:ascii="Times New Roman" w:cs="Times New Roman" w:eastAsia="Times New Roman" w:hAnsi="Times New Roman"/>
          <w:sz w:val="19"/>
          <w:szCs w:val="19"/>
          <w:color w:val="auto"/>
        </w:rPr>
        <w:t xml:space="preserve">, to such Defaulting Lender or as otherwise directed by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(x) such payment is a payment of the principal amount of any Loans or reimbursement obligations in respect of any LC Disbursement for</w:t>
      </w:r>
    </w:p>
    <w:p>
      <w:pPr>
        <w:spacing w:after="0" w:line="1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5" w:name="page176"/>
    <w:bookmarkEnd w:id="175"/>
    <w:p>
      <w:pPr>
        <w:spacing w:after="0" w:line="26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 xml:space="preserve">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Times New Roman" w:cs="Times New Roman" w:eastAsia="Times New Roman" w:hAnsi="Times New Roman"/>
          <w:sz w:val="19"/>
          <w:szCs w:val="19"/>
          <w:u w:val="single" w:color="auto"/>
          <w:color w:val="auto"/>
        </w:rPr>
        <w:t>Section 2.19(a)(iii)</w:t>
      </w:r>
      <w:r>
        <w:rPr>
          <w:rFonts w:ascii="Times New Roman" w:cs="Times New Roman" w:eastAsia="Times New Roman" w:hAnsi="Times New Roman"/>
          <w:sz w:val="19"/>
          <w:szCs w:val="19"/>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9"/>
          <w:szCs w:val="19"/>
          <w:u w:val="single" w:color="auto"/>
          <w:color w:val="auto"/>
        </w:rPr>
        <w:t>Section 2.19(a)(i)</w:t>
      </w:r>
      <w:r>
        <w:rPr>
          <w:rFonts w:ascii="Times New Roman" w:cs="Times New Roman" w:eastAsia="Times New Roman" w:hAnsi="Times New Roman"/>
          <w:sz w:val="19"/>
          <w:szCs w:val="19"/>
          <w:color w:val="auto"/>
        </w:rPr>
        <w:t xml:space="preserve"> shall be deemed paid to and redirected by such Defaulting Lender, and each Lender irrevocably consents hereto.</w:t>
      </w:r>
    </w:p>
    <w:p>
      <w:pPr>
        <w:spacing w:after="0" w:line="160" w:lineRule="exact"/>
        <w:rPr>
          <w:sz w:val="20"/>
          <w:szCs w:val="20"/>
          <w:color w:val="auto"/>
        </w:rPr>
      </w:pPr>
    </w:p>
    <w:p>
      <w:pPr>
        <w:ind w:left="1040" w:hanging="294"/>
        <w:spacing w:after="0"/>
        <w:tabs>
          <w:tab w:leader="none" w:pos="104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Fees</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720" w:right="280" w:firstLine="795"/>
        <w:spacing w:after="0" w:line="257" w:lineRule="auto"/>
        <w:tabs>
          <w:tab w:leader="none" w:pos="1839"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Defaulting Lender shall be entitled to receive any fee pursuant to </w:t>
      </w:r>
      <w:r>
        <w:rPr>
          <w:rFonts w:ascii="Times New Roman" w:cs="Times New Roman" w:eastAsia="Times New Roman" w:hAnsi="Times New Roman"/>
          <w:sz w:val="19"/>
          <w:szCs w:val="19"/>
          <w:u w:val="single" w:color="auto"/>
          <w:color w:val="auto"/>
        </w:rPr>
        <w:t>Sections 2.11(a)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for any period during which that Lender is a Defaulting Lender (and Borrower shall not be required to pay any such fee that otherwise would have been required to have been paid to that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Defaulting Lender shall be entitled to receive fees pursuant to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for any period during which that Lender is a Defaulting Lender only to extent allocable to its Applicable Percentage of the stated amount of Letters of Credit for which it (but not the Borrower) has provided Cash Collateral pursuant to </w:t>
      </w:r>
      <w:r>
        <w:rPr>
          <w:rFonts w:ascii="Times New Roman" w:cs="Times New Roman" w:eastAsia="Times New Roman" w:hAnsi="Times New Roman"/>
          <w:sz w:val="19"/>
          <w:szCs w:val="19"/>
          <w:u w:val="single" w:color="auto"/>
          <w:color w:val="auto"/>
        </w:rPr>
        <w:t>Section 2.19(d)</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ind w:left="720" w:firstLine="795"/>
        <w:spacing w:after="0" w:line="257" w:lineRule="auto"/>
        <w:tabs>
          <w:tab w:leader="none" w:pos="1828"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fees not required to be paid to any Defaulting Lender pursuant to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below, (y) pay to Issuing Bank the amount of any such fee otherwise payable to such Defaulting Lender to the extent allocable to Issuing Bank’s Fronting Exposure to such Defaulting Lender, and (z) not be required to pay the remaining amount of any such fee.</w:t>
      </w:r>
    </w:p>
    <w:p>
      <w:pPr>
        <w:spacing w:after="0" w:line="156" w:lineRule="exact"/>
        <w:rPr>
          <w:rFonts w:ascii="Times New Roman" w:cs="Times New Roman" w:eastAsia="Times New Roman" w:hAnsi="Times New Roman"/>
          <w:sz w:val="19"/>
          <w:szCs w:val="19"/>
          <w:color w:val="auto"/>
        </w:rPr>
      </w:pPr>
    </w:p>
    <w:p>
      <w:pPr>
        <w:ind w:right="40" w:firstLine="746"/>
        <w:spacing w:after="0" w:line="255" w:lineRule="auto"/>
        <w:tabs>
          <w:tab w:leader="none" w:pos="108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Reallocation of Participations to Reduce Fronting Exposure</w:t>
      </w:r>
      <w:r>
        <w:rPr>
          <w:rFonts w:ascii="Times New Roman" w:cs="Times New Roman" w:eastAsia="Times New Roman" w:hAnsi="Times New Roman"/>
          <w:sz w:val="19"/>
          <w:szCs w:val="19"/>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w:t>
      </w:r>
    </w:p>
    <w:p>
      <w:pPr>
        <w:spacing w:after="0" w:line="15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545465</wp:posOffset>
            </wp:positionV>
            <wp:extent cx="67329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00"/>
          </w:cols>
          <w:pgMar w:left="1360" w:top="1440" w:right="640" w:bottom="1440" w:gutter="0" w:footer="0" w:header="0"/>
        </w:sectPr>
      </w:pPr>
    </w:p>
    <w:bookmarkStart w:id="176" w:name="page177"/>
    <w:bookmarkEnd w:id="176"/>
    <w:p>
      <w:pPr>
        <w:spacing w:after="0" w:line="269" w:lineRule="exact"/>
        <w:rPr>
          <w:sz w:val="20"/>
          <w:szCs w:val="20"/>
          <w:color w:val="auto"/>
        </w:rPr>
      </w:pPr>
    </w:p>
    <w:p>
      <w:pPr>
        <w:jc w:val="both"/>
        <w:ind w:left="700" w:right="20"/>
        <w:spacing w:after="0" w:line="262" w:lineRule="auto"/>
        <w:rPr>
          <w:sz w:val="20"/>
          <w:szCs w:val="20"/>
          <w:color w:val="auto"/>
        </w:rPr>
      </w:pPr>
      <w:r>
        <w:rPr>
          <w:rFonts w:ascii="Times New Roman" w:cs="Times New Roman" w:eastAsia="Times New Roman" w:hAnsi="Times New Roman"/>
          <w:sz w:val="19"/>
          <w:szCs w:val="19"/>
          <w:color w:val="auto"/>
        </w:rPr>
        <w:t xml:space="preserve">of any Non-Defaulting Lender to exceed such Non-Defaulting Lender’s Commitment. Subject to </w:t>
      </w:r>
      <w:r>
        <w:rPr>
          <w:rFonts w:ascii="Times New Roman" w:cs="Times New Roman" w:eastAsia="Times New Roman" w:hAnsi="Times New Roman"/>
          <w:sz w:val="19"/>
          <w:szCs w:val="19"/>
          <w:u w:val="single" w:color="auto"/>
          <w:color w:val="auto"/>
        </w:rPr>
        <w:t>Section 9.16</w:t>
      </w:r>
      <w:r>
        <w:rPr>
          <w:rFonts w:ascii="Times New Roman" w:cs="Times New Roman" w:eastAsia="Times New Roman" w:hAnsi="Times New Roman"/>
          <w:sz w:val="19"/>
          <w:szCs w:val="19"/>
          <w:color w:val="auto"/>
        </w:rPr>
        <w:t xml:space="preserve"> ,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50" w:lineRule="exact"/>
        <w:rPr>
          <w:sz w:val="20"/>
          <w:szCs w:val="20"/>
          <w:color w:val="auto"/>
        </w:rPr>
      </w:pPr>
    </w:p>
    <w:p>
      <w:pPr>
        <w:ind w:left="700" w:firstLine="746"/>
        <w:spacing w:after="0" w:line="254" w:lineRule="auto"/>
        <w:tabs>
          <w:tab w:leader="none" w:pos="1768"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 Collateral; Repayment of Swingline Loans</w:t>
      </w:r>
      <w:r>
        <w:rPr>
          <w:rFonts w:ascii="Times New Roman" w:cs="Times New Roman" w:eastAsia="Times New Roman" w:hAnsi="Times New Roman"/>
          <w:sz w:val="19"/>
          <w:szCs w:val="19"/>
          <w:color w:val="auto"/>
        </w:rPr>
        <w:t xml:space="preserve">. If the reallocation described in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above cannot, or can only partially, be effected, the Borrower shall not later than two (2) Business Days after demand by the Administrative Agent (at the direction of the Issuing Bank and/or the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the Issuing Bank’s Fronting Exposure in accordance with the procedures set forth in </w:t>
      </w:r>
      <w:r>
        <w:rPr>
          <w:rFonts w:ascii="Times New Roman" w:cs="Times New Roman" w:eastAsia="Times New Roman" w:hAnsi="Times New Roman"/>
          <w:sz w:val="19"/>
          <w:szCs w:val="19"/>
          <w:u w:val="single" w:color="auto"/>
          <w:color w:val="auto"/>
        </w:rPr>
        <w:t>Section 2.19(d)</w:t>
      </w:r>
      <w:r>
        <w:rPr>
          <w:rFonts w:ascii="Times New Roman" w:cs="Times New Roman" w:eastAsia="Times New Roman" w:hAnsi="Times New Roman"/>
          <w:sz w:val="19"/>
          <w:szCs w:val="19"/>
          <w:color w:val="auto"/>
        </w:rPr>
        <w:t xml:space="preserve"> or (z) make other arrangements reasonably satisfactory to the Administrative Agent, the Issuing Bank and the Swingline Lender in their sole discretion to protect them against the risk of non-payment by such Defaulting Lender.</w:t>
      </w:r>
    </w:p>
    <w:p>
      <w:pPr>
        <w:spacing w:after="0" w:line="160" w:lineRule="exact"/>
        <w:rPr>
          <w:rFonts w:ascii="Times New Roman" w:cs="Times New Roman" w:eastAsia="Times New Roman" w:hAnsi="Times New Roman"/>
          <w:sz w:val="19"/>
          <w:szCs w:val="19"/>
          <w:color w:val="auto"/>
        </w:rPr>
      </w:pPr>
    </w:p>
    <w:p>
      <w:pPr>
        <w:ind w:firstLine="1410"/>
        <w:spacing w:after="0" w:line="253" w:lineRule="auto"/>
        <w:tabs>
          <w:tab w:leader="none" w:pos="1680"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Cure</w:t>
      </w:r>
      <w:r>
        <w:rPr>
          <w:rFonts w:ascii="Times New Roman" w:cs="Times New Roman" w:eastAsia="Times New Roman" w:hAnsi="Times New Roman"/>
          <w:sz w:val="19"/>
          <w:szCs w:val="19"/>
          <w:color w:val="auto"/>
        </w:rPr>
        <w:t xml:space="preserve">. If the Borrower, the Administrative Agent, the Swingline Lender and the Issuing Bank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Times New Roman" w:cs="Times New Roman" w:eastAsia="Times New Roman" w:hAnsi="Times New Roman"/>
          <w:sz w:val="19"/>
          <w:szCs w:val="19"/>
          <w:u w:val="single" w:color="auto"/>
          <w:color w:val="auto"/>
        </w:rPr>
        <w:t>Section 2.19(a)(iii)</w:t>
      </w:r>
      <w:r>
        <w:rPr>
          <w:rFonts w:ascii="Times New Roman" w:cs="Times New Roman" w:eastAsia="Times New Roman" w:hAnsi="Times New Roman"/>
          <w:sz w:val="19"/>
          <w:szCs w:val="19"/>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Borrower while that Lender was a Defaulting Lender;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65" w:lineRule="exact"/>
        <w:rPr>
          <w:rFonts w:ascii="Times New Roman" w:cs="Times New Roman" w:eastAsia="Times New Roman" w:hAnsi="Times New Roman"/>
          <w:sz w:val="19"/>
          <w:szCs w:val="19"/>
          <w:color w:val="auto"/>
        </w:rPr>
      </w:pPr>
    </w:p>
    <w:p>
      <w:pPr>
        <w:ind w:right="160" w:firstLine="1410"/>
        <w:spacing w:after="0" w:line="257" w:lineRule="auto"/>
        <w:tabs>
          <w:tab w:leader="none" w:pos="1668"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New Swingline Loans/Letters of Credit</w:t>
      </w:r>
      <w:r>
        <w:rPr>
          <w:rFonts w:ascii="Times New Roman" w:cs="Times New Roman" w:eastAsia="Times New Roman" w:hAnsi="Times New Roman"/>
          <w:sz w:val="19"/>
          <w:szCs w:val="19"/>
          <w:color w:val="auto"/>
        </w:rPr>
        <w:t xml:space="preserve">. So long as any Lender is a Defaulting Lender, (i) the Swingline Lender shall not be required to fund any Swingline Loans unless it is satisfied that the participations therein will be fully allocated among Non-Defaulting Lenders in a manner consistent with </w:t>
      </w:r>
      <w:r>
        <w:rPr>
          <w:rFonts w:ascii="Times New Roman" w:cs="Times New Roman" w:eastAsia="Times New Roman" w:hAnsi="Times New Roman"/>
          <w:sz w:val="19"/>
          <w:szCs w:val="19"/>
          <w:u w:val="single" w:color="auto"/>
          <w:color w:val="auto"/>
        </w:rPr>
        <w:t>clause (a)(iii)</w:t>
      </w:r>
      <w:r>
        <w:rPr>
          <w:rFonts w:ascii="Times New Roman" w:cs="Times New Roman" w:eastAsia="Times New Roman" w:hAnsi="Times New Roman"/>
          <w:sz w:val="19"/>
          <w:szCs w:val="19"/>
          <w:color w:val="auto"/>
        </w:rPr>
        <w:t xml:space="preserve"> above and the Defaulting Lender shall not participate therein and (ii) the Issuing Bank shall not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Times New Roman" w:cs="Times New Roman" w:eastAsia="Times New Roman" w:hAnsi="Times New Roman"/>
          <w:sz w:val="19"/>
          <w:szCs w:val="19"/>
          <w:u w:val="single" w:color="auto"/>
          <w:color w:val="auto"/>
        </w:rPr>
        <w:t>clause (a)(iii)</w:t>
      </w:r>
      <w:r>
        <w:rPr>
          <w:rFonts w:ascii="Times New Roman" w:cs="Times New Roman" w:eastAsia="Times New Roman" w:hAnsi="Times New Roman"/>
          <w:sz w:val="19"/>
          <w:szCs w:val="19"/>
          <w:color w:val="auto"/>
        </w:rPr>
        <w:t xml:space="preserve"> above and such</w:t>
      </w:r>
    </w:p>
    <w:p>
      <w:pPr>
        <w:spacing w:after="0" w:line="15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77" w:name="page178"/>
    <w:bookmarkEnd w:id="177"/>
    <w:p>
      <w:pPr>
        <w:spacing w:after="0" w:line="26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9"/>
          <w:szCs w:val="19"/>
          <w:color w:val="auto"/>
        </w:rPr>
        <w:t xml:space="preserve">Defaulting Lender shall not participate therein except to the extent such Defaulting Lender’s participation has been or will be fully Cash Collateralized in accordance with </w:t>
      </w:r>
      <w:r>
        <w:rPr>
          <w:rFonts w:ascii="Times New Roman" w:cs="Times New Roman" w:eastAsia="Times New Roman" w:hAnsi="Times New Roman"/>
          <w:sz w:val="19"/>
          <w:szCs w:val="19"/>
          <w:u w:val="single" w:color="auto"/>
          <w:color w:val="auto"/>
        </w:rPr>
        <w:t>Section 2.19(d)</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right="60" w:firstLine="1410"/>
        <w:spacing w:after="0" w:line="262" w:lineRule="auto"/>
        <w:tabs>
          <w:tab w:leader="none" w:pos="168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 Collateral</w:t>
      </w:r>
      <w:r>
        <w:rPr>
          <w:rFonts w:ascii="Times New Roman" w:cs="Times New Roman" w:eastAsia="Times New Roman" w:hAnsi="Times New Roman"/>
          <w:sz w:val="19"/>
          <w:szCs w:val="19"/>
          <w:color w:val="auto"/>
        </w:rPr>
        <w:t xml:space="preserve">. At any time that there shall exist a Defaulting Lender, promptly following the written request of Administrative Agent or Issuing Bank (with a copy to Administrative Agent) Borrower shall Cash Collateralize Issuing Bank’s Fronting Exposure with respect to such Defaulting Lender (determined after giving effect to </w:t>
      </w:r>
      <w:r>
        <w:rPr>
          <w:rFonts w:ascii="Times New Roman" w:cs="Times New Roman" w:eastAsia="Times New Roman" w:hAnsi="Times New Roman"/>
          <w:sz w:val="19"/>
          <w:szCs w:val="19"/>
          <w:u w:val="single" w:color="auto"/>
          <w:color w:val="auto"/>
        </w:rPr>
        <w:t>Section 2.19(a)(iii)</w:t>
      </w:r>
      <w:r>
        <w:rPr>
          <w:rFonts w:ascii="Times New Roman" w:cs="Times New Roman" w:eastAsia="Times New Roman" w:hAnsi="Times New Roman"/>
          <w:sz w:val="19"/>
          <w:szCs w:val="19"/>
          <w:color w:val="auto"/>
        </w:rPr>
        <w:t xml:space="preserve"> and any Cash Collateral provided by such Defaulting Lender) in an amount not less than the Minimum Collateral Amount.</w:t>
      </w:r>
    </w:p>
    <w:p>
      <w:pPr>
        <w:spacing w:after="0" w:line="150" w:lineRule="exact"/>
        <w:rPr>
          <w:sz w:val="20"/>
          <w:szCs w:val="20"/>
          <w:color w:val="auto"/>
        </w:rPr>
      </w:pPr>
    </w:p>
    <w:p>
      <w:pPr>
        <w:ind w:left="700" w:firstLine="746"/>
        <w:spacing w:after="0" w:line="253" w:lineRule="auto"/>
        <w:tabs>
          <w:tab w:leader="none" w:pos="1672"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 of Security Interest</w:t>
      </w:r>
      <w:r>
        <w:rPr>
          <w:rFonts w:ascii="Times New Roman" w:cs="Times New Roman" w:eastAsia="Times New Roman" w:hAnsi="Times New Roman"/>
          <w:sz w:val="19"/>
          <w:szCs w:val="19"/>
          <w:color w:val="auto"/>
        </w:rPr>
        <w:t xml:space="preserve">. Borrower, and to the extent provided by any Defaulting Lender, such Defaulting Lender, hereby grants to (and subjects to the control of) Administrative Agent, for the benefit of Issuing Bank, and agrees to maintain, a first priority security interest in all such Cash Collateral as security for the Defaulting Lenders’ obligation to fund participations in respect of Letters of Credit, to be applied pursuant to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below. If at any time Administrative Agent determines that Cash Collateral is subject to any right or claim of any Person other than Administrative Agent and Issuing Bank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Truist. Borrower shall pay on demand therefor from time to time all reasonable and customary account opening, activity and other administrative fees and charges in connection with the maintenance and disbursement of Cash Collateral.</w:t>
      </w:r>
    </w:p>
    <w:p>
      <w:pPr>
        <w:spacing w:after="0" w:line="165" w:lineRule="exact"/>
        <w:rPr>
          <w:rFonts w:ascii="Times New Roman" w:cs="Times New Roman" w:eastAsia="Times New Roman" w:hAnsi="Times New Roman"/>
          <w:sz w:val="19"/>
          <w:szCs w:val="19"/>
          <w:color w:val="auto"/>
        </w:rPr>
      </w:pPr>
    </w:p>
    <w:p>
      <w:pPr>
        <w:ind w:left="700" w:firstLine="746"/>
        <w:spacing w:after="0" w:line="259" w:lineRule="auto"/>
        <w:tabs>
          <w:tab w:leader="none" w:pos="1727"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9"/>
          <w:szCs w:val="19"/>
          <w:u w:val="single" w:color="auto"/>
          <w:color w:val="auto"/>
        </w:rPr>
        <w:t>pplication</w:t>
      </w:r>
      <w:r>
        <w:rPr>
          <w:rFonts w:ascii="Times New Roman" w:cs="Times New Roman" w:eastAsia="Times New Roman" w:hAnsi="Times New Roman"/>
          <w:sz w:val="19"/>
          <w:szCs w:val="19"/>
          <w:color w:val="auto"/>
        </w:rPr>
        <w:t xml:space="preserve">. Notwithstanding anything to the contrary contained in this Agreement, Cash Collateral provided under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153" w:lineRule="exact"/>
        <w:rPr>
          <w:rFonts w:ascii="Times New Roman" w:cs="Times New Roman" w:eastAsia="Times New Roman" w:hAnsi="Times New Roman"/>
          <w:sz w:val="19"/>
          <w:szCs w:val="19"/>
          <w:color w:val="auto"/>
        </w:rPr>
      </w:pPr>
    </w:p>
    <w:p>
      <w:pPr>
        <w:ind w:left="700" w:right="120" w:firstLine="746"/>
        <w:spacing w:after="0" w:line="255" w:lineRule="auto"/>
        <w:tabs>
          <w:tab w:leader="none" w:pos="178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of Requirement</w:t>
      </w:r>
      <w:r>
        <w:rPr>
          <w:rFonts w:ascii="Times New Roman" w:cs="Times New Roman" w:eastAsia="Times New Roman" w:hAnsi="Times New Roman"/>
          <w:sz w:val="19"/>
          <w:szCs w:val="19"/>
          <w:color w:val="auto"/>
        </w:rPr>
        <w:t xml:space="preserve">. Cash Collateral (or the appropriate portion thereof) provided to reduce Issuing Bank’s Fronting Exposure shall no longer be required to be held as Cash Collateral pursuant to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following (i) the elimination of the applicable Fronting Exposure (including by the termination of Defaulting Lender status of the applicable Lender or giving effect to Section 2.19(a)(iii)) or (ii) the determination by Administrative Agent and Issuing Bank that there exists excess Cash Collateral;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subject to the other provisions of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the Person providing Cash Collateral and Issuing Bank may agree that Cash Collateral shall be held to support future anticipated Fronting Exposure;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to the extent that such Cash Collateral was provided by Borrower, such Cash Collateral shall remain subject to the security interest granted pursuant to the Loan Documents.</w:t>
      </w:r>
    </w:p>
    <w:p>
      <w:pPr>
        <w:spacing w:after="0" w:line="15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8" w:name="page179"/>
    <w:bookmarkEnd w:id="178"/>
    <w:p>
      <w:pPr>
        <w:spacing w:after="0" w:line="2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 xml:space="preserve">SECTION 2.20. </w:t>
      </w:r>
      <w:r>
        <w:rPr>
          <w:rFonts w:ascii="Times New Roman" w:cs="Times New Roman" w:eastAsia="Times New Roman" w:hAnsi="Times New Roman"/>
          <w:sz w:val="19"/>
          <w:szCs w:val="19"/>
          <w:u w:val="single" w:color="auto"/>
          <w:color w:val="auto"/>
        </w:rPr>
        <w:t>Reallocation Following a Non-Extended Commitment Termination Date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980" w:hanging="270"/>
        <w:spacing w:after="0"/>
        <w:tabs>
          <w:tab w:leader="none" w:pos="980" w:val="left"/>
        </w:tabs>
        <w:numPr>
          <w:ilvl w:val="1"/>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Reallocation of Participations and Loans</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firstLine="746"/>
        <w:spacing w:after="0" w:line="252" w:lineRule="auto"/>
        <w:tabs>
          <w:tab w:leader="none" w:pos="973"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in connection with the reduction or termination of any Non-Extending Lender’s Commitments in accordance with </w:t>
      </w:r>
      <w:r>
        <w:rPr>
          <w:rFonts w:ascii="Times New Roman" w:cs="Times New Roman" w:eastAsia="Times New Roman" w:hAnsi="Times New Roman"/>
          <w:sz w:val="19"/>
          <w:szCs w:val="19"/>
          <w:u w:val="single" w:color="auto"/>
          <w:color w:val="auto"/>
        </w:rPr>
        <w:t>Section 2.08(f)</w:t>
      </w:r>
      <w:r>
        <w:rPr>
          <w:rFonts w:ascii="Times New Roman" w:cs="Times New Roman" w:eastAsia="Times New Roman" w:hAnsi="Times New Roman"/>
          <w:sz w:val="19"/>
          <w:szCs w:val="19"/>
          <w:color w:val="auto"/>
        </w:rPr>
        <w:t xml:space="preserve"> on any date prior to the Non-Extended Commitment Termination Date for such Non-Extending Lender, the Borrower shall be permitted to request, and each Lender other than such Non-Extending Lender agrees to provide, one or more Dollar Loans be made ratably among the Extending Lenders and Non-Extending Lenders for which the Non-Extended Commitment Termination Date shall not have occurred in accordance with the provisions of </w:t>
      </w:r>
      <w:r>
        <w:rPr>
          <w:rFonts w:ascii="Times New Roman" w:cs="Times New Roman" w:eastAsia="Times New Roman" w:hAnsi="Times New Roman"/>
          <w:sz w:val="19"/>
          <w:szCs w:val="19"/>
          <w:u w:val="single" w:color="auto"/>
          <w:color w:val="auto"/>
        </w:rPr>
        <w:t>Sections 2.02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2.17(c)</w:t>
      </w:r>
      <w:r>
        <w:rPr>
          <w:rFonts w:ascii="Times New Roman" w:cs="Times New Roman" w:eastAsia="Times New Roman" w:hAnsi="Times New Roman"/>
          <w:sz w:val="19"/>
          <w:szCs w:val="19"/>
          <w:color w:val="auto"/>
        </w:rPr>
        <w:t xml:space="preserve"> in an amount up to the amount by which such Non-Extending Lender’s Revolving Credit Exposure would exceed such Non-Extending Lender’s Commitments after giving effect to such Commitment reduction, in each case, so long as (x)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are satisfied (and, unless Borrower shall have otherwise notified the Administrative Agent at such time, Borrower shall be deemed to have represented and warranted that such conditions are satisfied at such time), (y) such Borrowing does not cause (I) the aggregate Revolving Credit Exposure of any Extending Lender to exceed such Extending Lender’s Commitment, (II) the aggregate Revolving Dollar Credit Exposure of all of the Dollar Lenders with Dollar Commitments then in effect to exceed the aggregate Dollar Commitments at such time or (III) the aggregate Revolving Multicurrency Credit Exposure of all of the Multicurrency Lenders with Multicurrency Commitments then in effect to exceed the aggregate Multicurrency Commitments at such time and (z) the proceeds of any such Loan are applied solely to reduce the Revolving Credit Exposure of the applicable Non-Extending Lender or Non-Extending Lenders, as applicable.</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ind w:right="40" w:firstLine="746"/>
        <w:spacing w:after="0" w:line="252" w:lineRule="auto"/>
        <w:tabs>
          <w:tab w:leader="none" w:pos="1027" w:val="left"/>
        </w:tabs>
        <w:numPr>
          <w:ilvl w:val="2"/>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or any part of each Non-Extending Lender’s participation in Letters of Credit and Swingline Loans shall be reallocated on (A) any date on which the Commitment of such Non-Extending Lender is reduced or terminated pursuant to </w:t>
      </w:r>
      <w:r>
        <w:rPr>
          <w:rFonts w:ascii="Times New Roman" w:cs="Times New Roman" w:eastAsia="Times New Roman" w:hAnsi="Times New Roman"/>
          <w:sz w:val="19"/>
          <w:szCs w:val="19"/>
          <w:u w:val="single" w:color="auto"/>
          <w:color w:val="auto"/>
        </w:rPr>
        <w:t>Section 2.08(f)</w:t>
      </w:r>
      <w:r>
        <w:rPr>
          <w:rFonts w:ascii="Times New Roman" w:cs="Times New Roman" w:eastAsia="Times New Roman" w:hAnsi="Times New Roman"/>
          <w:sz w:val="19"/>
          <w:szCs w:val="19"/>
          <w:color w:val="auto"/>
        </w:rPr>
        <w:t xml:space="preserve"> and (B) on the Non-Extended Commitment Termination Date for such Non-Extending Lender, in each case, among the Extending Lenders and Non-Extending Lenders for which the Non-Extended Commitment Termination Date shall not have occurred in accordance with their respective Applicable Dollar Percentages and Applicable Multicurrency Percentages after giving effect to the reduction of the aggregate Commitments, but only to the extent that (x)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(I) the aggregate Revolving Credit Exposure of any Extending Lender or Non-Extending Lender for which the Commitment Termination Date shall not have occurred to exceed such Lender’s Commitment,</w:t>
      </w:r>
    </w:p>
    <w:p>
      <w:pPr>
        <w:spacing w:after="0" w:line="8" w:lineRule="exact"/>
        <w:rPr>
          <w:rFonts w:ascii="Times New Roman" w:cs="Times New Roman" w:eastAsia="Times New Roman" w:hAnsi="Times New Roman"/>
          <w:sz w:val="19"/>
          <w:szCs w:val="19"/>
          <w:color w:val="auto"/>
        </w:rPr>
      </w:pPr>
    </w:p>
    <w:p>
      <w:pPr>
        <w:ind w:right="340" w:firstLine="2"/>
        <w:spacing w:after="0" w:line="256" w:lineRule="auto"/>
        <w:tabs>
          <w:tab w:leader="none" w:pos="304"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total Revolving Dollar Credit Exposures of Dollar Lenders with Dollar Commitments then in effect to exceed the aggregate Dollar Commitments at such time, or (III) the total Revolving Multicurrency Credit Exposures of Multicurrency Lenders with Multicurrency Commitments then in effect to exceed the aggregate Multicurrency Commitments at such time.</w:t>
      </w:r>
    </w:p>
    <w:p>
      <w:pPr>
        <w:spacing w:after="0" w:line="15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545465</wp:posOffset>
            </wp:positionV>
            <wp:extent cx="67329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179" w:name="page180"/>
    <w:bookmarkEnd w:id="179"/>
    <w:p>
      <w:pPr>
        <w:spacing w:after="0" w:line="269" w:lineRule="exact"/>
        <w:rPr>
          <w:sz w:val="20"/>
          <w:szCs w:val="20"/>
          <w:color w:val="auto"/>
        </w:rPr>
      </w:pPr>
    </w:p>
    <w:p>
      <w:pPr>
        <w:ind w:firstLine="1410"/>
        <w:spacing w:after="0" w:line="252" w:lineRule="auto"/>
        <w:tabs>
          <w:tab w:leader="none" w:pos="168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 Collateral; Repayment of Swingline Loans</w:t>
      </w:r>
      <w:r>
        <w:rPr>
          <w:rFonts w:ascii="Times New Roman" w:cs="Times New Roman" w:eastAsia="Times New Roman" w:hAnsi="Times New Roman"/>
          <w:sz w:val="19"/>
          <w:szCs w:val="19"/>
          <w:color w:val="auto"/>
        </w:rPr>
        <w:t xml:space="preserve">. If any Loan related to the reduction or termination of a Non-Extending Lender’s Commitment prior to the Non-Extended Commitment Termination Date described in </w:t>
      </w:r>
      <w:r>
        <w:rPr>
          <w:rFonts w:ascii="Times New Roman" w:cs="Times New Roman" w:eastAsia="Times New Roman" w:hAnsi="Times New Roman"/>
          <w:sz w:val="19"/>
          <w:szCs w:val="19"/>
          <w:u w:val="single" w:color="auto"/>
          <w:color w:val="auto"/>
        </w:rPr>
        <w:t>clause (a)(i)</w:t>
      </w:r>
      <w:r>
        <w:rPr>
          <w:rFonts w:ascii="Times New Roman" w:cs="Times New Roman" w:eastAsia="Times New Roman" w:hAnsi="Times New Roman"/>
          <w:sz w:val="19"/>
          <w:szCs w:val="19"/>
          <w:color w:val="auto"/>
        </w:rPr>
        <w:t xml:space="preserve"> above or any reallocation described in </w:t>
      </w:r>
      <w:r>
        <w:rPr>
          <w:rFonts w:ascii="Times New Roman" w:cs="Times New Roman" w:eastAsia="Times New Roman" w:hAnsi="Times New Roman"/>
          <w:sz w:val="19"/>
          <w:szCs w:val="19"/>
          <w:u w:val="single" w:color="auto"/>
          <w:color w:val="auto"/>
        </w:rPr>
        <w:t>clause (a)(ii)</w:t>
      </w:r>
      <w:r>
        <w:rPr>
          <w:rFonts w:ascii="Times New Roman" w:cs="Times New Roman" w:eastAsia="Times New Roman" w:hAnsi="Times New Roman"/>
          <w:sz w:val="19"/>
          <w:szCs w:val="19"/>
          <w:color w:val="auto"/>
        </w:rPr>
        <w:t xml:space="preserve"> above cannot, or can only partially, be effected, the Borrower shall, not later than (i) with respect to any reduction or termination of a Non-Extending Lender’s Commitment pursuant to </w:t>
      </w:r>
      <w:r>
        <w:rPr>
          <w:rFonts w:ascii="Times New Roman" w:cs="Times New Roman" w:eastAsia="Times New Roman" w:hAnsi="Times New Roman"/>
          <w:sz w:val="19"/>
          <w:szCs w:val="19"/>
          <w:u w:val="single" w:color="auto"/>
          <w:color w:val="auto"/>
        </w:rPr>
        <w:t>Section 2.08(f)</w:t>
      </w:r>
      <w:r>
        <w:rPr>
          <w:rFonts w:ascii="Times New Roman" w:cs="Times New Roman" w:eastAsia="Times New Roman" w:hAnsi="Times New Roman"/>
          <w:sz w:val="19"/>
          <w:szCs w:val="19"/>
          <w:color w:val="auto"/>
        </w:rPr>
        <w:t xml:space="preserve">, the date of such Commitment reduction or termination or, (ii) with respect to any reallocation of participations in Letters of Credit and Swingline Loans on the Non-Extended Commitment Termination Date for any Non-Extending Lender, on the Non-Extended Commitment Termination Date applicable to such Non-Extending Lender, as the case may be, without prejudice to any right or remedy available to it hereunder or under law, (x) prepay Swingline Loans in an amount equal to the amount by which the participation obligations of the Non-Extending Lenders for which the Non-Extended Commitment Termination Date shall have occurred which have not been reallocated to the Extending Lenders and Non-Extending Lenders for which the Non-Extended Commitment Termination Date shall not have occurred pursuant to </w:t>
      </w:r>
      <w:r>
        <w:rPr>
          <w:rFonts w:ascii="Times New Roman" w:cs="Times New Roman" w:eastAsia="Times New Roman" w:hAnsi="Times New Roman"/>
          <w:sz w:val="19"/>
          <w:szCs w:val="19"/>
          <w:u w:val="single" w:color="auto"/>
          <w:color w:val="auto"/>
        </w:rPr>
        <w:t>clause (a)(ii)</w:t>
      </w:r>
      <w:r>
        <w:rPr>
          <w:rFonts w:ascii="Times New Roman" w:cs="Times New Roman" w:eastAsia="Times New Roman" w:hAnsi="Times New Roman"/>
          <w:sz w:val="19"/>
          <w:szCs w:val="19"/>
          <w:color w:val="auto"/>
        </w:rPr>
        <w:t xml:space="preserve"> above, (y) provide Cash Collateral in an amount equal to the amount by which the participation obligations of such Non-Extending Lenders in Letters of Credit have not been reallocated pursuant to </w:t>
      </w:r>
      <w:r>
        <w:rPr>
          <w:rFonts w:ascii="Times New Roman" w:cs="Times New Roman" w:eastAsia="Times New Roman" w:hAnsi="Times New Roman"/>
          <w:sz w:val="19"/>
          <w:szCs w:val="19"/>
          <w:u w:val="single" w:color="auto"/>
          <w:color w:val="auto"/>
        </w:rPr>
        <w:t>clause (a)(ii)</w:t>
      </w:r>
      <w:r>
        <w:rPr>
          <w:rFonts w:ascii="Times New Roman" w:cs="Times New Roman" w:eastAsia="Times New Roman" w:hAnsi="Times New Roman"/>
          <w:sz w:val="19"/>
          <w:szCs w:val="19"/>
          <w:color w:val="auto"/>
        </w:rPr>
        <w:t xml:space="preserve"> above and/or (z) prepay any other Loans of a Non-Extending Lender for which the Non-Extended Commitment Termination Date shall have occurred in an amount equal to the amount by which the Revolving Credit Exposure of such Non-Extending Lender after giving effect to any prepayment described in </w:t>
      </w:r>
      <w:r>
        <w:rPr>
          <w:rFonts w:ascii="Times New Roman" w:cs="Times New Roman" w:eastAsia="Times New Roman" w:hAnsi="Times New Roman"/>
          <w:sz w:val="19"/>
          <w:szCs w:val="19"/>
          <w:u w:val="single" w:color="auto"/>
          <w:color w:val="auto"/>
        </w:rPr>
        <w:t>clause (a)(i)(z) above</w:t>
      </w:r>
      <w:r>
        <w:rPr>
          <w:rFonts w:ascii="Times New Roman" w:cs="Times New Roman" w:eastAsia="Times New Roman" w:hAnsi="Times New Roman"/>
          <w:sz w:val="19"/>
          <w:szCs w:val="19"/>
          <w:color w:val="auto"/>
        </w:rPr>
        <w:t xml:space="preserve"> exceeds such Non-Extending Lender’s Commitment after giving effect to any reduction in such Non-Extending Lender’s Commitment, as applicable.</w:t>
      </w:r>
    </w:p>
    <w:p>
      <w:pPr>
        <w:spacing w:after="0" w:line="40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SECTION 2.21. [</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2.22. </w:t>
      </w: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1410"/>
        <w:spacing w:after="0" w:line="253" w:lineRule="auto"/>
        <w:tabs>
          <w:tab w:leader="none" w:pos="1668"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xml:space="preserve"> Notwithstanding anything to the contrary herein or in any other Loan Document, if a Benchmark Transition Event and its related Benchmark Replacement Date have occurred prior to any setting of the then-current Benchmark for a Currency, then (x) if a Benchmark Replacement for the Term SOFR Reference Rate is determined in accordance with clause (1) of the definition of “Benchmark Replacement” for such Benchmark Replacement Date, such Benchmark Replacement will replace such Benchmark for all purposes hereunder and under any other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such Currency for all purposes hereunder and under any other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(x) in the case of a Benchmark Replacement for Dollars, the Required Lenders, and (y) in the case of a Benchmark Replacement for any Foreign Currency, the Required Multicurrency Lenders. If the Benchmark Replacement is Daily Simple SOFR, all interest payments will be payable on a quarterly basis.</w:t>
      </w:r>
    </w:p>
    <w:p>
      <w:pPr>
        <w:spacing w:after="0" w:line="15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80" w:name="page181"/>
    <w:bookmarkEnd w:id="180"/>
    <w:p>
      <w:pPr>
        <w:spacing w:after="0" w:line="269" w:lineRule="exact"/>
        <w:rPr>
          <w:sz w:val="20"/>
          <w:szCs w:val="20"/>
          <w:color w:val="auto"/>
        </w:rPr>
      </w:pPr>
    </w:p>
    <w:p>
      <w:pPr>
        <w:ind w:right="40" w:firstLine="1410"/>
        <w:spacing w:after="0" w:line="259" w:lineRule="auto"/>
        <w:tabs>
          <w:tab w:leader="none" w:pos="168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 Conforming Changes</w:t>
      </w:r>
      <w:r>
        <w:rPr>
          <w:rFonts w:ascii="Times New Roman" w:cs="Times New Roman" w:eastAsia="Times New Roman" w:hAnsi="Times New Roman"/>
          <w:sz w:val="19"/>
          <w:szCs w:val="19"/>
          <w:color w:val="auto"/>
        </w:rPr>
        <w:t>. In connection with the use, administration, adoption or implementation of a Benchmark Replacement, the Administrative Agent (after consulting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53" w:lineRule="exact"/>
        <w:rPr>
          <w:rFonts w:ascii="Times New Roman" w:cs="Times New Roman" w:eastAsia="Times New Roman" w:hAnsi="Times New Roman"/>
          <w:sz w:val="19"/>
          <w:szCs w:val="19"/>
          <w:color w:val="auto"/>
        </w:rPr>
      </w:pPr>
    </w:p>
    <w:p>
      <w:pPr>
        <w:ind w:right="60" w:firstLine="1410"/>
        <w:spacing w:after="0" w:line="254" w:lineRule="auto"/>
        <w:tabs>
          <w:tab w:leader="none" w:pos="1668"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Standards for Decisions and Determinations</w:t>
      </w:r>
      <w:r>
        <w:rPr>
          <w:rFonts w:ascii="Times New Roman" w:cs="Times New Roman" w:eastAsia="Times New Roman" w:hAnsi="Times New Roman"/>
          <w:sz w:val="19"/>
          <w:szCs w:val="19"/>
          <w:color w:val="auto"/>
        </w:rPr>
        <w:t xml:space="preserve">. The Administrative Agent will promptly notify the Borrower and the Lenders of (i) any occurrence of a Benchmark Transition Event, (ii) the implementation of any Benchmark Replacement and (iii)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xml:space="preserve"> below and (y) the commencement or conclusion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w:t>
      </w:r>
    </w:p>
    <w:p>
      <w:pPr>
        <w:spacing w:after="0" w:line="160" w:lineRule="exact"/>
        <w:rPr>
          <w:rFonts w:ascii="Times New Roman" w:cs="Times New Roman" w:eastAsia="Times New Roman" w:hAnsi="Times New Roman"/>
          <w:sz w:val="19"/>
          <w:szCs w:val="19"/>
          <w:color w:val="auto"/>
        </w:rPr>
      </w:pPr>
    </w:p>
    <w:p>
      <w:pPr>
        <w:ind w:right="40" w:firstLine="1410"/>
        <w:spacing w:after="0" w:line="253" w:lineRule="auto"/>
        <w:tabs>
          <w:tab w:leader="none" w:pos="168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Unavailability of Tenor of Benchmark</w:t>
      </w:r>
      <w:r>
        <w:rPr>
          <w:rFonts w:ascii="Times New Roman" w:cs="Times New Roman" w:eastAsia="Times New Roman" w:hAnsi="Times New Roman"/>
          <w:sz w:val="19"/>
          <w:szCs w:val="19"/>
          <w:color w:val="auto"/>
        </w:rPr>
        <w:t>. Notwithstanding anything to the contrary herein or in any other Loan Document, at any time (including in connection with the implementation of a Benchmark Replacement), (i) if the then-current Benchmark for a Currency is a term rate (including the Term SOFR Reference Rate, the Term CORRA Reference Rate or the applicable Adjusted Term Benchmark Rate) and either (A) any tenor for such Benchmark for such Currency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for such Currency is not or will not be representative, then the Administrative Agent may modify the definition of “Interest Period” (or any similar or analogous definition) for any Benchmark settings for such Currency at or after such time to remove such unavailable or non-representative tenor and (ii) if a tenor that was removed pursuant to clause (i) above either (A) is subsequently displayed on a screen or information service for a Benchmark for such Currency (including a Benchmark Replacement) or (B) is not, or is no longer, subject to an announcement that it is not or will not be representative for a Benchmark for such Currency (including a Benchmark Replacement), then the Administrative Agent may modify the definition of “Interest Period” (or any similar or analogous definition) for all Benchmark settings for such Currency at or after such time to reinstate such previously removed tenor.</w:t>
      </w:r>
    </w:p>
    <w:p>
      <w:pPr>
        <w:spacing w:after="0" w:line="160" w:lineRule="exact"/>
        <w:rPr>
          <w:rFonts w:ascii="Times New Roman" w:cs="Times New Roman" w:eastAsia="Times New Roman" w:hAnsi="Times New Roman"/>
          <w:sz w:val="19"/>
          <w:szCs w:val="19"/>
          <w:color w:val="auto"/>
        </w:rPr>
      </w:pPr>
    </w:p>
    <w:p>
      <w:pPr>
        <w:ind w:right="200" w:firstLine="1410"/>
        <w:spacing w:after="0" w:line="262" w:lineRule="auto"/>
        <w:tabs>
          <w:tab w:leader="none" w:pos="1668"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Upon the Borrower’s receipt of notice of the commencement of a Benchmark Unavailability Period, the Borrower may revoke any pending request for a Term Benchmark Borrowing or RFR Borrowing of, conversion to or continuation of Term Benchmark Loans or RFR Loans in each affected Currency to be made, converted or continued during any Benchmark Unavailability Period and, failing that, (i) any</w:t>
      </w:r>
    </w:p>
    <w:p>
      <w:pPr>
        <w:spacing w:after="0" w:line="14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1" w:name="page182"/>
    <w:bookmarkEnd w:id="181"/>
    <w:p>
      <w:pPr>
        <w:spacing w:after="0" w:line="26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 xml:space="preserve">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at the end of the applicable Interest Period, (ii) if the affected Currency is Dollars and any Borrowing Request requests a Term Benchmark Borrowing denominated in Dollars, such Borrowing shall be made as an ABR Borrowing, (iii) if the affected Currency is a Foreign Currency other than Canadian Dollars, (A) any Borrowing Request that requests a Term Benchmark Borrowing or RFR Borrowing denominated in the affected Currency shall be made as a Borrowing bearing interest at the Central Bank Rate for the applicable Agreed Foreign Currency; provided, that if the Administrative Agent determines (which determination shall be conclusive and binding absent manifest error) that the Central Bank Rate for the applicable Foreign Currency cannot be determined, such Borrowing Request shall be ineffective, and (B) any outstanding Term Benchmark Borrowing or RFR Borrowing in the affected Currency, at the Borrower’s election, shall either (1) be converted to a Borrowing bearing interest at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an ABR Borrowing denominated in Dollars (in an amount 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provided,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provided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at the end of the applicable Interest Period, (2) be converted into an ABR Borrowing denominated in Dollars (in an amount equal to the Dollar Equivalent of such affected Currency) at the end of the applicable Interest Period, or (3) be prepaid in full at the end of the applicable Interest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no election is made by the Borrower by the date that is three Business Days after receipt by the Borrower of such notice or, in the case of a Term Benchmark Borrowing, the last day of the current Interest Period for the applicable Term Benchmark Loan, if earlier, the Borrower shall be deemed to have elected clause (iii)(B(1) or (iv)(B)(1) above, as applicable. During a Benchmark Unavailability Period or at any time that a tenor for the then-current Benchmark is not an Available Tenor, the component of the</w:t>
      </w:r>
    </w:p>
    <w:p>
      <w:pPr>
        <w:spacing w:after="0" w:line="17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2" w:name="page183"/>
    <w:bookmarkEnd w:id="182"/>
    <w:p>
      <w:pPr>
        <w:spacing w:after="0" w:line="26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9"/>
          <w:szCs w:val="19"/>
          <w:color w:val="auto"/>
        </w:rPr>
        <w:t>Alternate Base Rate based upon the then-current Benchmark or such tenor for such Benchmark, as applicable, will not be used in any determination of the Alternate Base Rate.</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ARTICLE III</w:t>
      </w:r>
    </w:p>
    <w:p>
      <w:pPr>
        <w:spacing w:after="0" w:line="238" w:lineRule="exact"/>
        <w:rPr>
          <w:sz w:val="20"/>
          <w:szCs w:val="20"/>
          <w:color w:val="auto"/>
        </w:rPr>
      </w:pPr>
    </w:p>
    <w:p>
      <w:pPr>
        <w:ind w:left="1420" w:right="3520" w:firstLine="2101"/>
        <w:spacing w:after="0" w:line="461" w:lineRule="auto"/>
        <w:rPr>
          <w:sz w:val="20"/>
          <w:szCs w:val="20"/>
          <w:color w:val="auto"/>
        </w:rPr>
      </w:pPr>
      <w:r>
        <w:rPr>
          <w:rFonts w:ascii="Times New Roman" w:cs="Times New Roman" w:eastAsia="Times New Roman" w:hAnsi="Times New Roman"/>
          <w:sz w:val="19"/>
          <w:szCs w:val="19"/>
          <w:color w:val="auto"/>
        </w:rPr>
        <w:t>REPRESENTATIONS AND WARRANTIES The Borrower represents and warrants to the Lenders that:</w:t>
      </w:r>
    </w:p>
    <w:p>
      <w:pPr>
        <w:spacing w:after="0" w:line="1" w:lineRule="exact"/>
        <w:rPr>
          <w:sz w:val="20"/>
          <w:szCs w:val="20"/>
          <w:color w:val="auto"/>
        </w:rPr>
      </w:pPr>
    </w:p>
    <w:p>
      <w:pPr>
        <w:ind w:right="40" w:firstLine="1404"/>
        <w:spacing w:after="0" w:line="259" w:lineRule="auto"/>
        <w:rPr>
          <w:sz w:val="20"/>
          <w:szCs w:val="20"/>
          <w:color w:val="auto"/>
        </w:rPr>
      </w:pPr>
      <w:r>
        <w:rPr>
          <w:rFonts w:ascii="Times New Roman" w:cs="Times New Roman" w:eastAsia="Times New Roman" w:hAnsi="Times New Roman"/>
          <w:sz w:val="19"/>
          <w:szCs w:val="19"/>
          <w:color w:val="auto"/>
        </w:rPr>
        <w:t xml:space="preserve">SECTION 3.01. </w:t>
      </w:r>
      <w:r>
        <w:rPr>
          <w:rFonts w:ascii="Times New Roman" w:cs="Times New Roman" w:eastAsia="Times New Roman" w:hAnsi="Times New Roman"/>
          <w:sz w:val="19"/>
          <w:szCs w:val="19"/>
          <w:u w:val="single" w:color="auto"/>
          <w:color w:val="auto"/>
        </w:rPr>
        <w:t>Organization; Powers</w:t>
      </w:r>
      <w:r>
        <w:rPr>
          <w:rFonts w:ascii="Times New Roman" w:cs="Times New Roman" w:eastAsia="Times New Roman" w:hAnsi="Times New Roman"/>
          <w:sz w:val="19"/>
          <w:szCs w:val="19"/>
          <w:color w:val="auto"/>
        </w:rPr>
        <w:t xml:space="preserve"> . 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of the Borrower or such Subsidiary, as applicable.</w:t>
      </w:r>
    </w:p>
    <w:p>
      <w:pPr>
        <w:spacing w:after="0" w:line="154" w:lineRule="exact"/>
        <w:rPr>
          <w:sz w:val="20"/>
          <w:szCs w:val="20"/>
          <w:color w:val="auto"/>
        </w:rPr>
      </w:pPr>
    </w:p>
    <w:p>
      <w:pPr>
        <w:ind w:right="20" w:firstLine="1404"/>
        <w:spacing w:after="0" w:line="256" w:lineRule="auto"/>
        <w:rPr>
          <w:sz w:val="20"/>
          <w:szCs w:val="20"/>
          <w:color w:val="auto"/>
        </w:rPr>
      </w:pPr>
      <w:r>
        <w:rPr>
          <w:rFonts w:ascii="Times New Roman" w:cs="Times New Roman" w:eastAsia="Times New Roman" w:hAnsi="Times New Roman"/>
          <w:sz w:val="19"/>
          <w:szCs w:val="19"/>
          <w:color w:val="auto"/>
        </w:rPr>
        <w:t xml:space="preserve">SECTION 3.02. </w:t>
      </w:r>
      <w:r>
        <w:rPr>
          <w:rFonts w:ascii="Times New Roman" w:cs="Times New Roman" w:eastAsia="Times New Roman" w:hAnsi="Times New Roman"/>
          <w:sz w:val="19"/>
          <w:szCs w:val="19"/>
          <w:u w:val="single" w:color="auto"/>
          <w:color w:val="auto"/>
        </w:rPr>
        <w:t>Authorization; Enforceability</w:t>
      </w:r>
      <w:r>
        <w:rPr>
          <w:rFonts w:ascii="Times New Roman" w:cs="Times New Roman" w:eastAsia="Times New Roman" w:hAnsi="Times New Roman"/>
          <w:sz w:val="19"/>
          <w:szCs w:val="19"/>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will constitute, a legal, valid and binding obligation of the Borrower,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57"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 xml:space="preserve">SECTION 3.03. </w:t>
      </w:r>
      <w:r>
        <w:rPr>
          <w:rFonts w:ascii="Times New Roman" w:cs="Times New Roman" w:eastAsia="Times New Roman" w:hAnsi="Times New Roman"/>
          <w:sz w:val="19"/>
          <w:szCs w:val="19"/>
          <w:u w:val="single" w:color="auto"/>
          <w:color w:val="auto"/>
        </w:rPr>
        <w:t>Governmental Approvals; No Conflicts.</w:t>
      </w:r>
      <w:r>
        <w:rPr>
          <w:rFonts w:ascii="Times New Roman" w:cs="Times New Roman" w:eastAsia="Times New Roman" w:hAnsi="Times New Roman"/>
          <w:sz w:val="19"/>
          <w:szCs w:val="19"/>
          <w:color w:val="auto"/>
        </w:rPr>
        <w:t xml:space="preserve"> The Transactions (a) do not require any consent or approval of, registration or filing with, or any other action by, any Governmental Authority, except for (i) such as have been or will be obtained or made and are in full force and effect and (ii) filings and recordings in respect of the Liens created pursuant to this Agreement or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and (d) except for the Liens created pursuant to this Agreement or the Security Documents, will not result in the creation or imposition of any Lien on any asset of the Borrower or any of its Subsidiaries.</w:t>
      </w:r>
    </w:p>
    <w:p>
      <w:pPr>
        <w:spacing w:after="0" w:line="38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3.04. </w:t>
      </w:r>
      <w:r>
        <w:rPr>
          <w:rFonts w:ascii="Times New Roman" w:cs="Times New Roman" w:eastAsia="Times New Roman" w:hAnsi="Times New Roman"/>
          <w:sz w:val="19"/>
          <w:szCs w:val="19"/>
          <w:u w:val="single" w:color="auto"/>
          <w:color w:val="auto"/>
        </w:rPr>
        <w:t>Financial Condition; No Material Adverse Change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right="40" w:firstLine="1410"/>
        <w:spacing w:after="0" w:line="262" w:lineRule="auto"/>
        <w:tabs>
          <w:tab w:leader="none" w:pos="1668"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The Borrower has heretofore delivered to the Lenders the audited consolidated balance sheet and statements of assets and liabilities, operations, changes in net assets and cash flows of the Borrower and its Subsidiaries as of and for the year ended September 30, 2013, certified by a Financial Officer of the Borrower. Such financial statements present fairly, in all material respects, the consolidated financial position and results of</w:t>
      </w:r>
    </w:p>
    <w:p>
      <w:pPr>
        <w:spacing w:after="0" w:line="14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3" w:name="page184"/>
    <w:bookmarkEnd w:id="183"/>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operations and cash flows of the Borrower and its Subsidiaries as of such date and for such period in accordance with GAAP.</w:t>
      </w:r>
    </w:p>
    <w:p>
      <w:pPr>
        <w:spacing w:after="0" w:line="202" w:lineRule="exact"/>
        <w:rPr>
          <w:sz w:val="20"/>
          <w:szCs w:val="20"/>
          <w:color w:val="auto"/>
        </w:rPr>
      </w:pPr>
    </w:p>
    <w:p>
      <w:pPr>
        <w:ind w:right="100" w:firstLine="1410"/>
        <w:spacing w:after="0" w:line="257" w:lineRule="auto"/>
        <w:tabs>
          <w:tab w:leader="none" w:pos="168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Material Adverse Change</w:t>
      </w:r>
      <w:r>
        <w:rPr>
          <w:rFonts w:ascii="Times New Roman" w:cs="Times New Roman" w:eastAsia="Times New Roman" w:hAnsi="Times New Roman"/>
          <w:sz w:val="19"/>
          <w:szCs w:val="19"/>
          <w:color w:val="auto"/>
        </w:rPr>
        <w:t>. Since the date of the most recent Applicable Financial Statements, there has not been any event, development or circumstance (herein, a “</w:t>
      </w:r>
      <w:r>
        <w:rPr>
          <w:rFonts w:ascii="Times New Roman" w:cs="Times New Roman" w:eastAsia="Times New Roman" w:hAnsi="Times New Roman"/>
          <w:sz w:val="19"/>
          <w:szCs w:val="19"/>
          <w:u w:val="single" w:color="auto"/>
          <w:color w:val="auto"/>
        </w:rPr>
        <w:t>Material Adverse Change</w:t>
      </w:r>
      <w:r>
        <w:rPr>
          <w:rFonts w:ascii="Times New Roman" w:cs="Times New Roman" w:eastAsia="Times New Roman" w:hAnsi="Times New Roman"/>
          <w:sz w:val="19"/>
          <w:szCs w:val="19"/>
          <w:color w:val="auto"/>
        </w:rPr>
        <w:t>”) that has had or could reasonably be expected to have a material adverse effect on (i) the business, Portfolio Investments and other assets, liabilities and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57" w:lineRule="exact"/>
        <w:rPr>
          <w:sz w:val="20"/>
          <w:szCs w:val="20"/>
          <w:color w:val="auto"/>
        </w:rPr>
      </w:pPr>
    </w:p>
    <w:p>
      <w:pPr>
        <w:ind w:right="100" w:firstLine="1404"/>
        <w:spacing w:after="0" w:line="259" w:lineRule="auto"/>
        <w:rPr>
          <w:sz w:val="20"/>
          <w:szCs w:val="20"/>
          <w:color w:val="auto"/>
        </w:rPr>
      </w:pPr>
      <w:r>
        <w:rPr>
          <w:rFonts w:ascii="Times New Roman" w:cs="Times New Roman" w:eastAsia="Times New Roman" w:hAnsi="Times New Roman"/>
          <w:sz w:val="19"/>
          <w:szCs w:val="19"/>
          <w:color w:val="auto"/>
        </w:rPr>
        <w:t xml:space="preserve">SECTION 3.05. </w:t>
      </w: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 There are no actions, suits, investigations or proceedings by or before any 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54" w:lineRule="exact"/>
        <w:rPr>
          <w:sz w:val="20"/>
          <w:szCs w:val="20"/>
          <w:color w:val="auto"/>
        </w:rPr>
      </w:pPr>
    </w:p>
    <w:p>
      <w:pPr>
        <w:ind w:right="60" w:firstLine="1404"/>
        <w:spacing w:after="0" w:line="257" w:lineRule="auto"/>
        <w:rPr>
          <w:sz w:val="20"/>
          <w:szCs w:val="20"/>
          <w:color w:val="auto"/>
        </w:rPr>
      </w:pPr>
      <w:r>
        <w:rPr>
          <w:rFonts w:ascii="Times New Roman" w:cs="Times New Roman" w:eastAsia="Times New Roman" w:hAnsi="Times New Roman"/>
          <w:sz w:val="19"/>
          <w:szCs w:val="19"/>
          <w:color w:val="auto"/>
        </w:rPr>
        <w:t xml:space="preserve">SECTION 3.06. </w:t>
      </w:r>
      <w:r>
        <w:rPr>
          <w:rFonts w:ascii="Times New Roman" w:cs="Times New Roman" w:eastAsia="Times New Roman" w:hAnsi="Times New Roman"/>
          <w:sz w:val="19"/>
          <w:szCs w:val="19"/>
          <w:u w:val="single" w:color="auto"/>
          <w:color w:val="auto"/>
        </w:rPr>
        <w:t>Compliance with Laws and Agreements</w:t>
      </w:r>
      <w:r>
        <w:rPr>
          <w:rFonts w:ascii="Times New Roman" w:cs="Times New Roman" w:eastAsia="Times New Roman" w:hAnsi="Times New Roman"/>
          <w:sz w:val="19"/>
          <w:szCs w:val="19"/>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or its Subsidiaries could reasonably be expected to result in a Material Adverse Effect.</w:t>
      </w:r>
    </w:p>
    <w:p>
      <w:pPr>
        <w:spacing w:after="0" w:line="157" w:lineRule="exact"/>
        <w:rPr>
          <w:sz w:val="20"/>
          <w:szCs w:val="20"/>
          <w:color w:val="auto"/>
        </w:rPr>
      </w:pPr>
    </w:p>
    <w:p>
      <w:pPr>
        <w:ind w:right="120" w:firstLine="1404"/>
        <w:spacing w:after="0" w:line="262" w:lineRule="auto"/>
        <w:rPr>
          <w:sz w:val="20"/>
          <w:szCs w:val="20"/>
          <w:color w:val="auto"/>
        </w:rPr>
      </w:pPr>
      <w:r>
        <w:rPr>
          <w:rFonts w:ascii="Times New Roman" w:cs="Times New Roman" w:eastAsia="Times New Roman" w:hAnsi="Times New Roman"/>
          <w:sz w:val="19"/>
          <w:szCs w:val="19"/>
          <w:color w:val="auto"/>
        </w:rPr>
        <w:t xml:space="preserve">SECTION 3.07.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50" w:lineRule="exact"/>
        <w:rPr>
          <w:sz w:val="20"/>
          <w:szCs w:val="20"/>
          <w:color w:val="auto"/>
        </w:rPr>
      </w:pPr>
    </w:p>
    <w:p>
      <w:pPr>
        <w:jc w:val="both"/>
        <w:ind w:firstLine="1404"/>
        <w:spacing w:after="0" w:line="268" w:lineRule="auto"/>
        <w:rPr>
          <w:sz w:val="20"/>
          <w:szCs w:val="20"/>
          <w:color w:val="auto"/>
        </w:rPr>
      </w:pPr>
      <w:r>
        <w:rPr>
          <w:rFonts w:ascii="Times New Roman" w:cs="Times New Roman" w:eastAsia="Times New Roman" w:hAnsi="Times New Roman"/>
          <w:sz w:val="19"/>
          <w:szCs w:val="19"/>
          <w:color w:val="auto"/>
        </w:rPr>
        <w:t xml:space="preserve">SECTION 3.08. </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44" w:lineRule="exact"/>
        <w:rPr>
          <w:sz w:val="20"/>
          <w:szCs w:val="20"/>
          <w:color w:val="auto"/>
        </w:rPr>
      </w:pPr>
    </w:p>
    <w:p>
      <w:pPr>
        <w:ind w:right="240" w:firstLine="1404"/>
        <w:spacing w:after="0" w:line="257" w:lineRule="auto"/>
        <w:rPr>
          <w:sz w:val="20"/>
          <w:szCs w:val="20"/>
          <w:color w:val="auto"/>
        </w:rPr>
      </w:pPr>
      <w:r>
        <w:rPr>
          <w:rFonts w:ascii="Times New Roman" w:cs="Times New Roman" w:eastAsia="Times New Roman" w:hAnsi="Times New Roman"/>
          <w:sz w:val="19"/>
          <w:szCs w:val="19"/>
          <w:color w:val="auto"/>
        </w:rPr>
        <w:t xml:space="preserve">SECTION 3.09. </w:t>
      </w:r>
      <w:r>
        <w:rPr>
          <w:rFonts w:ascii="Times New Roman" w:cs="Times New Roman" w:eastAsia="Times New Roman" w:hAnsi="Times New Roman"/>
          <w:sz w:val="19"/>
          <w:szCs w:val="19"/>
          <w:u w:val="single" w:color="auto"/>
          <w:color w:val="auto"/>
        </w:rPr>
        <w:t>Disclosure</w:t>
      </w:r>
      <w:r>
        <w:rPr>
          <w:rFonts w:ascii="Times New Roman" w:cs="Times New Roman" w:eastAsia="Times New Roman" w:hAnsi="Times New Roman"/>
          <w:sz w:val="19"/>
          <w:szCs w:val="19"/>
          <w:color w:val="auto"/>
        </w:rPr>
        <w:t>. As of the Effective Date,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and, as of the Fifth Amendment Effective Date, the information included in the Beneficial Ownership Certification is true and correct in all material respects. None of the reports, financial statements, certificates or other written information (other than projected financial information, other forward looking</w:t>
      </w:r>
    </w:p>
    <w:p>
      <w:pPr>
        <w:spacing w:after="0" w:line="1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4" w:name="page185"/>
    <w:bookmarkEnd w:id="184"/>
    <w:p>
      <w:pPr>
        <w:spacing w:after="0" w:line="26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color w:val="auto"/>
        </w:rPr>
        <w:t xml:space="preserve">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projected financial information, the Borrower represents only that such information was prepared in good faith based upon assumptions believed to be reasonable at the time.</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3.10. </w:t>
      </w:r>
      <w:r>
        <w:rPr>
          <w:rFonts w:ascii="Times New Roman" w:cs="Times New Roman" w:eastAsia="Times New Roman" w:hAnsi="Times New Roman"/>
          <w:sz w:val="19"/>
          <w:szCs w:val="19"/>
          <w:u w:val="single" w:color="auto"/>
          <w:color w:val="auto"/>
        </w:rPr>
        <w:t>Investment Company Act; Margin Regulations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500" w:firstLine="1410"/>
        <w:spacing w:after="0" w:line="286" w:lineRule="auto"/>
        <w:tabs>
          <w:tab w:leader="none" w:pos="1668"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Status as Business Development Company</w:t>
      </w:r>
      <w:r>
        <w:rPr>
          <w:rFonts w:ascii="Times New Roman" w:cs="Times New Roman" w:eastAsia="Times New Roman" w:hAnsi="Times New Roman"/>
          <w:sz w:val="19"/>
          <w:szCs w:val="19"/>
          <w:color w:val="auto"/>
        </w:rPr>
        <w:t>. The Borrower is an “investment company” that has elected to be regulated as a “business development company” within the meaning of the Investment Company Act and qualifies as a RIC.</w:t>
      </w:r>
    </w:p>
    <w:p>
      <w:pPr>
        <w:spacing w:after="0" w:line="127" w:lineRule="exact"/>
        <w:rPr>
          <w:rFonts w:ascii="Times New Roman" w:cs="Times New Roman" w:eastAsia="Times New Roman" w:hAnsi="Times New Roman"/>
          <w:sz w:val="19"/>
          <w:szCs w:val="19"/>
          <w:color w:val="auto"/>
        </w:rPr>
      </w:pPr>
    </w:p>
    <w:p>
      <w:pPr>
        <w:ind w:right="20" w:firstLine="1410"/>
        <w:spacing w:after="0" w:line="259" w:lineRule="auto"/>
        <w:tabs>
          <w:tab w:leader="none" w:pos="168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with Investment Company Act</w:t>
      </w:r>
      <w:r>
        <w:rPr>
          <w:rFonts w:ascii="Times New Roman" w:cs="Times New Roman" w:eastAsia="Times New Roman" w:hAnsi="Times New Roman"/>
          <w:sz w:val="19"/>
          <w:szCs w:val="19"/>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spacing w:after="0" w:line="153" w:lineRule="exact"/>
        <w:rPr>
          <w:rFonts w:ascii="Times New Roman" w:cs="Times New Roman" w:eastAsia="Times New Roman" w:hAnsi="Times New Roman"/>
          <w:sz w:val="19"/>
          <w:szCs w:val="19"/>
          <w:color w:val="auto"/>
        </w:rPr>
      </w:pPr>
    </w:p>
    <w:p>
      <w:pPr>
        <w:ind w:right="380" w:firstLine="1410"/>
        <w:spacing w:after="0" w:line="286" w:lineRule="auto"/>
        <w:tabs>
          <w:tab w:leader="none" w:pos="1668"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Investment Policies</w:t>
      </w:r>
      <w:r>
        <w:rPr>
          <w:rFonts w:ascii="Times New Roman" w:cs="Times New Roman" w:eastAsia="Times New Roman" w:hAnsi="Times New Roman"/>
          <w:sz w:val="19"/>
          <w:szCs w:val="19"/>
          <w:color w:val="auto"/>
        </w:rPr>
        <w:t>. The Borrower is in compliance in all material respects with the Investment Policies (after giving effect to any Permitted Policy Amendments).</w:t>
      </w:r>
    </w:p>
    <w:p>
      <w:pPr>
        <w:spacing w:after="0" w:line="127" w:lineRule="exact"/>
        <w:rPr>
          <w:rFonts w:ascii="Times New Roman" w:cs="Times New Roman" w:eastAsia="Times New Roman" w:hAnsi="Times New Roman"/>
          <w:sz w:val="19"/>
          <w:szCs w:val="19"/>
          <w:color w:val="auto"/>
        </w:rPr>
      </w:pPr>
    </w:p>
    <w:p>
      <w:pPr>
        <w:jc w:val="both"/>
        <w:ind w:right="240" w:firstLine="1410"/>
        <w:spacing w:after="0" w:line="268" w:lineRule="auto"/>
        <w:tabs>
          <w:tab w:leader="none" w:pos="168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Use of Credit</w:t>
      </w:r>
      <w:r>
        <w:rPr>
          <w:rFonts w:ascii="Times New Roman" w:cs="Times New Roman" w:eastAsia="Times New Roman" w:hAnsi="Times New Roman"/>
          <w:sz w:val="19"/>
          <w:szCs w:val="19"/>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3.11. </w:t>
      </w:r>
      <w:r>
        <w:rPr>
          <w:rFonts w:ascii="Times New Roman" w:cs="Times New Roman" w:eastAsia="Times New Roman" w:hAnsi="Times New Roman"/>
          <w:sz w:val="19"/>
          <w:szCs w:val="19"/>
          <w:u w:val="single" w:color="auto"/>
          <w:color w:val="auto"/>
        </w:rPr>
        <w:t>Material Agreements and Liens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80" w:firstLine="1410"/>
        <w:spacing w:after="0" w:line="257" w:lineRule="auto"/>
        <w:tabs>
          <w:tab w:leader="none" w:pos="1668"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Material Agreements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Part A</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Schedule 3.11</w:t>
      </w:r>
      <w:r>
        <w:rPr>
          <w:rFonts w:ascii="Times New Roman" w:cs="Times New Roman" w:eastAsia="Times New Roman" w:hAnsi="Times New Roman"/>
          <w:sz w:val="19"/>
          <w:szCs w:val="19"/>
          <w:color w:val="auto"/>
        </w:rPr>
        <w:t xml:space="preserve"> is a complete and correct list, as of the date hereof,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on the Fifth Amendment Effective Date (other than Indebtedness hereunder or under any other Loan Document), and the aggregate principal or face amount outstanding or that is, or may become, outstanding under each such arrangement is correctly described in </w:t>
      </w:r>
      <w:r>
        <w:rPr>
          <w:rFonts w:ascii="Times New Roman" w:cs="Times New Roman" w:eastAsia="Times New Roman" w:hAnsi="Times New Roman"/>
          <w:sz w:val="19"/>
          <w:szCs w:val="19"/>
          <w:u w:val="single" w:color="auto"/>
          <w:color w:val="auto"/>
        </w:rPr>
        <w:t>Part A</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Schedule 3.11</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ind w:right="240" w:firstLine="1410"/>
        <w:spacing w:after="0" w:line="268" w:lineRule="auto"/>
        <w:tabs>
          <w:tab w:leader="none" w:pos="168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Part 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Schedule 3.11</w:t>
      </w:r>
      <w:r>
        <w:rPr>
          <w:rFonts w:ascii="Times New Roman" w:cs="Times New Roman" w:eastAsia="Times New Roman" w:hAnsi="Times New Roman"/>
          <w:sz w:val="19"/>
          <w:szCs w:val="19"/>
          <w:color w:val="auto"/>
        </w:rPr>
        <w:t xml:space="preserve"> is a complete and correct list, as of the Fifth Amendment Effective Date, of each Lien securing Indebtedness of any Person outstanding on the Fifth Amendment Effective Date (other than Indebtedness hereunder or under any other Loan Document) covering any property of the Borrower or any of its Subsidiaries, and the aggregate</w:t>
      </w:r>
    </w:p>
    <w:p>
      <w:pPr>
        <w:spacing w:after="0" w:line="1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5" w:name="page186"/>
    <w:bookmarkEnd w:id="185"/>
    <w:p>
      <w:pPr>
        <w:spacing w:after="0" w:line="26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9"/>
          <w:szCs w:val="19"/>
          <w:color w:val="auto"/>
        </w:rPr>
        <w:t xml:space="preserve">Indebtedness secured (or that may be secured) by each such Lien and the property covered by each such Lien is correctly described in </w:t>
      </w:r>
      <w:r>
        <w:rPr>
          <w:rFonts w:ascii="Times New Roman" w:cs="Times New Roman" w:eastAsia="Times New Roman" w:hAnsi="Times New Roman"/>
          <w:sz w:val="19"/>
          <w:szCs w:val="19"/>
          <w:u w:val="single" w:color="auto"/>
          <w:color w:val="auto"/>
        </w:rPr>
        <w:t>Part 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Schedule 3.11</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3.12. </w:t>
      </w:r>
      <w:r>
        <w:rPr>
          <w:rFonts w:ascii="Times New Roman" w:cs="Times New Roman" w:eastAsia="Times New Roman" w:hAnsi="Times New Roman"/>
          <w:sz w:val="19"/>
          <w:szCs w:val="19"/>
          <w:u w:val="single" w:color="auto"/>
          <w:color w:val="auto"/>
        </w:rPr>
        <w:t>Subsidiaries and Investments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 xml:space="preserve">. Set forth on </w:t>
      </w:r>
      <w:r>
        <w:rPr>
          <w:rFonts w:ascii="Times New Roman" w:cs="Times New Roman" w:eastAsia="Times New Roman" w:hAnsi="Times New Roman"/>
          <w:sz w:val="19"/>
          <w:szCs w:val="19"/>
          <w:u w:val="single" w:color="auto"/>
          <w:color w:val="auto"/>
        </w:rPr>
        <w:t>Schedule 3.12(a)</w:t>
      </w:r>
      <w:r>
        <w:rPr>
          <w:rFonts w:ascii="Times New Roman" w:cs="Times New Roman" w:eastAsia="Times New Roman" w:hAnsi="Times New Roman"/>
          <w:sz w:val="19"/>
          <w:szCs w:val="19"/>
          <w:color w:val="auto"/>
        </w:rPr>
        <w:t xml:space="preserve"> is a list of the Borrower’s Subsidiaries as of the Fifth Amendment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Effective Date.</w:t>
      </w:r>
    </w:p>
    <w:p>
      <w:pPr>
        <w:spacing w:after="0" w:line="180" w:lineRule="exact"/>
        <w:rPr>
          <w:sz w:val="20"/>
          <w:szCs w:val="20"/>
          <w:color w:val="auto"/>
        </w:rPr>
      </w:pPr>
    </w:p>
    <w:p>
      <w:pPr>
        <w:ind w:right="40" w:firstLine="1410"/>
        <w:spacing w:after="0" w:line="256" w:lineRule="auto"/>
        <w:tabs>
          <w:tab w:leader="none" w:pos="168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Investments</w:t>
      </w:r>
      <w:r>
        <w:rPr>
          <w:rFonts w:ascii="Times New Roman" w:cs="Times New Roman" w:eastAsia="Times New Roman" w:hAnsi="Times New Roman"/>
          <w:sz w:val="19"/>
          <w:szCs w:val="19"/>
          <w:color w:val="auto"/>
        </w:rPr>
        <w:t xml:space="preserve">. Set forth in </w:t>
      </w:r>
      <w:r>
        <w:rPr>
          <w:rFonts w:ascii="Times New Roman" w:cs="Times New Roman" w:eastAsia="Times New Roman" w:hAnsi="Times New Roman"/>
          <w:sz w:val="19"/>
          <w:szCs w:val="19"/>
          <w:u w:val="single" w:color="auto"/>
          <w:color w:val="auto"/>
        </w:rPr>
        <w:t>Schedule 3.12(b)</w:t>
      </w:r>
      <w:r>
        <w:rPr>
          <w:rFonts w:ascii="Times New Roman" w:cs="Times New Roman" w:eastAsia="Times New Roman" w:hAnsi="Times New Roman"/>
          <w:sz w:val="19"/>
          <w:szCs w:val="19"/>
          <w:color w:val="auto"/>
        </w:rPr>
        <w:t xml:space="preserve"> is a complete and correct list, as of the Fifth Amendment Effective Date, of all Investments (other than Investments of the types referred to in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held by the Borrower or any of its Subsidiaries (other than any Financing Subsidiary) in any Person on the Fifth Amendment Effective Date and, for each such Investment, (x) the identity of the Person or Persons holding such Investment and (y) the nature of such Investment. Except as disclosed in </w:t>
      </w:r>
      <w:r>
        <w:rPr>
          <w:rFonts w:ascii="Times New Roman" w:cs="Times New Roman" w:eastAsia="Times New Roman" w:hAnsi="Times New Roman"/>
          <w:sz w:val="19"/>
          <w:szCs w:val="19"/>
          <w:u w:val="single" w:color="auto"/>
          <w:color w:val="auto"/>
        </w:rPr>
        <w:t>Schedule 3.12</w:t>
      </w:r>
      <w:r>
        <w:rPr>
          <w:rFonts w:ascii="Times New Roman" w:cs="Times New Roman" w:eastAsia="Times New Roman" w:hAnsi="Times New Roman"/>
          <w:sz w:val="19"/>
          <w:szCs w:val="19"/>
          <w:color w:val="auto"/>
        </w:rPr>
        <w:t>, as of the Fifth Amendment Effective Date, each of the Borrower and its Subsidiaries (other than any Financing Subsidiary) owns, free and clear of all Liens (other than Liens created pursuant to this Agreement or the Security Documents), all such Investments.</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3.13. </w:t>
      </w:r>
      <w:r>
        <w:rPr>
          <w:rFonts w:ascii="Times New Roman" w:cs="Times New Roman" w:eastAsia="Times New Roman" w:hAnsi="Times New Roman"/>
          <w:sz w:val="19"/>
          <w:szCs w:val="19"/>
          <w:u w:val="single" w:color="auto"/>
          <w:color w:val="auto"/>
        </w:rPr>
        <w:t>Properties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300" w:firstLine="1410"/>
        <w:spacing w:after="0" w:line="262" w:lineRule="auto"/>
        <w:tabs>
          <w:tab w:leader="none" w:pos="1668"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Title Generally</w:t>
      </w:r>
      <w:r>
        <w:rPr>
          <w:rFonts w:ascii="Times New Roman" w:cs="Times New Roman" w:eastAsia="Times New Roman" w:hAnsi="Times New Roman"/>
          <w:sz w:val="19"/>
          <w:szCs w:val="19"/>
          <w:color w:val="auto"/>
        </w:rPr>
        <w:t>. Each of the Borrower and its Subsidiaries (other than any Financing Subsidiary or Immaterial Subsidiary)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50" w:lineRule="exact"/>
        <w:rPr>
          <w:rFonts w:ascii="Times New Roman" w:cs="Times New Roman" w:eastAsia="Times New Roman" w:hAnsi="Times New Roman"/>
          <w:sz w:val="19"/>
          <w:szCs w:val="19"/>
          <w:color w:val="auto"/>
        </w:rPr>
      </w:pPr>
    </w:p>
    <w:p>
      <w:pPr>
        <w:ind w:firstLine="1410"/>
        <w:spacing w:after="0" w:line="262" w:lineRule="auto"/>
        <w:tabs>
          <w:tab w:leader="none" w:pos="168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Each of the Borrower and its Subsidiaries (other than any Financing Subsidiary) owns, or is licensed to use, all trademarks, tradenames, copyrights, patents and other intellectual property material to its business, and the use thereof by the Borrower and its Subsidiaries (other than any Financing Subsidiary) does not infringe upon the rights of any other Person, except for any such infringements that, individually or in the aggregate, could not reasonably be expected to result in a Material Adverse Effect.</w:t>
      </w:r>
    </w:p>
    <w:p>
      <w:pPr>
        <w:spacing w:after="0" w:line="150" w:lineRule="exact"/>
        <w:rPr>
          <w:sz w:val="20"/>
          <w:szCs w:val="20"/>
          <w:color w:val="auto"/>
        </w:rPr>
      </w:pPr>
    </w:p>
    <w:p>
      <w:pPr>
        <w:ind w:right="180" w:firstLine="1404"/>
        <w:spacing w:after="0" w:line="262" w:lineRule="auto"/>
        <w:rPr>
          <w:sz w:val="20"/>
          <w:szCs w:val="20"/>
          <w:color w:val="auto"/>
        </w:rPr>
      </w:pPr>
      <w:r>
        <w:rPr>
          <w:rFonts w:ascii="Times New Roman" w:cs="Times New Roman" w:eastAsia="Times New Roman" w:hAnsi="Times New Roman"/>
          <w:sz w:val="19"/>
          <w:szCs w:val="19"/>
          <w:color w:val="auto"/>
        </w:rPr>
        <w:t xml:space="preserve">SECTION 3.14. </w:t>
      </w:r>
      <w:r>
        <w:rPr>
          <w:rFonts w:ascii="Times New Roman" w:cs="Times New Roman" w:eastAsia="Times New Roman" w:hAnsi="Times New Roman"/>
          <w:sz w:val="19"/>
          <w:szCs w:val="19"/>
          <w:u w:val="single" w:color="auto"/>
          <w:color w:val="auto"/>
        </w:rPr>
        <w:t>Affiliate Agreements</w:t>
      </w:r>
      <w:r>
        <w:rPr>
          <w:rFonts w:ascii="Times New Roman" w:cs="Times New Roman" w:eastAsia="Times New Roman" w:hAnsi="Times New Roman"/>
          <w:sz w:val="19"/>
          <w:szCs w:val="19"/>
          <w:color w:val="auto"/>
        </w:rPr>
        <w:t>. As of the date hereof, the Borrower has heretofore delivered to each of the Lenders true and complete copies of each of the Affiliate Agreements (including and schedules and exhibits thereto, and any amendments, supplements or waivers executed and delivered thereunder). As of the date of hereof, each of the Affiliate Agreements is in full force and effect.</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3.15. </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60" w:firstLine="1410"/>
        <w:spacing w:after="0" w:line="259" w:lineRule="auto"/>
        <w:tabs>
          <w:tab w:leader="none" w:pos="1665"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Borrower or any of its Subsidiaries, nor, to the knowledge of the Borrower, any of their respective directors, officers or authorized signors (i) is a person on the list of Specially Designated Nationals and Blocked Persons or subject to, or the subject or target of, the limitations or prohibitions (collectively “</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under (A) any U.S. Department of Treasury’s Office of Foreign Assets Control (“</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or U.S. Department of State regulation or executive order or (B) any international economic sanction administered or enforced by the United</w:t>
      </w:r>
    </w:p>
    <w:p>
      <w:pPr>
        <w:spacing w:after="0" w:line="15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6" w:name="page187"/>
    <w:bookmarkEnd w:id="186"/>
    <w:p>
      <w:pPr>
        <w:spacing w:after="0" w:line="269"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9"/>
          <w:szCs w:val="19"/>
          <w:color w:val="auto"/>
        </w:rPr>
        <w:t>Nations Security Council, Her Majesty’s Treasury or the European Union or (ii) is located, organized or resident in a Sanctioned Country.</w:t>
      </w:r>
    </w:p>
    <w:p>
      <w:pPr>
        <w:spacing w:after="0" w:line="127" w:lineRule="exact"/>
        <w:rPr>
          <w:sz w:val="20"/>
          <w:szCs w:val="20"/>
          <w:color w:val="auto"/>
        </w:rPr>
      </w:pPr>
    </w:p>
    <w:p>
      <w:pPr>
        <w:jc w:val="both"/>
        <w:ind w:right="420" w:firstLine="1410"/>
        <w:spacing w:after="0" w:line="268" w:lineRule="auto"/>
        <w:tabs>
          <w:tab w:leader="none" w:pos="1676"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implemented and maintains in effect policies and procedures reasonably designed to ensure compliance by the Borrower, its Subsidiaries and their respective directors, officers, employees and investment advisors with Anti-Corruption Laws and applicable Sanctions in all material respects.</w:t>
      </w:r>
    </w:p>
    <w:p>
      <w:pPr>
        <w:spacing w:after="0" w:line="144" w:lineRule="exact"/>
        <w:rPr>
          <w:sz w:val="20"/>
          <w:szCs w:val="20"/>
          <w:color w:val="auto"/>
        </w:rPr>
      </w:pPr>
    </w:p>
    <w:p>
      <w:pPr>
        <w:ind w:right="60" w:firstLine="1404"/>
        <w:spacing w:after="0" w:line="253" w:lineRule="auto"/>
        <w:rPr>
          <w:sz w:val="20"/>
          <w:szCs w:val="20"/>
          <w:color w:val="auto"/>
        </w:rPr>
      </w:pPr>
      <w:r>
        <w:rPr>
          <w:rFonts w:ascii="Times New Roman" w:cs="Times New Roman" w:eastAsia="Times New Roman" w:hAnsi="Times New Roman"/>
          <w:sz w:val="19"/>
          <w:szCs w:val="19"/>
          <w:color w:val="auto"/>
        </w:rPr>
        <w:t xml:space="preserve">SECTION 3.16. </w:t>
      </w: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Each of the Borrower and its Subsidiaries is in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 No part of the proceeds of the Loans or Letters of Credit will be used, directly or, to the knowledge of the Borrower, indirectly, for any payments (i) to any governmental official or employee, political party, official of a political party, 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the UK Bribery Act or in material violation of US or UK regulations implementing the OECD Convention on Combating Bribery of Foreign Public Officials in International Business Transactions (collectively, the “</w:t>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 or (ii) for the purpose of financing the activities in or with any Sanctioned Country, or of any Person, at the time of such financing (A) subject to, or the subject of, any Sanctions or (B) located, organized or resident in a Sanctioned Country, in each case as would result in a violation of Sanctions by any party hereto.</w:t>
      </w:r>
    </w:p>
    <w:p>
      <w:pPr>
        <w:spacing w:after="0" w:line="165" w:lineRule="exact"/>
        <w:rPr>
          <w:sz w:val="20"/>
          <w:szCs w:val="20"/>
          <w:color w:val="auto"/>
        </w:rPr>
      </w:pPr>
    </w:p>
    <w:p>
      <w:pPr>
        <w:ind w:right="180" w:firstLine="1404"/>
        <w:spacing w:after="0" w:line="259" w:lineRule="auto"/>
        <w:rPr>
          <w:sz w:val="20"/>
          <w:szCs w:val="20"/>
          <w:color w:val="auto"/>
        </w:rPr>
      </w:pPr>
      <w:r>
        <w:rPr>
          <w:rFonts w:ascii="Times New Roman" w:cs="Times New Roman" w:eastAsia="Times New Roman" w:hAnsi="Times New Roman"/>
          <w:sz w:val="19"/>
          <w:szCs w:val="19"/>
          <w:color w:val="auto"/>
        </w:rPr>
        <w:t xml:space="preserve">SECTION 3.17. </w:t>
      </w:r>
      <w:r>
        <w:rPr>
          <w:rFonts w:ascii="Times New Roman" w:cs="Times New Roman" w:eastAsia="Times New Roman" w:hAnsi="Times New Roman"/>
          <w:sz w:val="19"/>
          <w:szCs w:val="19"/>
          <w:u w:val="single" w:color="auto"/>
          <w:color w:val="auto"/>
        </w:rPr>
        <w:t>Collateral Documents</w:t>
      </w:r>
      <w:r>
        <w:rPr>
          <w:rFonts w:ascii="Times New Roman" w:cs="Times New Roman" w:eastAsia="Times New Roman" w:hAnsi="Times New Roman"/>
          <w:sz w:val="19"/>
          <w:szCs w:val="19"/>
          <w:color w:val="auto"/>
        </w:rPr>
        <w:t xml:space="preserve">. The provisions of the Security Documents are effective to create in favor of the Collateral Agent a legal, valid and enforceable first priority Lien (subject to Liens permitted by </w:t>
      </w:r>
      <w:r>
        <w:rPr>
          <w:rFonts w:ascii="Times New Roman" w:cs="Times New Roman" w:eastAsia="Times New Roman" w:hAnsi="Times New Roman"/>
          <w:sz w:val="19"/>
          <w:szCs w:val="19"/>
          <w:u w:val="single" w:color="auto"/>
          <w:color w:val="auto"/>
        </w:rPr>
        <w:t>Section 6. 02</w:t>
      </w:r>
      <w:r>
        <w:rPr>
          <w:rFonts w:ascii="Times New Roman" w:cs="Times New Roman" w:eastAsia="Times New Roman" w:hAnsi="Times New Roman"/>
          <w:sz w:val="19"/>
          <w:szCs w:val="19"/>
          <w:color w:val="auto"/>
        </w:rPr>
        <w:t>) on all right, title and interest of the Borrower and each Subsidiary Guarantor in the Collateral described therein. Except for filings completed prior to the Effective Date and as contemplated hereby and by the Security Documents, no filing or other action will be necessary to perfect such Liens.</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3.18. </w:t>
      </w:r>
      <w:r>
        <w:rPr>
          <w:rFonts w:ascii="Times New Roman" w:cs="Times New Roman" w:eastAsia="Times New Roman" w:hAnsi="Times New Roman"/>
          <w:sz w:val="19"/>
          <w:szCs w:val="19"/>
          <w:u w:val="single" w:color="auto"/>
          <w:color w:val="auto"/>
        </w:rPr>
        <w:t>EEA Financial Institutions</w:t>
      </w:r>
      <w:r>
        <w:rPr>
          <w:rFonts w:ascii="Times New Roman" w:cs="Times New Roman" w:eastAsia="Times New Roman" w:hAnsi="Times New Roman"/>
          <w:sz w:val="19"/>
          <w:szCs w:val="19"/>
          <w:color w:val="auto"/>
        </w:rPr>
        <w:t>. Neither the Borrower nor any Subsidiary is an EEA Financial Institution.</w:t>
      </w:r>
    </w:p>
    <w:p>
      <w:pPr>
        <w:spacing w:after="0" w:line="20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ARTICLE IV</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CONDITIONS</w:t>
      </w:r>
    </w:p>
    <w:p>
      <w:pPr>
        <w:spacing w:after="0" w:line="202" w:lineRule="exact"/>
        <w:rPr>
          <w:sz w:val="20"/>
          <w:szCs w:val="20"/>
          <w:color w:val="auto"/>
        </w:rPr>
      </w:pPr>
    </w:p>
    <w:p>
      <w:pPr>
        <w:jc w:val="both"/>
        <w:ind w:right="180" w:firstLine="1404"/>
        <w:spacing w:after="0" w:line="268" w:lineRule="auto"/>
        <w:rPr>
          <w:sz w:val="20"/>
          <w:szCs w:val="20"/>
          <w:color w:val="auto"/>
        </w:rPr>
      </w:pPr>
      <w:r>
        <w:rPr>
          <w:rFonts w:ascii="Times New Roman" w:cs="Times New Roman" w:eastAsia="Times New Roman" w:hAnsi="Times New Roman"/>
          <w:sz w:val="19"/>
          <w:szCs w:val="19"/>
          <w:color w:val="auto"/>
        </w:rPr>
        <w:t xml:space="preserve">SECTION 4.01.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xml:space="preserve">. The effectiveness of this Agreement and of the obligations of the Lenders to make Loans and of the Issuing Bank to issue Letters of Credit hereunder shall not become effective until completion of each of the following conditions precedent (unless a condition shall have been waived in accordance with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w:t>
      </w:r>
    </w:p>
    <w:p>
      <w:pPr>
        <w:spacing w:after="0" w:line="1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7" w:name="page188"/>
    <w:bookmarkEnd w:id="187"/>
    <w:p>
      <w:pPr>
        <w:spacing w:after="0" w:line="269" w:lineRule="exact"/>
        <w:rPr>
          <w:sz w:val="20"/>
          <w:szCs w:val="20"/>
          <w:color w:val="auto"/>
        </w:rPr>
      </w:pPr>
    </w:p>
    <w:p>
      <w:pPr>
        <w:ind w:right="340" w:firstLine="1410"/>
        <w:spacing w:after="0" w:line="286" w:lineRule="auto"/>
        <w:tabs>
          <w:tab w:leader="none" w:pos="1668"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Documents</w:t>
      </w:r>
      <w:r>
        <w:rPr>
          <w:rFonts w:ascii="Times New Roman" w:cs="Times New Roman" w:eastAsia="Times New Roman" w:hAnsi="Times New Roman"/>
          <w:sz w:val="19"/>
          <w:szCs w:val="19"/>
          <w:color w:val="auto"/>
        </w:rPr>
        <w:t>. Administrative Agent shall have received each of the following documents, each of which shall be satisfactory to the Administrative Agent (and to the extent specified below to each Lender) in form and substance:</w:t>
      </w:r>
    </w:p>
    <w:p>
      <w:pPr>
        <w:spacing w:after="0" w:line="127" w:lineRule="exact"/>
        <w:rPr>
          <w:rFonts w:ascii="Times New Roman" w:cs="Times New Roman" w:eastAsia="Times New Roman" w:hAnsi="Times New Roman"/>
          <w:sz w:val="19"/>
          <w:szCs w:val="19"/>
          <w:color w:val="auto"/>
        </w:rPr>
      </w:pPr>
    </w:p>
    <w:p>
      <w:pPr>
        <w:ind w:left="700" w:right="120" w:firstLine="746"/>
        <w:spacing w:after="0" w:line="268" w:lineRule="auto"/>
        <w:tabs>
          <w:tab w:leader="none" w:pos="1672"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Executed Counterparts</w:t>
      </w:r>
      <w:r>
        <w:rPr>
          <w:rFonts w:ascii="Times New Roman" w:cs="Times New Roman" w:eastAsia="Times New Roman" w:hAnsi="Times New Roman"/>
          <w:sz w:val="19"/>
          <w:szCs w:val="19"/>
          <w:color w:val="auto"/>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spacing w:after="0" w:line="144" w:lineRule="exact"/>
        <w:rPr>
          <w:rFonts w:ascii="Times New Roman" w:cs="Times New Roman" w:eastAsia="Times New Roman" w:hAnsi="Times New Roman"/>
          <w:sz w:val="19"/>
          <w:szCs w:val="19"/>
          <w:color w:val="auto"/>
        </w:rPr>
      </w:pPr>
    </w:p>
    <w:p>
      <w:pPr>
        <w:ind w:left="700" w:right="140" w:firstLine="746"/>
        <w:spacing w:after="0" w:line="262" w:lineRule="auto"/>
        <w:tabs>
          <w:tab w:leader="none" w:pos="1732"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Opinion of Counsel to the Borrower</w:t>
      </w:r>
      <w:r>
        <w:rPr>
          <w:rFonts w:ascii="Times New Roman" w:cs="Times New Roman" w:eastAsia="Times New Roman" w:hAnsi="Times New Roman"/>
          <w:sz w:val="19"/>
          <w:szCs w:val="19"/>
          <w:color w:val="auto"/>
        </w:rPr>
        <w:t>. A favorable written opinion (addressed to the Administrative Agent and the Lenders and dated the Effective Date) of Dechert LLP, New York and Maryland counsel for the Borrower, in form and substance reasonably acceptable to the Administrative Agent (and the Borrower hereby instructs such counsel to deliver such opinion to the Lenders and the Administrative Agent).</w:t>
      </w:r>
    </w:p>
    <w:p>
      <w:pPr>
        <w:spacing w:after="0" w:line="150" w:lineRule="exact"/>
        <w:rPr>
          <w:rFonts w:ascii="Times New Roman" w:cs="Times New Roman" w:eastAsia="Times New Roman" w:hAnsi="Times New Roman"/>
          <w:sz w:val="19"/>
          <w:szCs w:val="19"/>
          <w:color w:val="auto"/>
        </w:rPr>
      </w:pPr>
    </w:p>
    <w:p>
      <w:pPr>
        <w:ind w:left="700" w:right="80" w:firstLine="746"/>
        <w:spacing w:after="0" w:line="262" w:lineRule="auto"/>
        <w:tabs>
          <w:tab w:leader="none" w:pos="1780"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Corporate Documents</w:t>
      </w:r>
      <w:r>
        <w:rPr>
          <w:rFonts w:ascii="Times New Roman" w:cs="Times New Roman" w:eastAsia="Times New Roman" w:hAnsi="Times New Roman"/>
          <w:sz w:val="19"/>
          <w:szCs w:val="19"/>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150" w:lineRule="exact"/>
        <w:rPr>
          <w:rFonts w:ascii="Times New Roman" w:cs="Times New Roman" w:eastAsia="Times New Roman" w:hAnsi="Times New Roman"/>
          <w:sz w:val="19"/>
          <w:szCs w:val="19"/>
          <w:color w:val="auto"/>
        </w:rPr>
      </w:pPr>
    </w:p>
    <w:p>
      <w:pPr>
        <w:ind w:left="700" w:right="380" w:firstLine="746"/>
        <w:spacing w:after="0" w:line="268" w:lineRule="auto"/>
        <w:tabs>
          <w:tab w:leader="none" w:pos="1768"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Officer’s Certificate</w:t>
      </w:r>
      <w:r>
        <w:rPr>
          <w:rFonts w:ascii="Times New Roman" w:cs="Times New Roman" w:eastAsia="Times New Roman" w:hAnsi="Times New Roman"/>
          <w:sz w:val="19"/>
          <w:szCs w:val="19"/>
          <w:color w:val="auto"/>
        </w:rPr>
        <w:t xml:space="preserve">. A certificate, dated the Effective Date and signed by the President, a Vice President or a Financial Officer of the Borrower, confirming compliance with the conditions set forth in the lettered clauses of the first sentence of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w:t>
      </w:r>
    </w:p>
    <w:p>
      <w:pPr>
        <w:spacing w:after="0" w:line="144" w:lineRule="exact"/>
        <w:rPr>
          <w:rFonts w:ascii="Times New Roman" w:cs="Times New Roman" w:eastAsia="Times New Roman" w:hAnsi="Times New Roman"/>
          <w:sz w:val="19"/>
          <w:szCs w:val="19"/>
          <w:color w:val="auto"/>
        </w:rPr>
      </w:pPr>
    </w:p>
    <w:p>
      <w:pPr>
        <w:ind w:left="700" w:right="100" w:firstLine="746"/>
        <w:spacing w:after="0" w:line="286" w:lineRule="auto"/>
        <w:tabs>
          <w:tab w:leader="none" w:pos="1720"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Guarantee and Security Agreement</w:t>
      </w:r>
      <w:r>
        <w:rPr>
          <w:rFonts w:ascii="Times New Roman" w:cs="Times New Roman" w:eastAsia="Times New Roman" w:hAnsi="Times New Roman"/>
          <w:sz w:val="19"/>
          <w:szCs w:val="19"/>
          <w:color w:val="auto"/>
        </w:rPr>
        <w:t>. The Guarantee and Security Agreement, duly executed and delivered by each of the parties to the Guarantee and Security Agreement.</w:t>
      </w:r>
    </w:p>
    <w:p>
      <w:pPr>
        <w:spacing w:after="0" w:line="127" w:lineRule="exact"/>
        <w:rPr>
          <w:rFonts w:ascii="Times New Roman" w:cs="Times New Roman" w:eastAsia="Times New Roman" w:hAnsi="Times New Roman"/>
          <w:sz w:val="19"/>
          <w:szCs w:val="19"/>
          <w:color w:val="auto"/>
        </w:rPr>
      </w:pPr>
    </w:p>
    <w:p>
      <w:pPr>
        <w:ind w:left="1780" w:hanging="334"/>
        <w:spacing w:after="0"/>
        <w:tabs>
          <w:tab w:leader="none" w:pos="1780"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Borrowing Base Certificate</w:t>
      </w:r>
      <w:r>
        <w:rPr>
          <w:rFonts w:ascii="Times New Roman" w:cs="Times New Roman" w:eastAsia="Times New Roman" w:hAnsi="Times New Roman"/>
          <w:sz w:val="19"/>
          <w:szCs w:val="19"/>
          <w:color w:val="auto"/>
        </w:rPr>
        <w:t>. A Borrowing Base Certificate showing a calculation of the Borrowing Base as of May</w:t>
      </w:r>
    </w:p>
    <w:p>
      <w:pPr>
        <w:spacing w:after="0" w:line="31" w:lineRule="exact"/>
        <w:rPr>
          <w:rFonts w:ascii="Times New Roman" w:cs="Times New Roman" w:eastAsia="Times New Roman" w:hAnsi="Times New Roman"/>
          <w:sz w:val="19"/>
          <w:szCs w:val="19"/>
          <w:color w:val="auto"/>
        </w:rPr>
      </w:pPr>
    </w:p>
    <w:p>
      <w:pPr>
        <w:ind w:left="7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31, 2014.</w:t>
      </w:r>
    </w:p>
    <w:p>
      <w:pPr>
        <w:spacing w:after="0" w:line="179" w:lineRule="exact"/>
        <w:rPr>
          <w:rFonts w:ascii="Times New Roman" w:cs="Times New Roman" w:eastAsia="Times New Roman" w:hAnsi="Times New Roman"/>
          <w:sz w:val="19"/>
          <w:szCs w:val="19"/>
          <w:color w:val="auto"/>
        </w:rPr>
      </w:pPr>
    </w:p>
    <w:p>
      <w:pPr>
        <w:ind w:firstLine="1410"/>
        <w:spacing w:after="0" w:line="255" w:lineRule="auto"/>
        <w:tabs>
          <w:tab w:leader="none" w:pos="168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 xml:space="preserve">. The Administrative Agent shall have received results of a recent lien search in each relevant jurisdiction with respect to the Borrower and its Subsidiaries (other than Financing Subsidiaries), confirming the priority of the Liens in favor of the Collateral Agent created pursuant to the Security Documents and revealing no liens on any of the assets of the Borrower or its Subsidiaries (other than Financing Subsidiaries) except for liens permitted under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or liens to be discharged on or prior to the Effective Date pursuant to documentation satisfactory to the Administrative Agent. All UCC financing statements and similar documents required to be filed in order to create in favor of the Administrative Agent, for the benefit of the Lenders, a first priority perfected security interest in the Collateral (to the extent that such a security interest may be perfected by a filing under the Uniform Commercial Code) shall have been properly filed in each jurisdiction required.</w:t>
      </w:r>
    </w:p>
    <w:p>
      <w:pPr>
        <w:spacing w:after="0" w:line="159" w:lineRule="exact"/>
        <w:rPr>
          <w:rFonts w:ascii="Times New Roman" w:cs="Times New Roman" w:eastAsia="Times New Roman" w:hAnsi="Times New Roman"/>
          <w:sz w:val="19"/>
          <w:szCs w:val="19"/>
          <w:color w:val="auto"/>
        </w:rPr>
      </w:pPr>
    </w:p>
    <w:p>
      <w:pPr>
        <w:ind w:right="500" w:firstLine="1410"/>
        <w:spacing w:after="0" w:line="268" w:lineRule="auto"/>
        <w:tabs>
          <w:tab w:leader="none" w:pos="1668"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Consents</w:t>
      </w:r>
      <w:r>
        <w:rPr>
          <w:rFonts w:ascii="Times New Roman" w:cs="Times New Roman" w:eastAsia="Times New Roman" w:hAnsi="Times New Roman"/>
          <w:sz w:val="19"/>
          <w:szCs w:val="19"/>
          <w:color w:val="auto"/>
        </w:rPr>
        <w:t>. The Borrower shall have obtained and delivered to the Administrative Agent certified copies of all consents, approvals, authorizations, registrations, or filings required to be made or obtained by the Borrower and all guarantors in connection with the</w:t>
      </w:r>
    </w:p>
    <w:p>
      <w:pPr>
        <w:spacing w:after="0" w:line="1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88" w:name="page189"/>
    <w:bookmarkEnd w:id="188"/>
    <w:p>
      <w:pPr>
        <w:spacing w:after="0" w:line="26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9"/>
          <w:szCs w:val="19"/>
          <w:color w:val="auto"/>
        </w:rPr>
        <w:t>Transactions and any transaction being financed with the proceeds of the Loans, and such consents, approvals, authorizations, registrations, filings and orders shall be in full force and effect and all applicable waiting periods shall have expired and no investigation or inquiry by any Governmental Authority regarding the Transactions or any transaction being financed with the proceeds of the Loans shall be ongoing.</w:t>
      </w:r>
    </w:p>
    <w:p>
      <w:pPr>
        <w:spacing w:after="0" w:line="150" w:lineRule="exact"/>
        <w:rPr>
          <w:sz w:val="20"/>
          <w:szCs w:val="20"/>
          <w:color w:val="auto"/>
        </w:rPr>
      </w:pPr>
    </w:p>
    <w:p>
      <w:pPr>
        <w:ind w:right="80" w:firstLine="1410"/>
        <w:spacing w:after="0" w:line="286" w:lineRule="auto"/>
        <w:tabs>
          <w:tab w:leader="none" w:pos="168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Fees and Expenses</w:t>
      </w:r>
      <w:r>
        <w:rPr>
          <w:rFonts w:ascii="Times New Roman" w:cs="Times New Roman" w:eastAsia="Times New Roman" w:hAnsi="Times New Roman"/>
          <w:sz w:val="19"/>
          <w:szCs w:val="19"/>
          <w:color w:val="auto"/>
        </w:rPr>
        <w:t>. The Borrower shall have paid in full to the Administrative Agent all fees and expenses related to this Agreement owing on the Effective Date.</w:t>
      </w:r>
    </w:p>
    <w:p>
      <w:pPr>
        <w:spacing w:after="0" w:line="127" w:lineRule="exact"/>
        <w:rPr>
          <w:rFonts w:ascii="Times New Roman" w:cs="Times New Roman" w:eastAsia="Times New Roman" w:hAnsi="Times New Roman"/>
          <w:sz w:val="19"/>
          <w:szCs w:val="19"/>
          <w:color w:val="auto"/>
        </w:rPr>
      </w:pPr>
    </w:p>
    <w:p>
      <w:pPr>
        <w:ind w:right="460" w:firstLine="1410"/>
        <w:spacing w:after="0" w:line="286" w:lineRule="auto"/>
        <w:tabs>
          <w:tab w:leader="none" w:pos="1668"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Documents</w:t>
      </w:r>
      <w:r>
        <w:rPr>
          <w:rFonts w:ascii="Times New Roman" w:cs="Times New Roman" w:eastAsia="Times New Roman" w:hAnsi="Times New Roman"/>
          <w:sz w:val="19"/>
          <w:szCs w:val="19"/>
          <w:color w:val="auto"/>
        </w:rPr>
        <w:t>. The Administrative Agent shall have received such other documents as the Administrative Agent or any Lender may reasonably request in form and substance satisfactory to the Administrative Agent.</w:t>
      </w:r>
    </w:p>
    <w:p>
      <w:pPr>
        <w:spacing w:after="0" w:line="127" w:lineRule="exact"/>
        <w:rPr>
          <w:sz w:val="20"/>
          <w:szCs w:val="20"/>
          <w:color w:val="auto"/>
        </w:rPr>
      </w:pPr>
    </w:p>
    <w:p>
      <w:pPr>
        <w:ind w:right="400" w:firstLine="1404"/>
        <w:spacing w:after="0" w:line="286" w:lineRule="auto"/>
        <w:rPr>
          <w:sz w:val="20"/>
          <w:szCs w:val="20"/>
          <w:color w:val="auto"/>
        </w:rPr>
      </w:pPr>
      <w:r>
        <w:rPr>
          <w:rFonts w:ascii="Times New Roman" w:cs="Times New Roman" w:eastAsia="Times New Roman" w:hAnsi="Times New Roman"/>
          <w:sz w:val="19"/>
          <w:szCs w:val="19"/>
          <w:color w:val="auto"/>
        </w:rPr>
        <w:t xml:space="preserve">SECTION 4.02. </w:t>
      </w:r>
      <w:r>
        <w:rPr>
          <w:rFonts w:ascii="Times New Roman" w:cs="Times New Roman" w:eastAsia="Times New Roman" w:hAnsi="Times New Roman"/>
          <w:sz w:val="19"/>
          <w:szCs w:val="19"/>
          <w:u w:val="single" w:color="auto"/>
          <w:color w:val="auto"/>
        </w:rPr>
        <w:t>Each Credit Event</w:t>
      </w:r>
      <w:r>
        <w:rPr>
          <w:rFonts w:ascii="Times New Roman" w:cs="Times New Roman" w:eastAsia="Times New Roman" w:hAnsi="Times New Roman"/>
          <w:sz w:val="19"/>
          <w:szCs w:val="19"/>
          <w:color w:val="auto"/>
        </w:rPr>
        <w:t>. The obligation of each Lender to make any Loan, and of the Issuing Bank to issue, amend, renew or extend any Letter of Credit, is additionally subject to the satisfaction of the following conditions:</w:t>
      </w:r>
    </w:p>
    <w:p>
      <w:pPr>
        <w:spacing w:after="0" w:line="127" w:lineRule="exact"/>
        <w:rPr>
          <w:sz w:val="20"/>
          <w:szCs w:val="20"/>
          <w:color w:val="auto"/>
        </w:rPr>
      </w:pPr>
    </w:p>
    <w:p>
      <w:pPr>
        <w:ind w:right="180" w:firstLine="1410"/>
        <w:spacing w:after="0" w:line="259" w:lineRule="auto"/>
        <w:tabs>
          <w:tab w:leader="none" w:pos="1665"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53" w:lineRule="exact"/>
        <w:rPr>
          <w:rFonts w:ascii="Times New Roman" w:cs="Times New Roman" w:eastAsia="Times New Roman" w:hAnsi="Times New Roman"/>
          <w:sz w:val="19"/>
          <w:szCs w:val="19"/>
          <w:color w:val="auto"/>
        </w:rPr>
      </w:pPr>
    </w:p>
    <w:p>
      <w:pPr>
        <w:ind w:firstLine="1410"/>
        <w:spacing w:after="0" w:line="286" w:lineRule="auto"/>
        <w:tabs>
          <w:tab w:leader="none" w:pos="1676"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of and immediately after giving effect to such Loan or the issuance, amendment, renewal or extension of such Letter of Credit, as applicable, no Default shall have occurred and be continuing; and</w:t>
      </w:r>
    </w:p>
    <w:p>
      <w:pPr>
        <w:spacing w:after="0" w:line="127" w:lineRule="exact"/>
        <w:rPr>
          <w:rFonts w:ascii="Times New Roman" w:cs="Times New Roman" w:eastAsia="Times New Roman" w:hAnsi="Times New Roman"/>
          <w:sz w:val="19"/>
          <w:szCs w:val="19"/>
          <w:color w:val="auto"/>
        </w:rPr>
      </w:pPr>
    </w:p>
    <w:p>
      <w:pPr>
        <w:ind w:right="180" w:firstLine="1410"/>
        <w:spacing w:after="0" w:line="259" w:lineRule="auto"/>
        <w:tabs>
          <w:tab w:leader="none" w:pos="1665"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w:t>
      </w:r>
    </w:p>
    <w:p>
      <w:pPr>
        <w:spacing w:after="0" w:line="154" w:lineRule="exact"/>
        <w:rPr>
          <w:sz w:val="20"/>
          <w:szCs w:val="20"/>
          <w:color w:val="auto"/>
        </w:rPr>
      </w:pPr>
    </w:p>
    <w:p>
      <w:pPr>
        <w:ind w:right="280" w:firstLine="1404"/>
        <w:spacing w:after="0" w:line="262" w:lineRule="auto"/>
        <w:rPr>
          <w:sz w:val="20"/>
          <w:szCs w:val="20"/>
          <w:color w:val="auto"/>
        </w:rPr>
      </w:pPr>
      <w:r>
        <w:rPr>
          <w:rFonts w:ascii="Times New Roman" w:cs="Times New Roman" w:eastAsia="Times New Roman" w:hAnsi="Times New Roman"/>
          <w:sz w:val="19"/>
          <w:szCs w:val="19"/>
          <w:color w:val="auto"/>
        </w:rPr>
        <w:t>Each Borrowing and each issuance, amendment, renewal or extension of a Letter of Credit shall be deemed to constitute a representation and warranty by the Borrower on the date thereof as to the matters specified in the preceding sentence. For the avoidance of doubt, the conversion or continuation of a Borrowing as the same or a different Type (without an increase in the principal amount thereof) shall not be considered the making of a Loan.</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ARTICLE V</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AFFIRMATIVE COVENANTS</w:t>
      </w:r>
    </w:p>
    <w:p>
      <w:pPr>
        <w:spacing w:after="0" w:line="202" w:lineRule="exact"/>
        <w:rPr>
          <w:sz w:val="20"/>
          <w:szCs w:val="20"/>
          <w:color w:val="auto"/>
        </w:rPr>
      </w:pPr>
    </w:p>
    <w:p>
      <w:pPr>
        <w:ind w:right="340" w:firstLine="1404"/>
        <w:spacing w:after="0" w:line="286" w:lineRule="auto"/>
        <w:rPr>
          <w:sz w:val="20"/>
          <w:szCs w:val="20"/>
          <w:color w:val="auto"/>
        </w:rPr>
      </w:pPr>
      <w:r>
        <w:rPr>
          <w:rFonts w:ascii="Times New Roman" w:cs="Times New Roman" w:eastAsia="Times New Roman" w:hAnsi="Times New Roman"/>
          <w:sz w:val="19"/>
          <w:szCs w:val="19"/>
          <w:color w:val="auto"/>
        </w:rPr>
        <w:t>Until the Commitments have expired or been terminated and the principal of and interest on each Loan and all fees payable hereunder shall have been paid in full and all Letters of</w:t>
      </w:r>
    </w:p>
    <w:p>
      <w:pPr>
        <w:spacing w:after="0" w:line="12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9" w:name="page190"/>
    <w:bookmarkEnd w:id="189"/>
    <w:p>
      <w:pPr>
        <w:spacing w:after="0" w:line="26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9"/>
          <w:szCs w:val="19"/>
          <w:color w:val="auto"/>
        </w:rPr>
        <w:t>Credit shall have expired, been terminated, Cash Collateralized or backstopped and all LC Disbursements shall have been reimbursed, the Borrower covenants and agrees with the Lenders that: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5.01. </w:t>
      </w:r>
      <w:r>
        <w:rPr>
          <w:rFonts w:ascii="Times New Roman" w:cs="Times New Roman" w:eastAsia="Times New Roman" w:hAnsi="Times New Roman"/>
          <w:sz w:val="19"/>
          <w:szCs w:val="19"/>
          <w:u w:val="single" w:color="auto"/>
          <w:color w:val="auto"/>
        </w:rPr>
        <w:t>Financial Statements and Other Information</w:t>
      </w:r>
      <w:r>
        <w:rPr>
          <w:rFonts w:ascii="Times New Roman" w:cs="Times New Roman" w:eastAsia="Times New Roman" w:hAnsi="Times New Roman"/>
          <w:sz w:val="19"/>
          <w:szCs w:val="19"/>
          <w:color w:val="auto"/>
        </w:rPr>
        <w:t>. The Borrower will furnish to the Administrative Agent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each Lender:</w:t>
      </w:r>
    </w:p>
    <w:p>
      <w:pPr>
        <w:spacing w:after="0" w:line="180" w:lineRule="exact"/>
        <w:rPr>
          <w:sz w:val="20"/>
          <w:szCs w:val="20"/>
          <w:color w:val="auto"/>
        </w:rPr>
      </w:pPr>
    </w:p>
    <w:p>
      <w:pPr>
        <w:ind w:right="60" w:firstLine="1410"/>
        <w:spacing w:after="0" w:line="256" w:lineRule="auto"/>
        <w:tabs>
          <w:tab w:leader="none" w:pos="1665"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within 90 days after the end of each fiscal year of the Borrower, the audited consolidated statements of assets and liabilities,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requirements set forth in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may be fulfilled by providing to the Administrative Agent and the Lenders the report of the Borrower to the SEC on Form 10-K for the applicable fiscal year;</w:t>
      </w:r>
    </w:p>
    <w:p>
      <w:pPr>
        <w:spacing w:after="0" w:line="157" w:lineRule="exact"/>
        <w:rPr>
          <w:rFonts w:ascii="Times New Roman" w:cs="Times New Roman" w:eastAsia="Times New Roman" w:hAnsi="Times New Roman"/>
          <w:sz w:val="19"/>
          <w:szCs w:val="19"/>
          <w:color w:val="auto"/>
        </w:rPr>
      </w:pPr>
    </w:p>
    <w:p>
      <w:pPr>
        <w:ind w:right="60" w:firstLine="1410"/>
        <w:spacing w:after="0" w:line="255" w:lineRule="auto"/>
        <w:tabs>
          <w:tab w:leader="none" w:pos="1676"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within 45 days after the end of each of the first three fiscal quarters of each fiscal year of the Borrower, the consolidated statements of assets and liabilities,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requirements set forth in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may be fulfilled by providing to the Lenders the report of the Borrower to the SEC on Form 10-Q for the applicable quarterly period;</w:t>
      </w:r>
    </w:p>
    <w:p>
      <w:pPr>
        <w:spacing w:after="0" w:line="155" w:lineRule="exact"/>
        <w:rPr>
          <w:rFonts w:ascii="Times New Roman" w:cs="Times New Roman" w:eastAsia="Times New Roman" w:hAnsi="Times New Roman"/>
          <w:sz w:val="19"/>
          <w:szCs w:val="19"/>
          <w:color w:val="auto"/>
        </w:rPr>
      </w:pPr>
    </w:p>
    <w:p>
      <w:pPr>
        <w:ind w:right="60" w:firstLine="1410"/>
        <w:spacing w:after="0" w:line="255" w:lineRule="auto"/>
        <w:tabs>
          <w:tab w:leader="none" w:pos="1665"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concurrently with any delivery of financial statements under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Section, a certificate of a Financial Officer of the Borrower (i) certifying that such statements are consistent with the financial statements filed by the Borrower with the Securities and Exchange Commission, (ii) certifying as to whether the Borrower has knowledge that a Default has occurred during the applicable period and, if a Default has occurred, specifying the details thereof and any action taken or proposed to be taken with respect thereto, (iii) setting forth reasonably detailed calculations demonstrating compliance with </w:t>
      </w:r>
      <w:r>
        <w:rPr>
          <w:rFonts w:ascii="Times New Roman" w:cs="Times New Roman" w:eastAsia="Times New Roman" w:hAnsi="Times New Roman"/>
          <w:sz w:val="19"/>
          <w:szCs w:val="19"/>
          <w:u w:val="single" w:color="auto"/>
          <w:color w:val="auto"/>
        </w:rPr>
        <w:t>Sections 6.01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6.07</w:t>
      </w:r>
      <w:r>
        <w:rPr>
          <w:rFonts w:ascii="Times New Roman" w:cs="Times New Roman" w:eastAsia="Times New Roman" w:hAnsi="Times New Roman"/>
          <w:sz w:val="19"/>
          <w:szCs w:val="19"/>
          <w:color w:val="auto"/>
        </w:rPr>
        <w:t xml:space="preserve"> and (iv) stating whether any change in GAAP as applied by (or in the application of GAAP by) the Borrower has occurred since the Effective Date and, if any such change has occurred, specifying the effect as determined by the Borrower of such change on the financial statements accompanying such certificate;</w:t>
      </w:r>
    </w:p>
    <w:p>
      <w:pPr>
        <w:spacing w:after="0" w:line="159" w:lineRule="exact"/>
        <w:rPr>
          <w:rFonts w:ascii="Times New Roman" w:cs="Times New Roman" w:eastAsia="Times New Roman" w:hAnsi="Times New Roman"/>
          <w:sz w:val="19"/>
          <w:szCs w:val="19"/>
          <w:color w:val="auto"/>
        </w:rPr>
      </w:pPr>
    </w:p>
    <w:p>
      <w:pPr>
        <w:ind w:firstLine="1410"/>
        <w:spacing w:after="0" w:line="268" w:lineRule="auto"/>
        <w:tabs>
          <w:tab w:leader="none" w:pos="1676"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and in any event not later than 20 days after the end of each monthly accounting period (ending on the last day of each calendar month) of the Borrower and its Subsidiaries, a Borrowing Base Certificate as at the last day of such accounting period;</w:t>
      </w:r>
    </w:p>
    <w:p>
      <w:pPr>
        <w:spacing w:after="0" w:line="1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0" w:name="page191"/>
    <w:bookmarkEnd w:id="190"/>
    <w:p>
      <w:pPr>
        <w:spacing w:after="0" w:line="269" w:lineRule="exact"/>
        <w:rPr>
          <w:sz w:val="20"/>
          <w:szCs w:val="20"/>
          <w:color w:val="auto"/>
        </w:rPr>
      </w:pPr>
    </w:p>
    <w:p>
      <w:pPr>
        <w:ind w:firstLine="1410"/>
        <w:spacing w:after="0" w:line="259" w:lineRule="auto"/>
        <w:tabs>
          <w:tab w:leader="none" w:pos="1665"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but no later than five Business Days after any Responsible Officer of the 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obtained knowledge of such deficiency and the amount of the Borrowing Base Deficiency as of the date not earlier than one Business Day prior to the date the Borrowing Base Certificate is delivered pursuant to this paragraph;</w:t>
      </w:r>
    </w:p>
    <w:p>
      <w:pPr>
        <w:spacing w:after="0" w:line="153" w:lineRule="exact"/>
        <w:rPr>
          <w:rFonts w:ascii="Times New Roman" w:cs="Times New Roman" w:eastAsia="Times New Roman" w:hAnsi="Times New Roman"/>
          <w:sz w:val="19"/>
          <w:szCs w:val="19"/>
          <w:color w:val="auto"/>
        </w:rPr>
      </w:pPr>
    </w:p>
    <w:p>
      <w:pPr>
        <w:ind w:right="160" w:firstLine="1410"/>
        <w:spacing w:after="0" w:line="262" w:lineRule="auto"/>
        <w:tabs>
          <w:tab w:leader="none" w:pos="1644"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upon receipt thereof copies of all significant reports submitted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spacing w:after="0" w:line="150" w:lineRule="exact"/>
        <w:rPr>
          <w:rFonts w:ascii="Times New Roman" w:cs="Times New Roman" w:eastAsia="Times New Roman" w:hAnsi="Times New Roman"/>
          <w:sz w:val="19"/>
          <w:szCs w:val="19"/>
          <w:color w:val="auto"/>
        </w:rPr>
      </w:pPr>
    </w:p>
    <w:p>
      <w:pPr>
        <w:ind w:right="40" w:firstLine="1410"/>
        <w:spacing w:after="0" w:line="268" w:lineRule="auto"/>
        <w:tabs>
          <w:tab w:leader="none" w:pos="1676"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the same become publicly available, copies of all periodic and other reports, proxy statements and other materials filed by the Borrower or any of its Subsidiaries with the Securities and Exchange Commission, or any Governmental Authority succeeding to any or all of the functions of said Commission, or with any national securities exchange, as the case may be; and</w:t>
      </w:r>
    </w:p>
    <w:p>
      <w:pPr>
        <w:spacing w:after="0" w:line="144" w:lineRule="exact"/>
        <w:rPr>
          <w:rFonts w:ascii="Times New Roman" w:cs="Times New Roman" w:eastAsia="Times New Roman" w:hAnsi="Times New Roman"/>
          <w:sz w:val="19"/>
          <w:szCs w:val="19"/>
          <w:color w:val="auto"/>
        </w:rPr>
      </w:pPr>
    </w:p>
    <w:p>
      <w:pPr>
        <w:ind w:right="440" w:firstLine="1410"/>
        <w:spacing w:after="0" w:line="268" w:lineRule="auto"/>
        <w:tabs>
          <w:tab w:leader="none" w:pos="1676"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following any request therefor, such other information regarding the operations, business affairs and financial condition of the Borrower or any of its Subsidiaries, or compliance with the terms of this Agreement, the other Loan Documents and the Beneficial Ownership Regulation, as the Administrative Agent or any Lender may reasonably request.</w:t>
      </w:r>
    </w:p>
    <w:p>
      <w:pPr>
        <w:spacing w:after="0" w:line="144" w:lineRule="exact"/>
        <w:rPr>
          <w:rFonts w:ascii="Times New Roman" w:cs="Times New Roman" w:eastAsia="Times New Roman" w:hAnsi="Times New Roman"/>
          <w:sz w:val="19"/>
          <w:szCs w:val="19"/>
          <w:color w:val="auto"/>
        </w:rPr>
      </w:pPr>
    </w:p>
    <w:p>
      <w:pPr>
        <w:ind w:firstLine="1410"/>
        <w:spacing w:after="0" w:line="255" w:lineRule="auto"/>
        <w:tabs>
          <w:tab w:leader="none" w:pos="1634"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Borrower and each Lender acknowledge that certain of the Lenders may be Public Lenders and, if documents or notices required to be delivered pursuant to this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xml:space="preserve"> or otherwise are being distributed through IntraLinks™/IntraAgency, SyndTrak or another relevant website or other information platform (the “Platform”),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xml:space="preserve"> of this Agreement).</w:t>
      </w:r>
    </w:p>
    <w:p>
      <w:pPr>
        <w:spacing w:after="0" w:line="155" w:lineRule="exact"/>
        <w:rPr>
          <w:rFonts w:ascii="Times New Roman" w:cs="Times New Roman" w:eastAsia="Times New Roman" w:hAnsi="Times New Roman"/>
          <w:sz w:val="19"/>
          <w:szCs w:val="19"/>
          <w:color w:val="auto"/>
        </w:rPr>
      </w:pPr>
    </w:p>
    <w:p>
      <w:pPr>
        <w:ind w:left="1640" w:hanging="230"/>
        <w:spacing w:after="0"/>
        <w:tabs>
          <w:tab w:leader="none" w:pos="1640"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the requirements to deliver documents set forth in </w:t>
      </w:r>
      <w:r>
        <w:rPr>
          <w:rFonts w:ascii="Times New Roman" w:cs="Times New Roman" w:eastAsia="Times New Roman" w:hAnsi="Times New Roman"/>
          <w:sz w:val="19"/>
          <w:szCs w:val="19"/>
          <w:u w:val="single" w:color="auto"/>
          <w:color w:val="auto"/>
        </w:rPr>
        <w:t>Section 5.01(a)</w:t>
      </w:r>
      <w:r>
        <w:rPr>
          <w:rFonts w:ascii="Times New Roman" w:cs="Times New Roman" w:eastAsia="Times New Roman" w:hAnsi="Times New Roman"/>
          <w:sz w:val="19"/>
          <w:szCs w:val="19"/>
          <w:color w:val="auto"/>
        </w:rPr>
        <w:t>,</w:t>
      </w:r>
    </w:p>
    <w:p>
      <w:pPr>
        <w:spacing w:after="0" w:line="31" w:lineRule="exact"/>
        <w:rPr>
          <w:rFonts w:ascii="Times New Roman" w:cs="Times New Roman" w:eastAsia="Times New Roman" w:hAnsi="Times New Roman"/>
          <w:sz w:val="19"/>
          <w:szCs w:val="19"/>
          <w:color w:val="auto"/>
        </w:rPr>
      </w:pPr>
    </w:p>
    <w:p>
      <w:pPr>
        <w:jc w:val="both"/>
        <w:ind w:right="220" w:firstLine="6"/>
        <w:spacing w:after="0" w:line="256" w:lineRule="auto"/>
        <w:tabs>
          <w:tab w:leader="none" w:pos="276" w:val="left"/>
        </w:tabs>
        <w:numPr>
          <w:ilvl w:val="0"/>
          <w:numId w:val="13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will be fulfilled by filing by the Borrower of the applicable documents for public availability on the SEC’s Electronic Data Gathering and Retrieval system; provided, that the Borrower shall notify the Administrative Agent (by telecopier or electronic mail) of the posting of any such documents.</w:t>
      </w:r>
    </w:p>
    <w:p>
      <w:pPr>
        <w:spacing w:after="0" w:line="15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1" w:name="page192"/>
    <w:bookmarkEnd w:id="191"/>
    <w:p>
      <w:pPr>
        <w:spacing w:after="0" w:line="269" w:lineRule="exact"/>
        <w:rPr>
          <w:sz w:val="20"/>
          <w:szCs w:val="20"/>
          <w:color w:val="auto"/>
        </w:rPr>
      </w:pPr>
    </w:p>
    <w:p>
      <w:pPr>
        <w:ind w:right="60" w:firstLine="1404"/>
        <w:spacing w:after="0" w:line="286" w:lineRule="auto"/>
        <w:rPr>
          <w:sz w:val="20"/>
          <w:szCs w:val="20"/>
          <w:color w:val="auto"/>
        </w:rPr>
      </w:pPr>
      <w:r>
        <w:rPr>
          <w:rFonts w:ascii="Times New Roman" w:cs="Times New Roman" w:eastAsia="Times New Roman" w:hAnsi="Times New Roman"/>
          <w:sz w:val="19"/>
          <w:szCs w:val="19"/>
          <w:color w:val="auto"/>
        </w:rPr>
        <w:t xml:space="preserve">SECTION 5.02. </w:t>
      </w:r>
      <w:r>
        <w:rPr>
          <w:rFonts w:ascii="Times New Roman" w:cs="Times New Roman" w:eastAsia="Times New Roman" w:hAnsi="Times New Roman"/>
          <w:sz w:val="19"/>
          <w:szCs w:val="19"/>
          <w:u w:val="single" w:color="auto"/>
          <w:color w:val="auto"/>
        </w:rPr>
        <w:t>Notices of Material Events</w:t>
      </w:r>
      <w:r>
        <w:rPr>
          <w:rFonts w:ascii="Times New Roman" w:cs="Times New Roman" w:eastAsia="Times New Roman" w:hAnsi="Times New Roman"/>
          <w:sz w:val="19"/>
          <w:szCs w:val="19"/>
          <w:color w:val="auto"/>
        </w:rPr>
        <w:t xml:space="preserve"> . The Borrower will furnish to the Administrative Agent and each Lender prompt written notice upon any Responsible Officer obtaining actual knowledge of the following:</w:t>
      </w:r>
    </w:p>
    <w:p>
      <w:pPr>
        <w:spacing w:after="0" w:line="127" w:lineRule="exact"/>
        <w:rPr>
          <w:sz w:val="20"/>
          <w:szCs w:val="20"/>
          <w:color w:val="auto"/>
        </w:rPr>
      </w:pPr>
    </w:p>
    <w:p>
      <w:pPr>
        <w:ind w:left="1680" w:hanging="270"/>
        <w:spacing w:after="0"/>
        <w:tabs>
          <w:tab w:leader="none" w:pos="168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occurrence of any Default;</w:t>
      </w:r>
    </w:p>
    <w:p>
      <w:pPr>
        <w:spacing w:after="0" w:line="201" w:lineRule="exact"/>
        <w:rPr>
          <w:rFonts w:ascii="Times New Roman" w:cs="Times New Roman" w:eastAsia="Times New Roman" w:hAnsi="Times New Roman"/>
          <w:sz w:val="19"/>
          <w:szCs w:val="19"/>
          <w:color w:val="auto"/>
        </w:rPr>
      </w:pPr>
    </w:p>
    <w:p>
      <w:pPr>
        <w:ind w:firstLine="1410"/>
        <w:spacing w:after="0" w:line="268" w:lineRule="auto"/>
        <w:tabs>
          <w:tab w:leader="none" w:pos="1676"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spacing w:after="0" w:line="144" w:lineRule="exact"/>
        <w:rPr>
          <w:rFonts w:ascii="Times New Roman" w:cs="Times New Roman" w:eastAsia="Times New Roman" w:hAnsi="Times New Roman"/>
          <w:sz w:val="19"/>
          <w:szCs w:val="19"/>
          <w:color w:val="auto"/>
        </w:rPr>
      </w:pPr>
    </w:p>
    <w:p>
      <w:pPr>
        <w:ind w:right="200" w:firstLine="1410"/>
        <w:spacing w:after="0" w:line="268" w:lineRule="auto"/>
        <w:tabs>
          <w:tab w:leader="none" w:pos="1665"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occurrence of any ERISA Event that, alone or together with any other ERISA Events that have occurred after the Second Amendment Effective Date, could reasonably be expected to result in liability of the Borrower and its Subsidiaries in an aggregate amount exceeding $7,500,000; and</w:t>
      </w:r>
    </w:p>
    <w:p>
      <w:pPr>
        <w:spacing w:after="0" w:line="144" w:lineRule="exact"/>
        <w:rPr>
          <w:rFonts w:ascii="Times New Roman" w:cs="Times New Roman" w:eastAsia="Times New Roman" w:hAnsi="Times New Roman"/>
          <w:sz w:val="19"/>
          <w:szCs w:val="19"/>
          <w:color w:val="auto"/>
        </w:rPr>
      </w:pPr>
    </w:p>
    <w:p>
      <w:pPr>
        <w:ind w:firstLine="1410"/>
        <w:spacing w:after="0" w:line="268" w:lineRule="auto"/>
        <w:tabs>
          <w:tab w:leader="none" w:pos="1676"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development (excluding matters of a general economic, financial or political nature to the extent that they could not reasonably be expected to have a disproportionate effect on the Borrower) that results in, or could reasonably be expected to result in, a Material Adverse Effect.</w:t>
      </w:r>
    </w:p>
    <w:p>
      <w:pPr>
        <w:spacing w:after="0" w:line="144" w:lineRule="exact"/>
        <w:rPr>
          <w:sz w:val="20"/>
          <w:szCs w:val="20"/>
          <w:color w:val="auto"/>
        </w:rPr>
      </w:pPr>
    </w:p>
    <w:p>
      <w:pPr>
        <w:jc w:val="both"/>
        <w:ind w:right="60" w:firstLine="1404"/>
        <w:spacing w:after="0" w:line="268" w:lineRule="auto"/>
        <w:rPr>
          <w:sz w:val="20"/>
          <w:szCs w:val="20"/>
          <w:color w:val="auto"/>
        </w:rPr>
      </w:pPr>
      <w:r>
        <w:rPr>
          <w:rFonts w:ascii="Times New Roman" w:cs="Times New Roman" w:eastAsia="Times New Roman" w:hAnsi="Times New Roman"/>
          <w:sz w:val="19"/>
          <w:szCs w:val="19"/>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44" w:lineRule="exact"/>
        <w:rPr>
          <w:sz w:val="20"/>
          <w:szCs w:val="20"/>
          <w:color w:val="auto"/>
        </w:rPr>
      </w:pPr>
    </w:p>
    <w:p>
      <w:pPr>
        <w:ind w:right="100" w:firstLine="1404"/>
        <w:spacing w:after="0" w:line="262" w:lineRule="auto"/>
        <w:rPr>
          <w:sz w:val="20"/>
          <w:szCs w:val="20"/>
          <w:color w:val="auto"/>
        </w:rPr>
      </w:pPr>
      <w:r>
        <w:rPr>
          <w:rFonts w:ascii="Times New Roman" w:cs="Times New Roman" w:eastAsia="Times New Roman" w:hAnsi="Times New Roman"/>
          <w:sz w:val="19"/>
          <w:szCs w:val="19"/>
          <w:color w:val="auto"/>
        </w:rPr>
        <w:t xml:space="preserve">SECTION 5.03. </w:t>
      </w:r>
      <w:r>
        <w:rPr>
          <w:rFonts w:ascii="Times New Roman" w:cs="Times New Roman" w:eastAsia="Times New Roman" w:hAnsi="Times New Roman"/>
          <w:sz w:val="19"/>
          <w:szCs w:val="19"/>
          <w:u w:val="single" w:color="auto"/>
          <w:color w:val="auto"/>
        </w:rPr>
        <w:t>Existence; Conduct of Business</w:t>
      </w:r>
      <w:r>
        <w:rPr>
          <w:rFonts w:ascii="Times New Roman" w:cs="Times New Roman" w:eastAsia="Times New Roman" w:hAnsi="Times New Roman"/>
          <w:sz w:val="19"/>
          <w:szCs w:val="19"/>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prohibit any merger, consolidation, liquidation or dissolution permitted under </w:t>
      </w:r>
      <w:r>
        <w:rPr>
          <w:rFonts w:ascii="Times New Roman" w:cs="Times New Roman" w:eastAsia="Times New Roman" w:hAnsi="Times New Roman"/>
          <w:sz w:val="19"/>
          <w:szCs w:val="19"/>
          <w:u w:val="single" w:color="auto"/>
          <w:color w:val="auto"/>
        </w:rPr>
        <w:t>Section 6.03</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right="40" w:firstLine="1404"/>
        <w:spacing w:after="0" w:line="257" w:lineRule="auto"/>
        <w:rPr>
          <w:sz w:val="20"/>
          <w:szCs w:val="20"/>
          <w:color w:val="auto"/>
        </w:rPr>
      </w:pPr>
      <w:r>
        <w:rPr>
          <w:rFonts w:ascii="Times New Roman" w:cs="Times New Roman" w:eastAsia="Times New Roman" w:hAnsi="Times New Roman"/>
          <w:sz w:val="19"/>
          <w:szCs w:val="19"/>
          <w:color w:val="auto"/>
        </w:rPr>
        <w:t xml:space="preserve">SECTION 5.04. </w:t>
      </w:r>
      <w:r>
        <w:rPr>
          <w:rFonts w:ascii="Times New Roman" w:cs="Times New Roman" w:eastAsia="Times New Roman" w:hAnsi="Times New Roman"/>
          <w:sz w:val="19"/>
          <w:szCs w:val="19"/>
          <w:u w:val="single" w:color="auto"/>
          <w:color w:val="auto"/>
        </w:rPr>
        <w:t>Payment of Obligations</w:t>
      </w:r>
      <w:r>
        <w:rPr>
          <w:rFonts w:ascii="Times New Roman" w:cs="Times New Roman" w:eastAsia="Times New Roman" w:hAnsi="Times New Roman"/>
          <w:sz w:val="19"/>
          <w:szCs w:val="19"/>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57"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 xml:space="preserve">SECTION 5.05. </w:t>
      </w:r>
      <w:r>
        <w:rPr>
          <w:rFonts w:ascii="Times New Roman" w:cs="Times New Roman" w:eastAsia="Times New Roman" w:hAnsi="Times New Roman"/>
          <w:sz w:val="19"/>
          <w:szCs w:val="19"/>
          <w:u w:val="single" w:color="auto"/>
          <w:color w:val="auto"/>
        </w:rPr>
        <w:t>Maintenance of Properties; Insurance</w:t>
      </w:r>
      <w:r>
        <w:rPr>
          <w:rFonts w:ascii="Times New Roman" w:cs="Times New Roman" w:eastAsia="Times New Roman" w:hAnsi="Times New Roman"/>
          <w:sz w:val="19"/>
          <w:szCs w:val="19"/>
          <w:color w:val="auto"/>
        </w:rPr>
        <w:t>. The Borrower will, and will cause each of its Subsidiaries (other than Immaterial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5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2" w:name="page193"/>
    <w:bookmarkEnd w:id="192"/>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5.06. </w:t>
      </w:r>
      <w:r>
        <w:rPr>
          <w:rFonts w:ascii="Times New Roman" w:cs="Times New Roman" w:eastAsia="Times New Roman" w:hAnsi="Times New Roman"/>
          <w:sz w:val="19"/>
          <w:szCs w:val="19"/>
          <w:u w:val="single" w:color="auto"/>
          <w:color w:val="auto"/>
        </w:rPr>
        <w:t>Books and Records; Inspection and Audit Rights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410"/>
        <w:spacing w:after="0" w:line="255" w:lineRule="auto"/>
        <w:tabs>
          <w:tab w:leader="none" w:pos="1668"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Books and Records; Inspection Rights</w:t>
      </w:r>
      <w:r>
        <w:rPr>
          <w:rFonts w:ascii="Times New Roman" w:cs="Times New Roman" w:eastAsia="Times New Roman" w:hAnsi="Times New Roman"/>
          <w:sz w:val="19"/>
          <w:szCs w:val="19"/>
          <w:color w:val="auto"/>
        </w:rPr>
        <w:t xml:space="preserve">. The Borrower will, and will cause each of its Subsidiaries to, keep books of record and account in accordance with GAAP. The Borrower will, and will cause each of its Subsidiaries to, permit any representatives designated by the Administrative Agent or any Lender, upon reasonable prior notice, to visit and inspect its properties during business hours, to examine and make extracts from its books and records,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or such Subsidiary shall be entitled to have its representatives and advisors present during any inspection of its books and records.</w:t>
      </w:r>
    </w:p>
    <w:p>
      <w:pPr>
        <w:spacing w:after="0" w:line="159" w:lineRule="exact"/>
        <w:rPr>
          <w:rFonts w:ascii="Times New Roman" w:cs="Times New Roman" w:eastAsia="Times New Roman" w:hAnsi="Times New Roman"/>
          <w:sz w:val="19"/>
          <w:szCs w:val="19"/>
          <w:color w:val="auto"/>
        </w:rPr>
      </w:pPr>
    </w:p>
    <w:p>
      <w:pPr>
        <w:ind w:right="20" w:firstLine="1410"/>
        <w:spacing w:after="0" w:line="254" w:lineRule="auto"/>
        <w:tabs>
          <w:tab w:leader="none" w:pos="1680"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Audit Rights</w:t>
      </w:r>
      <w:r>
        <w:rPr>
          <w:rFonts w:ascii="Times New Roman" w:cs="Times New Roman" w:eastAsia="Times New Roman" w:hAnsi="Times New Roman"/>
          <w:sz w:val="19"/>
          <w:szCs w:val="19"/>
          <w:color w:val="auto"/>
        </w:rPr>
        <w:t xml:space="preserve">. The Borrower will, and will cause each of its Subsidiaries to, permit any representatives designated by Administrative Agent (including any consultants, accountants, lawyers and appraisers retained by the Administrative Agent) to conduct evaluations and appraisals of the Borrower’s computation of the Borrowing Base and the assets included in the Borrowing Base, all at such reasonable times and as often as reasonably requested. The Borrower shall pay the reasonable fees and expenses of any representatives retained by the Administrative Agent to conduct any such evaluation or appraisal;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not be required to pay such fees and expenses for more than one such evaluation or appraisal during any calendar year unless an Event of Default has occurred and is continuing at the time of any subsequent evaluation or appraisal during such calendar year. The Borrower also agrees to modify or adjust the computation of the Borrowing Base to the extent required by the Administrative Agent or the Required Lenders as a result of any such evaluation or appraisal;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Borrower demonstrates that such evaluation or appraisal is incorrect, the Borrower shall be permitted to re-adjust its computation of the Borrowing Base.</w:t>
      </w:r>
    </w:p>
    <w:p>
      <w:pPr>
        <w:spacing w:after="0" w:line="160" w:lineRule="exact"/>
        <w:rPr>
          <w:sz w:val="20"/>
          <w:szCs w:val="20"/>
          <w:color w:val="auto"/>
        </w:rPr>
      </w:pPr>
    </w:p>
    <w:p>
      <w:pPr>
        <w:ind w:right="200" w:firstLine="1404"/>
        <w:spacing w:after="0" w:line="255" w:lineRule="auto"/>
        <w:rPr>
          <w:sz w:val="20"/>
          <w:szCs w:val="20"/>
          <w:color w:val="auto"/>
        </w:rPr>
      </w:pPr>
      <w:r>
        <w:rPr>
          <w:rFonts w:ascii="Times New Roman" w:cs="Times New Roman" w:eastAsia="Times New Roman" w:hAnsi="Times New Roman"/>
          <w:sz w:val="19"/>
          <w:szCs w:val="19"/>
          <w:color w:val="auto"/>
        </w:rPr>
        <w:t xml:space="preserve">SECTION 5.07. </w:t>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 The Borrower will maintain policies, procedures and internal controls reasonably designed to ensure compliance with the economic sanctions and trade embargo regulations promulgated by OFAC, the U.S. Department of State, the United Nations Security Council, Her Majesty’s Treasury or the European Union and Anti-Corruption Laws.</w:t>
      </w:r>
    </w:p>
    <w:p>
      <w:pPr>
        <w:spacing w:after="0" w:line="15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5.08. </w:t>
      </w:r>
      <w:r>
        <w:rPr>
          <w:rFonts w:ascii="Times New Roman" w:cs="Times New Roman" w:eastAsia="Times New Roman" w:hAnsi="Times New Roman"/>
          <w:sz w:val="19"/>
          <w:szCs w:val="19"/>
          <w:u w:val="single" w:color="auto"/>
          <w:color w:val="auto"/>
        </w:rPr>
        <w:t>Certain Obligations Respecting Subsidiaries; Further Assurances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right="440" w:firstLine="1410"/>
        <w:spacing w:after="0" w:line="268" w:lineRule="auto"/>
        <w:tabs>
          <w:tab w:leader="none" w:pos="1668"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Subsidiary Guarantors</w:t>
      </w:r>
      <w:r>
        <w:rPr>
          <w:rFonts w:ascii="Times New Roman" w:cs="Times New Roman" w:eastAsia="Times New Roman" w:hAnsi="Times New Roman"/>
          <w:sz w:val="19"/>
          <w:szCs w:val="19"/>
          <w:color w:val="auto"/>
        </w:rPr>
        <w:t>. In the event that the Borrower or any of its Subsidiaries shall form or acquire any new Subsidiary (other than a Financing Subsidiary, a Foreign Subsidiary or an Immaterial Subsidiary) the Borrower will cause such new Subsidiary to</w:t>
      </w:r>
    </w:p>
    <w:p>
      <w:pPr>
        <w:spacing w:after="0" w:line="1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3" w:name="page194"/>
    <w:bookmarkEnd w:id="193"/>
    <w:p>
      <w:pPr>
        <w:spacing w:after="0" w:line="269"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9"/>
          <w:szCs w:val="19"/>
          <w:color w:val="auto"/>
        </w:rPr>
        <w:t xml:space="preserve">become a “Subsidiary Guarantor” (and, thereby, an “Obligor”) under the Guarantee and Security Agreement pursuant to a Guarantee Assumption Agreement and to deliver such proof of corporate or other action, incumbency of officers, opinions of counsel and other documents as is consistent with those delivered by the Borrower pursuant to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upon the Effective Date or as the Administrative Agent shall have reasonably requested.</w:t>
      </w:r>
    </w:p>
    <w:p>
      <w:pPr>
        <w:spacing w:after="0" w:line="150" w:lineRule="exact"/>
        <w:rPr>
          <w:sz w:val="20"/>
          <w:szCs w:val="20"/>
          <w:color w:val="auto"/>
        </w:rPr>
      </w:pPr>
    </w:p>
    <w:p>
      <w:pPr>
        <w:ind w:right="320" w:firstLine="1410"/>
        <w:spacing w:after="0" w:line="286" w:lineRule="auto"/>
        <w:tabs>
          <w:tab w:leader="none" w:pos="168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Ownership of Subsidiaries</w:t>
      </w:r>
      <w:r>
        <w:rPr>
          <w:rFonts w:ascii="Times New Roman" w:cs="Times New Roman" w:eastAsia="Times New Roman" w:hAnsi="Times New Roman"/>
          <w:sz w:val="19"/>
          <w:szCs w:val="19"/>
          <w:color w:val="auto"/>
        </w:rPr>
        <w:t>. The Borrower will, and will cause each of its Subsidiaries to, take such action from time to time as shall be necessary to ensure that each of its Subsidiaries is a wholly owned Subsidiary.</w:t>
      </w:r>
    </w:p>
    <w:p>
      <w:pPr>
        <w:spacing w:after="0" w:line="127" w:lineRule="exact"/>
        <w:rPr>
          <w:rFonts w:ascii="Times New Roman" w:cs="Times New Roman" w:eastAsia="Times New Roman" w:hAnsi="Times New Roman"/>
          <w:sz w:val="19"/>
          <w:szCs w:val="19"/>
          <w:color w:val="auto"/>
        </w:rPr>
      </w:pPr>
    </w:p>
    <w:p>
      <w:pPr>
        <w:ind w:firstLine="1410"/>
        <w:spacing w:after="0" w:line="251" w:lineRule="auto"/>
        <w:tabs>
          <w:tab w:leader="none" w:pos="1668"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xml:space="preserve">.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Secured Parties (as defined in the Guarantee and Security Agreement), perfected security interests and Liens in the Collateral;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security interest or Lien shall be subject to the relevant requirements of the Security Documents, (ii) to cause any bank or securities intermediary (within the meaning of the Uniform Commercial Code) to enter into such arrangements with the Collateral Agent as shall be appropriate in order that the Collateral Agent has “</w:t>
      </w:r>
      <w:r>
        <w:rPr>
          <w:rFonts w:ascii="Times New Roman" w:cs="Times New Roman" w:eastAsia="Times New Roman" w:hAnsi="Times New Roman"/>
          <w:sz w:val="19"/>
          <w:szCs w:val="19"/>
          <w:u w:val="single" w:color="auto"/>
          <w:color w:val="auto"/>
        </w:rPr>
        <w:t>control</w:t>
      </w:r>
      <w:r>
        <w:rPr>
          <w:rFonts w:ascii="Times New Roman" w:cs="Times New Roman" w:eastAsia="Times New Roman" w:hAnsi="Times New Roman"/>
          <w:sz w:val="19"/>
          <w:szCs w:val="19"/>
          <w:color w:val="auto"/>
        </w:rPr>
        <w:t xml:space="preserve">” (within the meaning of the Uniform Commercial Code) over each bank account or securities account of the Obligors (other than “Excluded Accounts” as defined in the Guarantee and Security Agreement), and in that connection, the Borrower agrees to cause all cash and other proceeds of Portfolio Investments received by any Obligor to be promptly deposited into such an account (or otherwise delivered to, or registered in the name of, the Collateral Agent) and, until such deposit, delivery or registration such cash and other proceeds shall be held in trust by the Borrower for and as the property of the Collateral Agent and shall not be commingled with any other finds or property of such Obligor, (iii) in the case of any Portfolio Investment consisting of a Bank Loan (as defined in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(iv)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(v) to cause the closing sets and all executed amendments, consents, forbearances and other modifications and assignment agreements relating to any Portfolio Investment and any other documents relating to any Portfolio Investment requested by</w:t>
      </w:r>
    </w:p>
    <w:p>
      <w:pPr>
        <w:spacing w:after="0" w:line="17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4" w:name="page195"/>
    <w:bookmarkEnd w:id="194"/>
    <w:p>
      <w:pPr>
        <w:spacing w:after="0" w:line="26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9"/>
          <w:szCs w:val="19"/>
          <w:color w:val="auto"/>
        </w:rPr>
        <w:t>the Collateral Agent, in each case to be held by the Collateral Agent or a custodian pursuant to the terms of a custodian agreement reasonably satisfactory to the Collateral Agent.</w:t>
      </w:r>
    </w:p>
    <w:p>
      <w:pPr>
        <w:spacing w:after="0" w:line="127"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 xml:space="preserve">SECTION 5.09. </w:t>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 xml:space="preserve">. The Borrower will use the proceeds of the Loans only for general corporate purposes of the Borrower in the ordinary course of business, including the acquisition and funding (either directly or through one or more wholly-owned Subsidiaries) of leveraged loans, mezzanine loans, high-yield securities, convertible securities, preferred stock, common stock and other Portfolio Investments;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neither the Administrative Agent nor any Lender shall have any responsibility as to the use of any of such proceeds. No part of the proceeds of any Loan will be used in violation of applicable law or, directly or indirectly, for the purpose, whether immediate, incidental or ultimate, of buying or carrying any Margin Stock. Margin Stock shall be purchased by the Obligors only with the proceeds of Indebtedness not directly or indirectly secured by Margin Stock, or with the proceeds of equity capital of the Borrower. No Obligor will directly or knowingly indirectly use the proceeds of the Loans or otherwise make available such proceeds (i) to any Person for the purpose of financing the activities of any Person on the list of Specially Designated Nationals and Blocked Persons or that is subject to, or the subject or target of, Sanctions, or in any Sanctioned Country or (ii) for any payments to any governmental official or employee, political party, official of a political party, candidate for political office, or anyone else acting in an official capacity, in order to obtain, retain or direct business or obtain any improper advantage, in violation of any Anti-Corruption Laws.</w:t>
      </w:r>
    </w:p>
    <w:p>
      <w:pPr>
        <w:spacing w:after="0" w:line="165" w:lineRule="exact"/>
        <w:rPr>
          <w:sz w:val="20"/>
          <w:szCs w:val="20"/>
          <w:color w:val="auto"/>
        </w:rPr>
      </w:pPr>
    </w:p>
    <w:p>
      <w:pPr>
        <w:ind w:right="80" w:firstLine="1404"/>
        <w:spacing w:after="0" w:line="286" w:lineRule="auto"/>
        <w:rPr>
          <w:sz w:val="20"/>
          <w:szCs w:val="20"/>
          <w:color w:val="auto"/>
        </w:rPr>
      </w:pPr>
      <w:r>
        <w:rPr>
          <w:rFonts w:ascii="Times New Roman" w:cs="Times New Roman" w:eastAsia="Times New Roman" w:hAnsi="Times New Roman"/>
          <w:sz w:val="19"/>
          <w:szCs w:val="19"/>
          <w:color w:val="auto"/>
        </w:rPr>
        <w:t xml:space="preserve">SECTION 5.10. </w:t>
      </w:r>
      <w:r>
        <w:rPr>
          <w:rFonts w:ascii="Times New Roman" w:cs="Times New Roman" w:eastAsia="Times New Roman" w:hAnsi="Times New Roman"/>
          <w:sz w:val="19"/>
          <w:szCs w:val="19"/>
          <w:u w:val="single" w:color="auto"/>
          <w:color w:val="auto"/>
        </w:rPr>
        <w:t>Status of RIC and BDC</w:t>
      </w:r>
      <w:r>
        <w:rPr>
          <w:rFonts w:ascii="Times New Roman" w:cs="Times New Roman" w:eastAsia="Times New Roman" w:hAnsi="Times New Roman"/>
          <w:sz w:val="19"/>
          <w:szCs w:val="19"/>
          <w:color w:val="auto"/>
        </w:rPr>
        <w:t>. The Borrower shall at all times maintain its status as a RIC under the Code, and as a “business development company” under the Investment Company Act.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5.11. </w:t>
      </w:r>
      <w:r>
        <w:rPr>
          <w:rFonts w:ascii="Times New Roman" w:cs="Times New Roman" w:eastAsia="Times New Roman" w:hAnsi="Times New Roman"/>
          <w:sz w:val="19"/>
          <w:szCs w:val="19"/>
          <w:u w:val="single" w:color="auto"/>
          <w:color w:val="auto"/>
        </w:rPr>
        <w:t>Investment Policies</w:t>
      </w:r>
      <w:r>
        <w:rPr>
          <w:rFonts w:ascii="Times New Roman" w:cs="Times New Roman" w:eastAsia="Times New Roman" w:hAnsi="Times New Roman"/>
          <w:sz w:val="19"/>
          <w:szCs w:val="19"/>
          <w:color w:val="auto"/>
        </w:rPr>
        <w:t>. The Borrower shall at all times be in compliance in all material respects with its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Investment Policies (after giving effect to any Permitted Policy Amendments);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it shall not be deemed a material change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Investment Policies if (i) investment size (which as of the Effective Date is to normally range from between $5,000,000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$50,000,000) proportionately increases as the size of the Borrower’s capital base changes or (ii) the Borrower and its Subsidiaries, taken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a whole, invest up to 30% of their assets in non-U.S. companies.</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5.12. </w:t>
      </w:r>
      <w:r>
        <w:rPr>
          <w:rFonts w:ascii="Times New Roman" w:cs="Times New Roman" w:eastAsia="Times New Roman" w:hAnsi="Times New Roman"/>
          <w:sz w:val="19"/>
          <w:szCs w:val="19"/>
          <w:u w:val="single" w:color="auto"/>
          <w:color w:val="auto"/>
        </w:rPr>
        <w:t>Portfolio Valuation and Diversification Etc</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20" w:firstLine="1410"/>
        <w:spacing w:after="0" w:line="257" w:lineRule="auto"/>
        <w:tabs>
          <w:tab w:leader="none" w:pos="1668"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Industry Classification Groups</w:t>
      </w:r>
      <w:r>
        <w:rPr>
          <w:rFonts w:ascii="Times New Roman" w:cs="Times New Roman" w:eastAsia="Times New Roman" w:hAnsi="Times New Roman"/>
          <w:sz w:val="19"/>
          <w:szCs w:val="19"/>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15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5" w:name="page196"/>
    <w:bookmarkEnd w:id="195"/>
    <w:p>
      <w:pPr>
        <w:spacing w:after="0" w:line="269" w:lineRule="exact"/>
        <w:rPr>
          <w:sz w:val="20"/>
          <w:szCs w:val="20"/>
          <w:color w:val="auto"/>
        </w:rPr>
      </w:pPr>
    </w:p>
    <w:p>
      <w:pPr>
        <w:ind w:left="980" w:hanging="270"/>
        <w:spacing w:after="0"/>
        <w:tabs>
          <w:tab w:leader="none" w:pos="98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Portfolio Valuation Etc</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40" w:firstLine="746"/>
        <w:spacing w:after="0" w:line="259" w:lineRule="auto"/>
        <w:tabs>
          <w:tab w:leader="none" w:pos="972"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Settlement Date Basis</w:t>
      </w:r>
      <w:r>
        <w:rPr>
          <w:rFonts w:ascii="Times New Roman" w:cs="Times New Roman" w:eastAsia="Times New Roman" w:hAnsi="Times New Roman"/>
          <w:sz w:val="19"/>
          <w:szCs w:val="19"/>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investment shall be included as a Portfolio Investment to the extent it has not been paid for in full.</w:t>
      </w:r>
    </w:p>
    <w:p>
      <w:pPr>
        <w:spacing w:after="0" w:line="153" w:lineRule="exact"/>
        <w:rPr>
          <w:rFonts w:ascii="Times New Roman" w:cs="Times New Roman" w:eastAsia="Times New Roman" w:hAnsi="Times New Roman"/>
          <w:sz w:val="19"/>
          <w:szCs w:val="19"/>
          <w:color w:val="auto"/>
        </w:rPr>
      </w:pPr>
    </w:p>
    <w:p>
      <w:pPr>
        <w:ind w:right="200" w:firstLine="746"/>
        <w:spacing w:after="0" w:line="286" w:lineRule="auto"/>
        <w:tabs>
          <w:tab w:leader="none" w:pos="1032"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Determination of Values</w:t>
      </w:r>
      <w:r>
        <w:rPr>
          <w:rFonts w:ascii="Times New Roman" w:cs="Times New Roman" w:eastAsia="Times New Roman" w:hAnsi="Times New Roman"/>
          <w:sz w:val="19"/>
          <w:szCs w:val="19"/>
          <w:color w:val="auto"/>
        </w:rPr>
        <w:t>. The Borrower will conduct reviews of the value to be assigned to each of its Portfolio Investments as follows:</w:t>
      </w:r>
    </w:p>
    <w:p>
      <w:pPr>
        <w:spacing w:after="0" w:line="127" w:lineRule="exact"/>
        <w:rPr>
          <w:rFonts w:ascii="Times New Roman" w:cs="Times New Roman" w:eastAsia="Times New Roman" w:hAnsi="Times New Roman"/>
          <w:sz w:val="19"/>
          <w:szCs w:val="19"/>
          <w:color w:val="auto"/>
        </w:rPr>
      </w:pPr>
    </w:p>
    <w:p>
      <w:pPr>
        <w:ind w:left="720" w:right="140" w:firstLine="795"/>
        <w:spacing w:after="0" w:line="262" w:lineRule="auto"/>
        <w:tabs>
          <w:tab w:leader="none" w:pos="1836" w:val="left"/>
        </w:tabs>
        <w:numPr>
          <w:ilvl w:val="1"/>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Quoted Investments - External Review</w:t>
      </w:r>
      <w:r>
        <w:rPr>
          <w:rFonts w:ascii="Times New Roman" w:cs="Times New Roman" w:eastAsia="Times New Roman" w:hAnsi="Times New Roman"/>
          <w:sz w:val="19"/>
          <w:szCs w:val="19"/>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150" w:lineRule="exact"/>
        <w:rPr>
          <w:rFonts w:ascii="Times New Roman" w:cs="Times New Roman" w:eastAsia="Times New Roman" w:hAnsi="Times New Roman"/>
          <w:sz w:val="19"/>
          <w:szCs w:val="19"/>
          <w:color w:val="auto"/>
        </w:rPr>
      </w:pPr>
    </w:p>
    <w:p>
      <w:pPr>
        <w:ind w:left="1420" w:right="180" w:firstLine="875"/>
        <w:spacing w:after="0" w:line="286" w:lineRule="auto"/>
        <w:tabs>
          <w:tab w:leader="none" w:pos="2611" w:val="left"/>
        </w:tabs>
        <w:numPr>
          <w:ilvl w:val="2"/>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public and 144A securities, the average of the bid prices as determined by two Approved Dealers selected by the Borrower,</w:t>
      </w:r>
    </w:p>
    <w:p>
      <w:pPr>
        <w:spacing w:after="0" w:line="127" w:lineRule="exact"/>
        <w:rPr>
          <w:rFonts w:ascii="Times New Roman" w:cs="Times New Roman" w:eastAsia="Times New Roman" w:hAnsi="Times New Roman"/>
          <w:sz w:val="19"/>
          <w:szCs w:val="19"/>
          <w:color w:val="auto"/>
        </w:rPr>
      </w:pPr>
    </w:p>
    <w:p>
      <w:pPr>
        <w:ind w:left="2560" w:hanging="265"/>
        <w:spacing w:after="0"/>
        <w:tabs>
          <w:tab w:leader="none" w:pos="2560" w:val="left"/>
        </w:tabs>
        <w:numPr>
          <w:ilvl w:val="2"/>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bank loans, the bid price as determined by one Approved Dealer selected by the</w:t>
      </w:r>
    </w:p>
    <w:p>
      <w:pPr>
        <w:spacing w:after="0" w:line="31" w:lineRule="exact"/>
        <w:rPr>
          <w:rFonts w:ascii="Times New Roman" w:cs="Times New Roman" w:eastAsia="Times New Roman" w:hAnsi="Times New Roman"/>
          <w:sz w:val="19"/>
          <w:szCs w:val="19"/>
          <w:color w:val="auto"/>
        </w:rPr>
      </w:pPr>
    </w:p>
    <w:p>
      <w:pPr>
        <w:ind w:left="14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w:t>
      </w:r>
    </w:p>
    <w:p>
      <w:pPr>
        <w:spacing w:after="0" w:line="179" w:lineRule="exact"/>
        <w:rPr>
          <w:rFonts w:ascii="Times New Roman" w:cs="Times New Roman" w:eastAsia="Times New Roman" w:hAnsi="Times New Roman"/>
          <w:sz w:val="19"/>
          <w:szCs w:val="19"/>
          <w:color w:val="auto"/>
        </w:rPr>
      </w:pPr>
    </w:p>
    <w:p>
      <w:pPr>
        <w:ind w:left="1420" w:right="520" w:firstLine="875"/>
        <w:spacing w:after="0" w:line="286" w:lineRule="auto"/>
        <w:tabs>
          <w:tab w:leader="none" w:pos="2568" w:val="left"/>
        </w:tabs>
        <w:numPr>
          <w:ilvl w:val="2"/>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Portfolio Investment traded on an exchange, the closing price for such Portfolio Investment most recently posted on such exchange, and</w:t>
      </w:r>
    </w:p>
    <w:p>
      <w:pPr>
        <w:spacing w:after="0" w:line="127" w:lineRule="exact"/>
        <w:rPr>
          <w:rFonts w:ascii="Times New Roman" w:cs="Times New Roman" w:eastAsia="Times New Roman" w:hAnsi="Times New Roman"/>
          <w:sz w:val="19"/>
          <w:szCs w:val="19"/>
          <w:color w:val="auto"/>
        </w:rPr>
      </w:pPr>
    </w:p>
    <w:p>
      <w:pPr>
        <w:ind w:left="1420" w:right="20" w:firstLine="875"/>
        <w:spacing w:after="0" w:line="286" w:lineRule="auto"/>
        <w:tabs>
          <w:tab w:leader="none" w:pos="2557" w:val="left"/>
        </w:tabs>
        <w:numPr>
          <w:ilvl w:val="2"/>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other Portfolio Investment, the fair market value thereof as determined by an Approved Pricing Service selected by the Borrower; and</w:t>
      </w:r>
    </w:p>
    <w:p>
      <w:pPr>
        <w:spacing w:after="0" w:line="127" w:lineRule="exact"/>
        <w:rPr>
          <w:rFonts w:ascii="Times New Roman" w:cs="Times New Roman" w:eastAsia="Times New Roman" w:hAnsi="Times New Roman"/>
          <w:sz w:val="19"/>
          <w:szCs w:val="19"/>
          <w:color w:val="auto"/>
        </w:rPr>
      </w:pPr>
    </w:p>
    <w:p>
      <w:pPr>
        <w:ind w:left="720" w:right="80" w:firstLine="795"/>
        <w:spacing w:after="0" w:line="262" w:lineRule="auto"/>
        <w:tabs>
          <w:tab w:leader="none" w:pos="1824" w:val="left"/>
        </w:tabs>
        <w:numPr>
          <w:ilvl w:val="1"/>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Unquoted Investments- External Review</w:t>
      </w:r>
      <w:r>
        <w:rPr>
          <w:rFonts w:ascii="Times New Roman" w:cs="Times New Roman" w:eastAsia="Times New Roman" w:hAnsi="Times New Roman"/>
          <w:sz w:val="19"/>
          <w:szCs w:val="19"/>
          <w:color w:val="auto"/>
        </w:rPr>
        <w:t xml:space="preserve">. With respect to Portfolio Investments for which market quotations are not readily available, the Borrower shall request an Approved Third-Party Appraiser to assist the Board of Directors of the Borrower in determining the fair market value of such Portfolio Investments, as at the last day of each fiscal quarter;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50" w:lineRule="exact"/>
        <w:rPr>
          <w:rFonts w:ascii="Times New Roman" w:cs="Times New Roman" w:eastAsia="Times New Roman" w:hAnsi="Times New Roman"/>
          <w:sz w:val="19"/>
          <w:szCs w:val="19"/>
          <w:color w:val="auto"/>
        </w:rPr>
      </w:pPr>
    </w:p>
    <w:p>
      <w:pPr>
        <w:ind w:left="1420" w:firstLine="875"/>
        <w:spacing w:after="0" w:line="259" w:lineRule="auto"/>
        <w:tabs>
          <w:tab w:leader="none" w:pos="2568" w:val="left"/>
        </w:tabs>
        <w:numPr>
          <w:ilvl w:val="2"/>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clause (z)</w:t>
      </w:r>
      <w:r>
        <w:rPr>
          <w:rFonts w:ascii="Times New Roman" w:cs="Times New Roman" w:eastAsia="Times New Roman" w:hAnsi="Times New Roman"/>
          <w:sz w:val="19"/>
          <w:szCs w:val="19"/>
          <w:color w:val="auto"/>
        </w:rPr>
        <w:t xml:space="preserve"> below, the Value of any such Portfolio Investment (i.e., a Portfolio Investment for which market quotations are not readily available) acquired during a fiscal quarter shall be deemed to be equal to the cost of such Portfolio Investment until such time as the fair market value of such Portfolio Investment is determined in accordance with the foregoing provisions of this </w:t>
      </w:r>
      <w:r>
        <w:rPr>
          <w:rFonts w:ascii="Times New Roman" w:cs="Times New Roman" w:eastAsia="Times New Roman" w:hAnsi="Times New Roman"/>
          <w:sz w:val="19"/>
          <w:szCs w:val="19"/>
          <w:u w:val="single" w:color="auto"/>
          <w:color w:val="auto"/>
        </w:rPr>
        <w:t>sub-clause (B)</w:t>
      </w:r>
      <w:r>
        <w:rPr>
          <w:rFonts w:ascii="Times New Roman" w:cs="Times New Roman" w:eastAsia="Times New Roman" w:hAnsi="Times New Roman"/>
          <w:sz w:val="19"/>
          <w:szCs w:val="19"/>
          <w:color w:val="auto"/>
        </w:rPr>
        <w:t xml:space="preserve"> as at the last day of such fiscal quarter;</w:t>
      </w:r>
    </w:p>
    <w:p>
      <w:pPr>
        <w:spacing w:after="0" w:line="15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545465</wp:posOffset>
            </wp:positionV>
            <wp:extent cx="673290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196" w:name="page197"/>
    <w:bookmarkEnd w:id="196"/>
    <w:p>
      <w:pPr>
        <w:spacing w:after="0" w:line="269" w:lineRule="exact"/>
        <w:rPr>
          <w:sz w:val="20"/>
          <w:szCs w:val="20"/>
          <w:color w:val="auto"/>
        </w:rPr>
      </w:pPr>
    </w:p>
    <w:p>
      <w:pPr>
        <w:ind w:left="1340" w:right="60" w:firstLine="875"/>
        <w:spacing w:after="0" w:line="255" w:lineRule="auto"/>
        <w:tabs>
          <w:tab w:leader="none" w:pos="2488" w:val="left"/>
        </w:tabs>
        <w:numPr>
          <w:ilvl w:val="1"/>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the Board of Directors of the Borrower may, without the assistance of an Approved Third-Party Appraiser, determine the fair market value of such unquoted Portfolio Investments so long as the aggregate Value thereof so determined does not at any time exceed 10% of the aggregate Borrowing Base, except that the fair market value of any Portfolio Investment that has been determined without the assistance of an Approved Third-Party Appraiser as at the last day of any fiscal quarter or Testing Quarter shall be deemed to be zero as at the last day of the immediately succeeding fiscal quarter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spacing w:after="0" w:line="155" w:lineRule="exact"/>
        <w:rPr>
          <w:rFonts w:ascii="Times New Roman" w:cs="Times New Roman" w:eastAsia="Times New Roman" w:hAnsi="Times New Roman"/>
          <w:sz w:val="19"/>
          <w:szCs w:val="19"/>
          <w:color w:val="auto"/>
        </w:rPr>
      </w:pPr>
    </w:p>
    <w:p>
      <w:pPr>
        <w:ind w:left="1340" w:right="40" w:firstLine="875"/>
        <w:spacing w:after="0" w:line="262" w:lineRule="auto"/>
        <w:tabs>
          <w:tab w:leader="none" w:pos="2477" w:val="left"/>
        </w:tabs>
        <w:numPr>
          <w:ilvl w:val="1"/>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Value, at the end of any fiscal quarter, of any such Portfolio Investment (i.e., a Portfolio Investment for which market quotations are not readily available) that was acquired within thirty (30) days of the end of such fiscal quarter (collectively, the “</w:t>
      </w:r>
      <w:r>
        <w:rPr>
          <w:rFonts w:ascii="Times New Roman" w:cs="Times New Roman" w:eastAsia="Times New Roman" w:hAnsi="Times New Roman"/>
          <w:sz w:val="19"/>
          <w:szCs w:val="19"/>
          <w:u w:val="single" w:color="auto"/>
          <w:color w:val="auto"/>
        </w:rPr>
        <w:t>Market Value Investments</w:t>
      </w:r>
      <w:r>
        <w:rPr>
          <w:rFonts w:ascii="Times New Roman" w:cs="Times New Roman" w:eastAsia="Times New Roman" w:hAnsi="Times New Roman"/>
          <w:sz w:val="19"/>
          <w:szCs w:val="19"/>
          <w:color w:val="auto"/>
        </w:rPr>
        <w:t>”) shall be deemed to be equal to the cost of such Portfolio Investment.</w:t>
      </w:r>
    </w:p>
    <w:p>
      <w:pPr>
        <w:spacing w:after="0" w:line="150" w:lineRule="exact"/>
        <w:rPr>
          <w:rFonts w:ascii="Times New Roman" w:cs="Times New Roman" w:eastAsia="Times New Roman" w:hAnsi="Times New Roman"/>
          <w:sz w:val="19"/>
          <w:szCs w:val="19"/>
          <w:color w:val="auto"/>
        </w:rPr>
      </w:pPr>
    </w:p>
    <w:p>
      <w:pPr>
        <w:ind w:left="640" w:right="60" w:firstLine="795"/>
        <w:spacing w:after="0" w:line="254" w:lineRule="auto"/>
        <w:tabs>
          <w:tab w:leader="none" w:pos="1744"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Internal Review</w:t>
      </w:r>
      <w:r>
        <w:rPr>
          <w:rFonts w:ascii="Times New Roman" w:cs="Times New Roman" w:eastAsia="Times New Roman" w:hAnsi="Times New Roman"/>
          <w:sz w:val="19"/>
          <w:szCs w:val="19"/>
          <w:color w:val="auto"/>
        </w:rPr>
        <w:t xml:space="preserve">.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 to this </w:t>
      </w:r>
      <w:r>
        <w:rPr>
          <w:rFonts w:ascii="Times New Roman" w:cs="Times New Roman" w:eastAsia="Times New Roman" w:hAnsi="Times New Roman"/>
          <w:sz w:val="19"/>
          <w:szCs w:val="19"/>
          <w:u w:val="single" w:color="auto"/>
          <w:color w:val="auto"/>
        </w:rPr>
        <w:t>Section 5.12(b)(ii)(C)</w:t>
      </w:r>
      <w:r>
        <w:rPr>
          <w:rFonts w:ascii="Times New Roman" w:cs="Times New Roman" w:eastAsia="Times New Roman" w:hAnsi="Times New Roman"/>
          <w:sz w:val="19"/>
          <w:szCs w:val="19"/>
          <w:color w:val="auto"/>
        </w:rPr>
        <w:t xml:space="preserve"> is lower than the value of such Portfolio Investment as most recently determined pursuant to </w:t>
      </w:r>
      <w:r>
        <w:rPr>
          <w:rFonts w:ascii="Times New Roman" w:cs="Times New Roman" w:eastAsia="Times New Roman" w:hAnsi="Times New Roman"/>
          <w:sz w:val="19"/>
          <w:szCs w:val="19"/>
          <w:u w:val="single" w:color="auto"/>
          <w:color w:val="auto"/>
        </w:rPr>
        <w:t>Section 5.12(b)(ii)(A)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such lower value shall be deemed to be the “Value” of such Portfolio Investment for purposes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157" w:lineRule="exact"/>
        <w:rPr>
          <w:rFonts w:ascii="Times New Roman" w:cs="Times New Roman" w:eastAsia="Times New Roman" w:hAnsi="Times New Roman"/>
          <w:sz w:val="19"/>
          <w:szCs w:val="19"/>
          <w:color w:val="auto"/>
        </w:rPr>
      </w:pPr>
    </w:p>
    <w:p>
      <w:pPr>
        <w:ind w:left="640" w:firstLine="795"/>
        <w:spacing w:after="0" w:line="268" w:lineRule="auto"/>
        <w:tabs>
          <w:tab w:leader="none" w:pos="1756"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Failure to Determine Values</w:t>
      </w:r>
      <w:r>
        <w:rPr>
          <w:rFonts w:ascii="Times New Roman" w:cs="Times New Roman" w:eastAsia="Times New Roman" w:hAnsi="Times New Roman"/>
          <w:sz w:val="19"/>
          <w:szCs w:val="19"/>
          <w:color w:val="auto"/>
        </w:rPr>
        <w:t xml:space="preserve">. If the Borrower shall fail to determine the value of any Portfolio Investment as at any date pursuant to the requirements of the foregoing </w:t>
      </w:r>
      <w:r>
        <w:rPr>
          <w:rFonts w:ascii="Times New Roman" w:cs="Times New Roman" w:eastAsia="Times New Roman" w:hAnsi="Times New Roman"/>
          <w:sz w:val="19"/>
          <w:szCs w:val="19"/>
          <w:u w:val="single" w:color="auto"/>
          <w:color w:val="auto"/>
        </w:rPr>
        <w:t>sub-clauses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then the “Value” of such Portfolio Investment as at such date shall be deemed to be zero.</w:t>
      </w:r>
    </w:p>
    <w:p>
      <w:pPr>
        <w:spacing w:after="0" w:line="144" w:lineRule="exact"/>
        <w:rPr>
          <w:rFonts w:ascii="Times New Roman" w:cs="Times New Roman" w:eastAsia="Times New Roman" w:hAnsi="Times New Roman"/>
          <w:sz w:val="19"/>
          <w:szCs w:val="19"/>
          <w:color w:val="auto"/>
        </w:rPr>
      </w:pPr>
    </w:p>
    <w:p>
      <w:pPr>
        <w:ind w:left="1720" w:hanging="285"/>
        <w:spacing w:after="0"/>
        <w:tabs>
          <w:tab w:leader="none" w:pos="172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Testing of Values</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1340" w:right="140" w:firstLine="875"/>
        <w:spacing w:after="0" w:line="286" w:lineRule="auto"/>
        <w:tabs>
          <w:tab w:leader="none" w:pos="2536" w:val="left"/>
        </w:tabs>
        <w:numPr>
          <w:ilvl w:val="1"/>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second calendar month immediately following the end of each fiscal quarter (the last such fiscal quarter is referred to herein as, the “</w:t>
      </w:r>
      <w:r>
        <w:rPr>
          <w:rFonts w:ascii="Times New Roman" w:cs="Times New Roman" w:eastAsia="Times New Roman" w:hAnsi="Times New Roman"/>
          <w:sz w:val="19"/>
          <w:szCs w:val="19"/>
          <w:u w:val="single" w:color="auto"/>
          <w:color w:val="auto"/>
        </w:rPr>
        <w:t>Testing Quarter</w:t>
      </w:r>
      <w:r>
        <w:rPr>
          <w:rFonts w:ascii="Times New Roman" w:cs="Times New Roman" w:eastAsia="Times New Roman" w:hAnsi="Times New Roman"/>
          <w:sz w:val="19"/>
          <w:szCs w:val="19"/>
          <w:color w:val="auto"/>
        </w:rPr>
        <w:t>”), the Administrative Agent shall cause an</w:t>
      </w:r>
    </w:p>
    <w:p>
      <w:pPr>
        <w:spacing w:after="0" w:line="12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545465</wp:posOffset>
            </wp:positionV>
            <wp:extent cx="673290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197" w:name="page198"/>
    <w:bookmarkEnd w:id="197"/>
    <w:p>
      <w:pPr>
        <w:spacing w:after="0" w:line="269" w:lineRule="exact"/>
        <w:rPr>
          <w:sz w:val="20"/>
          <w:szCs w:val="20"/>
          <w:color w:val="auto"/>
        </w:rPr>
      </w:pPr>
    </w:p>
    <w:p>
      <w:pPr>
        <w:ind w:left="1340"/>
        <w:spacing w:after="0" w:line="256" w:lineRule="auto"/>
        <w:rPr>
          <w:sz w:val="20"/>
          <w:szCs w:val="20"/>
          <w:color w:val="auto"/>
        </w:rPr>
      </w:pPr>
      <w:r>
        <w:rPr>
          <w:rFonts w:ascii="Times New Roman" w:cs="Times New Roman" w:eastAsia="Times New Roman" w:hAnsi="Times New Roman"/>
          <w:sz w:val="19"/>
          <w:szCs w:val="19"/>
          <w:color w:val="auto"/>
        </w:rPr>
        <w:t xml:space="preserve">Approved Third-Party Appraiser selected by the Administrative Agent to value such number of Unquoted Investments (selected by the Administrative Agent) that collectively have an aggregate Value approximately equal to the Calculation Amount. The Administrative Agent agrees to notify the Borrower of the Unquoted Investments selected by the Administrative Agent to be tested in each Testing Quarter. If there is a difference between the Borrower’s valuation and the Approved Third-Party Appraiser’s valuation of any Unquoted Investment, the Value of such Unquoted Investment for Borrowing Base purposes shall be established as set forth in the third sentence of </w:t>
      </w:r>
      <w:r>
        <w:rPr>
          <w:rFonts w:ascii="Times New Roman" w:cs="Times New Roman" w:eastAsia="Times New Roman" w:hAnsi="Times New Roman"/>
          <w:sz w:val="19"/>
          <w:szCs w:val="19"/>
          <w:u w:val="single" w:color="auto"/>
          <w:color w:val="auto"/>
        </w:rPr>
        <w:t>sub-clause (F)</w:t>
      </w:r>
      <w:r>
        <w:rPr>
          <w:rFonts w:ascii="Times New Roman" w:cs="Times New Roman" w:eastAsia="Times New Roman" w:hAnsi="Times New Roman"/>
          <w:sz w:val="19"/>
          <w:szCs w:val="19"/>
          <w:color w:val="auto"/>
        </w:rPr>
        <w:t xml:space="preserve"> below.</w:t>
      </w:r>
    </w:p>
    <w:p>
      <w:pPr>
        <w:spacing w:after="0" w:line="157" w:lineRule="exact"/>
        <w:rPr>
          <w:sz w:val="20"/>
          <w:szCs w:val="20"/>
          <w:color w:val="auto"/>
        </w:rPr>
      </w:pPr>
    </w:p>
    <w:p>
      <w:pPr>
        <w:ind w:left="1340" w:right="20" w:firstLine="875"/>
        <w:spacing w:after="0" w:line="241" w:lineRule="auto"/>
        <w:tabs>
          <w:tab w:leader="none" w:pos="2488"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Times New Roman" w:cs="Times New Roman" w:eastAsia="Times New Roman" w:hAnsi="Times New Roman"/>
          <w:sz w:val="19"/>
          <w:szCs w:val="19"/>
          <w:u w:val="single" w:color="auto"/>
          <w:color w:val="auto"/>
        </w:rPr>
        <w:t>Administrative Agent Appraisal Testing Month</w:t>
      </w:r>
      <w:r>
        <w:rPr>
          <w:rFonts w:ascii="Times New Roman" w:cs="Times New Roman" w:eastAsia="Times New Roman" w:hAnsi="Times New Roman"/>
          <w:sz w:val="19"/>
          <w:szCs w:val="19"/>
          <w:color w:val="auto"/>
        </w:rPr>
        <w:t>”) and would be reflected in the Borrowing Base Certificate for such month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Approved Third-Party Appraiser delivers such valuation at least seven (7) Business Days before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2014, then (A) the Administrative Agent would initiate the testing of Values (using the December 31, 2014 Calculation Amount for purposes of determining the scope of the testing under </w:t>
      </w:r>
      <w:r>
        <w:rPr>
          <w:rFonts w:ascii="Times New Roman" w:cs="Times New Roman" w:eastAsia="Times New Roman" w:hAnsi="Times New Roman"/>
          <w:sz w:val="19"/>
          <w:szCs w:val="19"/>
          <w:u w:val="single" w:color="auto"/>
          <w:color w:val="auto"/>
        </w:rPr>
        <w:t>clauses (E)(x)</w:t>
      </w:r>
      <w:r>
        <w:rPr>
          <w:rFonts w:ascii="Times New Roman" w:cs="Times New Roman" w:eastAsia="Times New Roman" w:hAnsi="Times New Roman"/>
          <w:sz w:val="19"/>
          <w:szCs w:val="19"/>
          <w:color w:val="auto"/>
        </w:rPr>
        <w:t xml:space="preserve"> during the month of February with the anticipation of receiving the valuations from the applicable Approved Third-Party Appraiser(s) on or after February 28, 2015 and (B)(xx) if such valuations were received before the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Business Day before March 20, 2015, such valuations would be included in the March 20, 2015 Borrowing Base Certificate covering the month of February, or (yy) if such valuations were received after such time, they would be included in the April 20, 2015 Borrowing Base Certificate for the month of March.</w:t>
      </w:r>
    </w:p>
    <w:p>
      <w:pPr>
        <w:spacing w:after="0" w:line="169" w:lineRule="exact"/>
        <w:rPr>
          <w:sz w:val="20"/>
          <w:szCs w:val="20"/>
          <w:color w:val="auto"/>
        </w:rPr>
      </w:pPr>
    </w:p>
    <w:p>
      <w:pPr>
        <w:ind w:left="1340" w:right="860"/>
        <w:spacing w:after="0" w:line="286" w:lineRule="auto"/>
        <w:rPr>
          <w:sz w:val="20"/>
          <w:szCs w:val="20"/>
          <w:color w:val="auto"/>
        </w:rPr>
      </w:pPr>
      <w:r>
        <w:rPr>
          <w:rFonts w:ascii="Times New Roman" w:cs="Times New Roman" w:eastAsia="Times New Roman" w:hAnsi="Times New Roman"/>
          <w:sz w:val="19"/>
          <w:szCs w:val="19"/>
          <w:color w:val="auto"/>
        </w:rPr>
        <w:t xml:space="preserve">For the avoidance of doubt, all calculations of value pursuant to this </w:t>
      </w:r>
      <w:r>
        <w:rPr>
          <w:rFonts w:ascii="Times New Roman" w:cs="Times New Roman" w:eastAsia="Times New Roman" w:hAnsi="Times New Roman"/>
          <w:sz w:val="19"/>
          <w:szCs w:val="19"/>
          <w:u w:val="single" w:color="auto"/>
          <w:color w:val="auto"/>
        </w:rPr>
        <w:t>Section 5.12(b)(ii)(E)</w:t>
      </w:r>
      <w:r>
        <w:rPr>
          <w:rFonts w:ascii="Times New Roman" w:cs="Times New Roman" w:eastAsia="Times New Roman" w:hAnsi="Times New Roman"/>
          <w:sz w:val="19"/>
          <w:szCs w:val="19"/>
          <w:color w:val="auto"/>
        </w:rPr>
        <w:t xml:space="preserve"> shall be determined without application of the Advance Rates.</w:t>
      </w:r>
    </w:p>
    <w:p>
      <w:pPr>
        <w:spacing w:after="0" w:line="127" w:lineRule="exact"/>
        <w:rPr>
          <w:sz w:val="20"/>
          <w:szCs w:val="20"/>
          <w:color w:val="auto"/>
        </w:rPr>
      </w:pPr>
    </w:p>
    <w:p>
      <w:pPr>
        <w:ind w:left="640" w:right="300" w:firstLine="795"/>
        <w:spacing w:after="0" w:line="262" w:lineRule="auto"/>
        <w:tabs>
          <w:tab w:leader="none" w:pos="1732"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Valuation Dispute Resolution</w:t>
      </w:r>
      <w:r>
        <w:rPr>
          <w:rFonts w:ascii="Times New Roman" w:cs="Times New Roman" w:eastAsia="Times New Roman" w:hAnsi="Times New Roman"/>
          <w:sz w:val="19"/>
          <w:szCs w:val="19"/>
          <w:color w:val="auto"/>
        </w:rPr>
        <w:t xml:space="preserve">. Notwithstanding the foregoing, the Administrative Agent shall at any time have the right to request any Portfolio Investment with a value assigned by the Borrower pursuant to </w:t>
      </w:r>
      <w:r>
        <w:rPr>
          <w:rFonts w:ascii="Times New Roman" w:cs="Times New Roman" w:eastAsia="Times New Roman" w:hAnsi="Times New Roman"/>
          <w:sz w:val="19"/>
          <w:szCs w:val="19"/>
          <w:u w:val="single" w:color="auto"/>
          <w:color w:val="auto"/>
        </w:rPr>
        <w:t>Section</w:t>
      </w:r>
    </w:p>
    <w:p>
      <w:pPr>
        <w:spacing w:after="0" w:line="1" w:lineRule="exact"/>
        <w:rPr>
          <w:rFonts w:ascii="Times New Roman" w:cs="Times New Roman" w:eastAsia="Times New Roman" w:hAnsi="Times New Roman"/>
          <w:sz w:val="19"/>
          <w:szCs w:val="19"/>
          <w:color w:val="auto"/>
        </w:rPr>
      </w:pPr>
    </w:p>
    <w:p>
      <w:pPr>
        <w:ind w:left="64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5.12(b)(ii)(B)</w:t>
      </w:r>
      <w:r>
        <w:rPr>
          <w:rFonts w:ascii="Times New Roman" w:cs="Times New Roman" w:eastAsia="Times New Roman" w:hAnsi="Times New Roman"/>
          <w:sz w:val="19"/>
          <w:szCs w:val="19"/>
          <w:color w:val="auto"/>
        </w:rPr>
        <w:t xml:space="preserve"> be independently valued by an Approved Third-Party Appraiser retained by the Administrative Agent. There shall be no limit on the number of such appraisals requested by the Administrative Agent and the reasonable and documented out-of-pocket costs of any such valuation shall be at the expense of the</w:t>
      </w:r>
    </w:p>
    <w:p>
      <w:pPr>
        <w:spacing w:after="0" w:line="15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545465</wp:posOffset>
            </wp:positionV>
            <wp:extent cx="673290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198" w:name="page199"/>
    <w:bookmarkEnd w:id="198"/>
    <w:p>
      <w:pPr>
        <w:spacing w:after="0" w:line="269" w:lineRule="exact"/>
        <w:rPr>
          <w:sz w:val="20"/>
          <w:szCs w:val="20"/>
          <w:color w:val="auto"/>
        </w:rPr>
      </w:pPr>
    </w:p>
    <w:p>
      <w:pPr>
        <w:ind w:left="1420" w:right="60"/>
        <w:spacing w:after="0" w:line="252" w:lineRule="auto"/>
        <w:rPr>
          <w:sz w:val="20"/>
          <w:szCs w:val="20"/>
          <w:color w:val="auto"/>
        </w:rPr>
      </w:pPr>
      <w:r>
        <w:rPr>
          <w:rFonts w:ascii="Times New Roman" w:cs="Times New Roman" w:eastAsia="Times New Roman" w:hAnsi="Times New Roman"/>
          <w:sz w:val="19"/>
          <w:szCs w:val="19"/>
          <w:color w:val="auto"/>
        </w:rPr>
        <w:t xml:space="preserve">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the applicable Approved Third-Party Appraiser shall use commercially reasonable efforts to ensure that an appraisal shall be conducted in a manner that is not disruptive to the Borrower’s business, (y) the values determined by any appraisal shall be treated as confidential information by the Administrative Agent and the Lenders and shall be deemed to be “Information” hereunder and subject to </w:t>
      </w:r>
      <w:r>
        <w:rPr>
          <w:rFonts w:ascii="Times New Roman" w:cs="Times New Roman" w:eastAsia="Times New Roman" w:hAnsi="Times New Roman"/>
          <w:sz w:val="19"/>
          <w:szCs w:val="19"/>
          <w:u w:val="single" w:color="auto"/>
          <w:color w:val="auto"/>
        </w:rPr>
        <w:t>Section 9.13</w:t>
      </w:r>
      <w:r>
        <w:rPr>
          <w:rFonts w:ascii="Times New Roman" w:cs="Times New Roman" w:eastAsia="Times New Roman" w:hAnsi="Times New Roman"/>
          <w:sz w:val="19"/>
          <w:szCs w:val="19"/>
          <w:color w:val="auto"/>
        </w:rPr>
        <w:t xml:space="preserve"> and (z) unless an Event of Default has occurred and is continuing, the Borrower’s obligation to reimburse valuation costs pursuant to this supplemental testing shall be limited to the greater of (i) $200,000 and (ii) 0.05% of the total amount of the Commitments, per annum. The Administrative Agent shall notify the Borrower of its receipt of the results of any appraisal under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from the applicable Approved Third-Party Appraiser and provide a copy of such results and any related reports to the Borrower. If the difference between the Borrower’s valuation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5.12(b)(ii)(B)</w:t>
      </w:r>
      <w:r>
        <w:rPr>
          <w:rFonts w:ascii="Times New Roman" w:cs="Times New Roman" w:eastAsia="Times New Roman" w:hAnsi="Times New Roman"/>
          <w:sz w:val="19"/>
          <w:szCs w:val="19"/>
          <w:color w:val="auto"/>
        </w:rPr>
        <w:t xml:space="preserve"> and the valuation of any Approved Third-Party Appraiser retained by the Administrative Agent pursuant to </w:t>
      </w:r>
      <w:r>
        <w:rPr>
          <w:rFonts w:ascii="Times New Roman" w:cs="Times New Roman" w:eastAsia="Times New Roman" w:hAnsi="Times New Roman"/>
          <w:sz w:val="19"/>
          <w:szCs w:val="19"/>
          <w:u w:val="single" w:color="auto"/>
          <w:color w:val="auto"/>
        </w:rPr>
        <w:t>Section 5.12(b)(ii)(E)</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retain an additional Approved Third-Party Appraiser and the valuation of such Portfolio Investment shall be the average of the three valuations (with the Administrative Agent’s Approved Third-Party Appraiser’s valuation to be used until the third valuation is obtained). For the avoidance of doubt, such supplemental values shall be applicable only to and used only for determining value under this Agreement and shall not be deemed fair value of such asset under ASC 820 for purposes of the Borrower’s financial statements, the Investment Company Act or otherwise.</w:t>
      </w:r>
    </w:p>
    <w:p>
      <w:pPr>
        <w:spacing w:after="0" w:line="395" w:lineRule="exact"/>
        <w:rPr>
          <w:sz w:val="20"/>
          <w:szCs w:val="20"/>
          <w:color w:val="auto"/>
        </w:rPr>
      </w:pPr>
    </w:p>
    <w:p>
      <w:pPr>
        <w:ind w:right="160" w:firstLine="1410"/>
        <w:spacing w:after="0" w:line="259" w:lineRule="auto"/>
        <w:tabs>
          <w:tab w:leader="none" w:pos="1668"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Investment Company Diversification and Tax Requirements</w:t>
      </w:r>
      <w:r>
        <w:rPr>
          <w:rFonts w:ascii="Times New Roman" w:cs="Times New Roman" w:eastAsia="Times New Roman" w:hAnsi="Times New Roman"/>
          <w:sz w:val="19"/>
          <w:szCs w:val="19"/>
          <w:color w:val="auto"/>
        </w:rPr>
        <w:t>. The Borrower will, and will cause its Subsidiaries (other than Financing Subsidiaries that are exempt from the Investment Company Act) at all times to (i) comply in all material respects with the portfolio diversification and similar requirements set forth in the Investment Company Act applicable to business development companies and (ii) subject to applicable grace periods set forth in the Code, comply with the portfolio diversification and similar requirements set forth in the Code applicable to RICs.</w:t>
      </w:r>
    </w:p>
    <w:p>
      <w:pPr>
        <w:spacing w:after="0" w:line="153" w:lineRule="exact"/>
        <w:rPr>
          <w:rFonts w:ascii="Times New Roman" w:cs="Times New Roman" w:eastAsia="Times New Roman" w:hAnsi="Times New Roman"/>
          <w:sz w:val="19"/>
          <w:szCs w:val="19"/>
          <w:color w:val="auto"/>
        </w:rPr>
      </w:pPr>
    </w:p>
    <w:p>
      <w:pPr>
        <w:ind w:firstLine="1410"/>
        <w:spacing w:after="0" w:line="256" w:lineRule="auto"/>
        <w:tabs>
          <w:tab w:leader="none" w:pos="1680"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Commitments under Portfolio Investments</w:t>
      </w:r>
      <w:r>
        <w:rPr>
          <w:rFonts w:ascii="Times New Roman" w:cs="Times New Roman" w:eastAsia="Times New Roman" w:hAnsi="Times New Roman"/>
          <w:sz w:val="19"/>
          <w:szCs w:val="19"/>
          <w:color w:val="auto"/>
        </w:rPr>
        <w:t>. The Borrower will, and will cause its Subsidiaries to, acquire Portfolio Investments (it being understood that neither (x) the receipt of Portfolio Investments as part of a restructuring or workout nor (y) any new or additional borrowing under an existing Portfolio Investment shall constitute an “acquisition” of such Portfolio Investments) constituting revolving credit facilities or delayed draw term loans with revolving or future commitments only if the aggregate commitments or future commitments under such revolving credit facilities or delayed draw term loans (excluding discretionary future commitments, such as accordions and commitment increase options) does not exceed (i) prior to the Extended Commitment Termination Date, 20% of the aggregate Commitment amount at the</w:t>
      </w:r>
    </w:p>
    <w:p>
      <w:pPr>
        <w:spacing w:after="0" w:line="15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9" w:name="page200"/>
    <w:bookmarkEnd w:id="199"/>
    <w:p>
      <w:pPr>
        <w:spacing w:after="0" w:line="26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color w:val="auto"/>
        </w:rPr>
        <w:t>time of acquisition and (ii) following the Extended Commitment Termination Date, 20% of the Revolving Credit Exposure at the time of acquisition.</w:t>
      </w:r>
    </w:p>
    <w:p>
      <w:pPr>
        <w:spacing w:after="0" w:line="127" w:lineRule="exact"/>
        <w:rPr>
          <w:sz w:val="20"/>
          <w:szCs w:val="20"/>
          <w:color w:val="auto"/>
        </w:rPr>
      </w:pPr>
    </w:p>
    <w:p>
      <w:pPr>
        <w:ind w:right="100" w:firstLine="1404"/>
        <w:spacing w:after="0" w:line="262" w:lineRule="auto"/>
        <w:rPr>
          <w:sz w:val="20"/>
          <w:szCs w:val="20"/>
          <w:color w:val="auto"/>
        </w:rPr>
      </w:pPr>
      <w:r>
        <w:rPr>
          <w:rFonts w:ascii="Times New Roman" w:cs="Times New Roman" w:eastAsia="Times New Roman" w:hAnsi="Times New Roman"/>
          <w:sz w:val="19"/>
          <w:szCs w:val="19"/>
          <w:color w:val="auto"/>
        </w:rPr>
        <w:t xml:space="preserve">SECTION 5.13. </w:t>
      </w:r>
      <w:r>
        <w:rPr>
          <w:rFonts w:ascii="Times New Roman" w:cs="Times New Roman" w:eastAsia="Times New Roman" w:hAnsi="Times New Roman"/>
          <w:sz w:val="19"/>
          <w:szCs w:val="19"/>
          <w:u w:val="single" w:color="auto"/>
          <w:color w:val="auto"/>
        </w:rPr>
        <w:t>Calculation of Borrowing Base</w:t>
      </w:r>
      <w:r>
        <w:rPr>
          <w:rFonts w:ascii="Times New Roman" w:cs="Times New Roman" w:eastAsia="Times New Roman" w:hAnsi="Times New Roman"/>
          <w:sz w:val="19"/>
          <w:szCs w:val="19"/>
          <w:color w:val="auto"/>
        </w:rPr>
        <w:t>. For purposes of this Agreement, the “</w:t>
      </w:r>
      <w:r>
        <w:rPr>
          <w:rFonts w:ascii="Times New Roman" w:cs="Times New Roman" w:eastAsia="Times New Roman" w:hAnsi="Times New Roman"/>
          <w:sz w:val="19"/>
          <w:szCs w:val="19"/>
          <w:u w:val="single" w:color="auto"/>
          <w:color w:val="auto"/>
        </w:rPr>
        <w:t>Borrowing Base</w:t>
      </w:r>
      <w:r>
        <w:rPr>
          <w:rFonts w:ascii="Times New Roman" w:cs="Times New Roman" w:eastAsia="Times New Roman" w:hAnsi="Times New Roman"/>
          <w:sz w:val="19"/>
          <w:szCs w:val="19"/>
          <w:color w:val="auto"/>
        </w:rPr>
        <w:t xml:space="preserve">” shall be determined, as at any date of determination, as the sum of the products of the Advance Rates and the Value of each Portfolio Investment (excluding any Cash Collateral held by the Administrative Agent pursuant to </w:t>
      </w:r>
      <w:r>
        <w:rPr>
          <w:rFonts w:ascii="Times New Roman" w:cs="Times New Roman" w:eastAsia="Times New Roman" w:hAnsi="Times New Roman"/>
          <w:sz w:val="19"/>
          <w:szCs w:val="19"/>
          <w:u w:val="single" w:color="auto"/>
          <w:color w:val="auto"/>
        </w:rPr>
        <w:t>Section 2.05(k)</w:t>
      </w:r>
      <w:r>
        <w:rPr>
          <w:rFonts w:ascii="Times New Roman" w:cs="Times New Roman" w:eastAsia="Times New Roman" w:hAnsi="Times New Roman"/>
          <w:sz w:val="19"/>
          <w:szCs w:val="19"/>
          <w:color w:val="auto"/>
        </w:rPr>
        <w:t xml:space="preserve"> or the last paragraph of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50" w:lineRule="exact"/>
        <w:rPr>
          <w:sz w:val="20"/>
          <w:szCs w:val="20"/>
          <w:color w:val="auto"/>
        </w:rPr>
      </w:pPr>
    </w:p>
    <w:p>
      <w:pPr>
        <w:ind w:firstLine="1410"/>
        <w:spacing w:after="0" w:line="257" w:lineRule="auto"/>
        <w:tabs>
          <w:tab w:leader="none" w:pos="1665"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Advance Rate applicable to that portion of the aggregate Value of the Portfolio Investments in a consolidated group of corporations or other entities (collectively, a “</w:t>
      </w:r>
      <w:r>
        <w:rPr>
          <w:rFonts w:ascii="Times New Roman" w:cs="Times New Roman" w:eastAsia="Times New Roman" w:hAnsi="Times New Roman"/>
          <w:sz w:val="19"/>
          <w:szCs w:val="19"/>
          <w:u w:val="single" w:color="auto"/>
          <w:color w:val="auto"/>
        </w:rPr>
        <w:t>Consolidated Group</w:t>
      </w:r>
      <w:r>
        <w:rPr>
          <w:rFonts w:ascii="Times New Roman" w:cs="Times New Roman" w:eastAsia="Times New Roman" w:hAnsi="Times New Roman"/>
          <w:sz w:val="19"/>
          <w:szCs w:val="19"/>
          <w:color w:val="auto"/>
        </w:rPr>
        <w:t xml:space="preserve">”), in accordance with GAAP, that exceeds 6% of the Value of all Portfolio Investments in the Collateral Pool (other than Portfolio Investments for which the Advance Rate is 0%) shall be 50% of the Advance Rate otherwise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all times prior to the 18 month anniversary of the Second Amendment Effective Date, with respect to the Value of Portfolio Investments in a single Consolidated Group designated by the Borrower to the Administrative Agent such 6% figure shall be increased to 10%;</w:t>
      </w:r>
    </w:p>
    <w:p>
      <w:pPr>
        <w:spacing w:after="0" w:line="156" w:lineRule="exact"/>
        <w:rPr>
          <w:rFonts w:ascii="Times New Roman" w:cs="Times New Roman" w:eastAsia="Times New Roman" w:hAnsi="Times New Roman"/>
          <w:sz w:val="19"/>
          <w:szCs w:val="19"/>
          <w:color w:val="auto"/>
        </w:rPr>
      </w:pPr>
    </w:p>
    <w:p>
      <w:pPr>
        <w:ind w:right="60" w:firstLine="1410"/>
        <w:spacing w:after="0" w:line="268" w:lineRule="auto"/>
        <w:tabs>
          <w:tab w:leader="none" w:pos="1676"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Advance Rate applicable to that portion of the aggregate Value of the Portfolio Investments of all issuers in a Consolidated Group exceeding 12% of the Value of all Portfolio Investments in the Collateral Pool (other than Portfolio Investments for which the Advance Rate is 0%) shall be 0%;</w:t>
      </w:r>
    </w:p>
    <w:p>
      <w:pPr>
        <w:spacing w:after="0" w:line="144" w:lineRule="exact"/>
        <w:rPr>
          <w:rFonts w:ascii="Times New Roman" w:cs="Times New Roman" w:eastAsia="Times New Roman" w:hAnsi="Times New Roman"/>
          <w:sz w:val="19"/>
          <w:szCs w:val="19"/>
          <w:color w:val="auto"/>
        </w:rPr>
      </w:pPr>
    </w:p>
    <w:p>
      <w:pPr>
        <w:ind w:right="20" w:firstLine="1410"/>
        <w:spacing w:after="0" w:line="256" w:lineRule="auto"/>
        <w:tabs>
          <w:tab w:leader="none" w:pos="1665"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Advance Rate applicable to that portion of the aggregate Value of the Portfolio Investments in any single Industry Classification Group that exceeds 15% of the Value of all Portfolio Investments in the Collateral Pool (other than Portfolio Investments for which the Advance Rate is 0%) shall be 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the Value of Portfolio Investments in a single Industry Classification Group from time to time designated by the Borrower to the Administrative Agent such 15% figure shall be increased to 25% and, accordingly, only to the extent that the Value of Portfolio Investments in such single Industry Classification Group exceeds 25% of the Value of all Portfolio Investments in the Collateral Pool (other than Portfolio Investments for which the Advance Rate is 0%) shall the Advance Rate applicable to such excess Value be 0%;</w:t>
      </w:r>
    </w:p>
    <w:p>
      <w:pPr>
        <w:spacing w:after="0" w:line="157" w:lineRule="exact"/>
        <w:rPr>
          <w:rFonts w:ascii="Times New Roman" w:cs="Times New Roman" w:eastAsia="Times New Roman" w:hAnsi="Times New Roman"/>
          <w:sz w:val="19"/>
          <w:szCs w:val="19"/>
          <w:color w:val="auto"/>
        </w:rPr>
      </w:pPr>
    </w:p>
    <w:p>
      <w:pPr>
        <w:ind w:right="180" w:firstLine="1410"/>
        <w:spacing w:after="0" w:line="262" w:lineRule="auto"/>
        <w:tabs>
          <w:tab w:leader="none" w:pos="1676"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50" w:lineRule="exact"/>
        <w:rPr>
          <w:rFonts w:ascii="Times New Roman" w:cs="Times New Roman" w:eastAsia="Times New Roman" w:hAnsi="Times New Roman"/>
          <w:sz w:val="19"/>
          <w:szCs w:val="19"/>
          <w:color w:val="auto"/>
        </w:rPr>
      </w:pPr>
    </w:p>
    <w:p>
      <w:pPr>
        <w:ind w:right="400" w:firstLine="1410"/>
        <w:spacing w:after="0" w:line="286" w:lineRule="auto"/>
        <w:tabs>
          <w:tab w:leader="none" w:pos="1665"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portion of the Borrowing Base attributable to Performing Non-Cash Pay High Yield Securities, Performing Non-Cash Pay Mezzanine Investments, Equity Interests and Non-Performing Portfolio Investments shall not exceed 20%;</w:t>
      </w:r>
    </w:p>
    <w:p>
      <w:pPr>
        <w:spacing w:after="0" w:line="127" w:lineRule="exact"/>
        <w:rPr>
          <w:rFonts w:ascii="Times New Roman" w:cs="Times New Roman" w:eastAsia="Times New Roman" w:hAnsi="Times New Roman"/>
          <w:sz w:val="19"/>
          <w:szCs w:val="19"/>
          <w:color w:val="auto"/>
        </w:rPr>
      </w:pPr>
    </w:p>
    <w:p>
      <w:pPr>
        <w:ind w:right="160" w:firstLine="1410"/>
        <w:spacing w:after="0" w:line="286" w:lineRule="auto"/>
        <w:tabs>
          <w:tab w:leader="none" w:pos="1644"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portion of the Borrowing Base attributable to Non-Performing Portfolio Investments shall not exceed 15% and the portion of the Borrowing Base attributable to Portfolio</w:t>
      </w:r>
    </w:p>
    <w:p>
      <w:pPr>
        <w:spacing w:after="0" w:line="12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0" w:name="page201"/>
    <w:bookmarkEnd w:id="200"/>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Investments that were Non-Performing Portfolio Investments at the time such Portfolio Investments were acquired shall not exceed 5%;</w:t>
      </w:r>
    </w:p>
    <w:p>
      <w:pPr>
        <w:spacing w:after="0" w:line="202" w:lineRule="exact"/>
        <w:rPr>
          <w:sz w:val="20"/>
          <w:szCs w:val="20"/>
          <w:color w:val="auto"/>
        </w:rPr>
      </w:pPr>
    </w:p>
    <w:p>
      <w:pPr>
        <w:ind w:right="60" w:firstLine="1410"/>
        <w:spacing w:after="0" w:line="286" w:lineRule="auto"/>
        <w:tabs>
          <w:tab w:leader="none" w:pos="1676"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portion of the Borrowing Base attributable to Equity Interests shall not exceed 10% (it being understood that in no event shall Equity Interests of Financing Subsidiaries be included in the Borrowing Base);</w:t>
      </w:r>
    </w:p>
    <w:p>
      <w:pPr>
        <w:spacing w:after="0" w:line="127" w:lineRule="exact"/>
        <w:rPr>
          <w:rFonts w:ascii="Times New Roman" w:cs="Times New Roman" w:eastAsia="Times New Roman" w:hAnsi="Times New Roman"/>
          <w:sz w:val="19"/>
          <w:szCs w:val="19"/>
          <w:color w:val="auto"/>
        </w:rPr>
      </w:pPr>
    </w:p>
    <w:p>
      <w:pPr>
        <w:ind w:right="220" w:firstLine="1410"/>
        <w:spacing w:after="0" w:line="262" w:lineRule="auto"/>
        <w:tabs>
          <w:tab w:leader="none" w:pos="1676"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portion of the Borrowing Base attributable to Portfolio Investments invested in a jurisdiction other than a Specified Country or a Specified Tax Jurisdiction (solely to the extent the External Manager determines in good faith that a substantial portion of the assets, revenues, or operations supporting such Portfolio Investments are directly, or indirectly, made in a Specified Country) shall not exceed 0%;</w:t>
      </w:r>
    </w:p>
    <w:p>
      <w:pPr>
        <w:spacing w:after="0" w:line="150" w:lineRule="exact"/>
        <w:rPr>
          <w:rFonts w:ascii="Times New Roman" w:cs="Times New Roman" w:eastAsia="Times New Roman" w:hAnsi="Times New Roman"/>
          <w:sz w:val="19"/>
          <w:szCs w:val="19"/>
          <w:color w:val="auto"/>
        </w:rPr>
      </w:pPr>
    </w:p>
    <w:p>
      <w:pPr>
        <w:ind w:right="40" w:firstLine="1410"/>
        <w:spacing w:after="0" w:line="262" w:lineRule="auto"/>
        <w:tabs>
          <w:tab w:leader="none" w:pos="1634"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portion of the Borrowing Base attributable to Portfolio Investments invested in Australia, the Netherlands and any Specified Tax Jurisdiction (solely to the extent the External Manager determines in good faith that a substantial portion of the assets, revenues, or operations supporting such Portfolio Investments are directly, or indirectly, made in Australia or the Netherlands) shall not exceed 10%;</w:t>
      </w:r>
    </w:p>
    <w:p>
      <w:pPr>
        <w:spacing w:after="0" w:line="150" w:lineRule="exact"/>
        <w:rPr>
          <w:rFonts w:ascii="Times New Roman" w:cs="Times New Roman" w:eastAsia="Times New Roman" w:hAnsi="Times New Roman"/>
          <w:sz w:val="19"/>
          <w:szCs w:val="19"/>
          <w:color w:val="auto"/>
        </w:rPr>
      </w:pPr>
    </w:p>
    <w:p>
      <w:pPr>
        <w:ind w:right="40" w:firstLine="1410"/>
        <w:spacing w:after="0" w:line="262" w:lineRule="auto"/>
        <w:tabs>
          <w:tab w:leader="none" w:pos="1634"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portion of the Borrowing Base attributable to Portfolio Investments invested in Ireland, Germany, Spain, Sweden, Austria, Belgium, Denmark, Finland, Iceland, Lichtenstein, Luxembourg, Norway and any Specified Tax Jurisdiction (solely to the extent the External Manager determines in good faith that a substantial portion of the assets, revenues, or operations supporting such Portfolio Investments are directly, or indirectly, made in one of the other jurisdictions listed in this </w:t>
      </w:r>
      <w:r>
        <w:rPr>
          <w:rFonts w:ascii="Times New Roman" w:cs="Times New Roman" w:eastAsia="Times New Roman" w:hAnsi="Times New Roman"/>
          <w:sz w:val="19"/>
          <w:szCs w:val="19"/>
          <w:u w:val="single" w:color="auto"/>
          <w:color w:val="auto"/>
        </w:rPr>
        <w:t>clause (j)</w:t>
      </w:r>
      <w:r>
        <w:rPr>
          <w:rFonts w:ascii="Times New Roman" w:cs="Times New Roman" w:eastAsia="Times New Roman" w:hAnsi="Times New Roman"/>
          <w:sz w:val="19"/>
          <w:szCs w:val="19"/>
          <w:color w:val="auto"/>
        </w:rPr>
        <w:t>) shall not exceed 7.5%;</w:t>
      </w:r>
    </w:p>
    <w:p>
      <w:pPr>
        <w:spacing w:after="0" w:line="150" w:lineRule="exact"/>
        <w:rPr>
          <w:rFonts w:ascii="Times New Roman" w:cs="Times New Roman" w:eastAsia="Times New Roman" w:hAnsi="Times New Roman"/>
          <w:sz w:val="19"/>
          <w:szCs w:val="19"/>
          <w:color w:val="auto"/>
        </w:rPr>
      </w:pPr>
    </w:p>
    <w:p>
      <w:pPr>
        <w:ind w:right="200" w:firstLine="1410"/>
        <w:spacing w:after="0" w:line="268" w:lineRule="auto"/>
        <w:tabs>
          <w:tab w:leader="none" w:pos="1676"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the Borrower Asset Coverage Ratio is greater than or equal to 2.00 to 1:00, but less than 2.25 to 1.00, the portion of the Borrowing Base attributable to Portfolio Investments other than Performing First Lien Bank Loans shall not exceed 62.5%; and</w:t>
      </w:r>
    </w:p>
    <w:p>
      <w:pPr>
        <w:spacing w:after="0" w:line="144" w:lineRule="exact"/>
        <w:rPr>
          <w:rFonts w:ascii="Times New Roman" w:cs="Times New Roman" w:eastAsia="Times New Roman" w:hAnsi="Times New Roman"/>
          <w:sz w:val="19"/>
          <w:szCs w:val="19"/>
          <w:color w:val="auto"/>
        </w:rPr>
      </w:pPr>
    </w:p>
    <w:p>
      <w:pPr>
        <w:ind w:firstLine="1410"/>
        <w:spacing w:after="0" w:line="286" w:lineRule="auto"/>
        <w:tabs>
          <w:tab w:leader="none" w:pos="1634"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the Borrower Asset Coverage Ratio is greater than or equal to 2.25 to 1:00, the portion of the Borrowing Base attributable to Portfolio Investments other than Performing First Lien Bank Loans shall not exceed 67.5%.</w:t>
      </w:r>
    </w:p>
    <w:p>
      <w:pPr>
        <w:spacing w:after="0" w:line="127"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9"/>
          <w:szCs w:val="19"/>
          <w:color w:val="auto"/>
        </w:rPr>
        <w:t xml:space="preserve">To the extent any Portfolio Investment is required to be removed from the Borrowing Base to comply with any of the portfolio limitations set forth in this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the Borrower shall be permitted to choose the Portfolio Investments, or portions of such Portfolio Investments, to be so removed to effect such compliance. As used herein, the following terms have the following meanings: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Advance Rate</w:t>
      </w:r>
      <w:r>
        <w:rPr>
          <w:rFonts w:ascii="Times New Roman" w:cs="Times New Roman" w:eastAsia="Times New Roman" w:hAnsi="Times New Roman"/>
          <w:sz w:val="19"/>
          <w:szCs w:val="19"/>
          <w:color w:val="auto"/>
        </w:rPr>
        <w:t xml:space="preserve">” means, as to any Portfolio Investment and subject to adjustment as provided in </w:t>
      </w:r>
      <w:r>
        <w:rPr>
          <w:rFonts w:ascii="Times New Roman" w:cs="Times New Roman" w:eastAsia="Times New Roman" w:hAnsi="Times New Roman"/>
          <w:sz w:val="19"/>
          <w:szCs w:val="19"/>
          <w:u w:val="single" w:color="auto"/>
          <w:color w:val="auto"/>
        </w:rPr>
        <w:t>Section 5.13(a)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the following percentages with respect to such Portfolio Investment:</w:t>
      </w:r>
    </w:p>
    <w:p>
      <w:pPr>
        <w:spacing w:after="0" w:line="202" w:lineRule="exact"/>
        <w:rPr>
          <w:sz w:val="20"/>
          <w:szCs w:val="20"/>
          <w:color w:val="auto"/>
        </w:rPr>
      </w:pPr>
    </w:p>
    <w:tbl>
      <w:tblPr>
        <w:tblLayout w:type="fixed"/>
        <w:tblInd w:w="1060" w:type="dxa"/>
        <w:tblCellMar>
          <w:top w:w="0" w:type="dxa"/>
          <w:left w:w="0" w:type="dxa"/>
          <w:bottom w:w="0" w:type="dxa"/>
          <w:right w:w="0" w:type="dxa"/>
        </w:tblCellMar>
      </w:tblPr>
      <w:tr>
        <w:trPr>
          <w:trHeight w:val="218"/>
        </w:trPr>
        <w:tc>
          <w:tcPr>
            <w:tcW w:w="21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Portfolio Investment</w:t>
            </w:r>
          </w:p>
        </w:tc>
        <w:tc>
          <w:tcPr>
            <w:tcW w:w="17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Quoted</w:t>
            </w:r>
          </w:p>
        </w:tc>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Unquoted</w:t>
            </w:r>
          </w:p>
        </w:tc>
      </w:tr>
      <w:tr>
        <w:trPr>
          <w:trHeight w:val="255"/>
        </w:trPr>
        <w:tc>
          <w:tcPr>
            <w:tcW w:w="2180" w:type="dxa"/>
            <w:vAlign w:val="bottom"/>
          </w:tcPr>
          <w:p>
            <w:pPr>
              <w:spacing w:after="0"/>
              <w:rPr>
                <w:sz w:val="20"/>
                <w:szCs w:val="20"/>
                <w:color w:val="auto"/>
              </w:rPr>
            </w:pPr>
            <w:r>
              <w:rPr>
                <w:rFonts w:ascii="Times New Roman" w:cs="Times New Roman" w:eastAsia="Times New Roman" w:hAnsi="Times New Roman"/>
                <w:sz w:val="19"/>
                <w:szCs w:val="19"/>
                <w:color w:val="auto"/>
              </w:rPr>
              <w:t>Cash, Cash Equivalents and</w:t>
            </w:r>
          </w:p>
        </w:tc>
        <w:tc>
          <w:tcPr>
            <w:tcW w:w="1580" w:type="dxa"/>
            <w:vAlign w:val="bottom"/>
            <w:tcBorders>
              <w:top w:val="single" w:sz="8" w:color="auto"/>
            </w:tcBorders>
          </w:tcPr>
          <w:p>
            <w:pPr>
              <w:spacing w:after="0"/>
              <w:rPr>
                <w:sz w:val="22"/>
                <w:szCs w:val="22"/>
                <w:color w:val="auto"/>
              </w:rPr>
            </w:pPr>
          </w:p>
        </w:tc>
        <w:tc>
          <w:tcPr>
            <w:tcW w:w="266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r>
      <w:tr>
        <w:trPr>
          <w:trHeight w:val="251"/>
        </w:trPr>
        <w:tc>
          <w:tcPr>
            <w:tcW w:w="642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Short-Term U.S. Government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116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n.a.</w:t>
            </w:r>
          </w:p>
        </w:tc>
      </w:tr>
      <w:tr>
        <w:trPr>
          <w:trHeight w:val="252"/>
        </w:trPr>
        <w:tc>
          <w:tcPr>
            <w:tcW w:w="64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Long-Term U.S. Government Securities</w:t>
            </w: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rPr>
              <w:t>95%</w:t>
            </w:r>
          </w:p>
        </w:tc>
        <w:tc>
          <w:tcPr>
            <w:tcW w:w="116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n.a.</w:t>
            </w:r>
          </w:p>
        </w:tc>
      </w:tr>
    </w:tbl>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1" w:name="page202"/>
    <w:bookmarkEnd w:id="201"/>
    <w:p>
      <w:pPr>
        <w:spacing w:after="0" w:line="305" w:lineRule="exact"/>
        <w:rPr>
          <w:sz w:val="20"/>
          <w:szCs w:val="20"/>
          <w:color w:val="auto"/>
        </w:rPr>
      </w:pPr>
    </w:p>
    <w:tbl>
      <w:tblPr>
        <w:tblLayout w:type="fixed"/>
        <w:tblInd w:w="1060" w:type="dxa"/>
        <w:tblCellMar>
          <w:top w:w="0" w:type="dxa"/>
          <w:left w:w="0" w:type="dxa"/>
          <w:bottom w:w="0" w:type="dxa"/>
          <w:right w:w="0" w:type="dxa"/>
        </w:tblCellMar>
      </w:tblPr>
      <w:tr>
        <w:trPr>
          <w:trHeight w:val="251"/>
        </w:trPr>
        <w:tc>
          <w:tcPr>
            <w:tcW w:w="5240" w:type="dxa"/>
            <w:vAlign w:val="bottom"/>
          </w:tcPr>
          <w:p>
            <w:pPr>
              <w:spacing w:after="0"/>
              <w:rPr>
                <w:sz w:val="20"/>
                <w:szCs w:val="20"/>
                <w:color w:val="auto"/>
              </w:rPr>
            </w:pPr>
            <w:r>
              <w:rPr>
                <w:rFonts w:ascii="Times New Roman" w:cs="Times New Roman" w:eastAsia="Times New Roman" w:hAnsi="Times New Roman"/>
                <w:sz w:val="19"/>
                <w:szCs w:val="19"/>
                <w:color w:val="auto"/>
              </w:rPr>
              <w:t>Performing First Lien Bank Loans</w:t>
            </w:r>
          </w:p>
        </w:tc>
        <w:tc>
          <w:tcPr>
            <w:tcW w:w="238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rPr>
              <w:t>85%</w:t>
            </w:r>
          </w:p>
        </w:tc>
        <w:tc>
          <w:tcPr>
            <w:tcW w:w="108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75%</w:t>
            </w:r>
          </w:p>
        </w:tc>
      </w:tr>
      <w:tr>
        <w:trPr>
          <w:trHeight w:val="252"/>
        </w:trPr>
        <w:tc>
          <w:tcPr>
            <w:tcW w:w="5240" w:type="dxa"/>
            <w:vAlign w:val="bottom"/>
          </w:tcPr>
          <w:p>
            <w:pPr>
              <w:spacing w:after="0"/>
              <w:rPr>
                <w:sz w:val="20"/>
                <w:szCs w:val="20"/>
                <w:color w:val="auto"/>
              </w:rPr>
            </w:pPr>
            <w:r>
              <w:rPr>
                <w:rFonts w:ascii="Times New Roman" w:cs="Times New Roman" w:eastAsia="Times New Roman" w:hAnsi="Times New Roman"/>
                <w:sz w:val="19"/>
                <w:szCs w:val="19"/>
                <w:color w:val="auto"/>
              </w:rPr>
              <w:t>Performing Unitranche Loans</w:t>
            </w:r>
          </w:p>
        </w:tc>
        <w:tc>
          <w:tcPr>
            <w:tcW w:w="238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rPr>
              <w:t>80%</w:t>
            </w:r>
          </w:p>
        </w:tc>
        <w:tc>
          <w:tcPr>
            <w:tcW w:w="108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70%</w:t>
            </w:r>
          </w:p>
        </w:tc>
      </w:tr>
      <w:tr>
        <w:trPr>
          <w:trHeight w:val="252"/>
        </w:trPr>
        <w:tc>
          <w:tcPr>
            <w:tcW w:w="5240" w:type="dxa"/>
            <w:vAlign w:val="bottom"/>
          </w:tcPr>
          <w:p>
            <w:pPr>
              <w:spacing w:after="0"/>
              <w:rPr>
                <w:sz w:val="20"/>
                <w:szCs w:val="20"/>
                <w:color w:val="auto"/>
              </w:rPr>
            </w:pPr>
            <w:r>
              <w:rPr>
                <w:rFonts w:ascii="Times New Roman" w:cs="Times New Roman" w:eastAsia="Times New Roman" w:hAnsi="Times New Roman"/>
                <w:sz w:val="19"/>
                <w:szCs w:val="19"/>
                <w:color w:val="auto"/>
              </w:rPr>
              <w:t>Performing Second Lien Bank Loans</w:t>
            </w:r>
          </w:p>
        </w:tc>
        <w:tc>
          <w:tcPr>
            <w:tcW w:w="238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rPr>
              <w:t>75%</w:t>
            </w:r>
          </w:p>
        </w:tc>
        <w:tc>
          <w:tcPr>
            <w:tcW w:w="108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65%</w:t>
            </w:r>
          </w:p>
        </w:tc>
      </w:tr>
      <w:tr>
        <w:trPr>
          <w:trHeight w:val="252"/>
        </w:trPr>
        <w:tc>
          <w:tcPr>
            <w:tcW w:w="5240" w:type="dxa"/>
            <w:vAlign w:val="bottom"/>
          </w:tcPr>
          <w:p>
            <w:pPr>
              <w:spacing w:after="0"/>
              <w:rPr>
                <w:sz w:val="20"/>
                <w:szCs w:val="20"/>
                <w:color w:val="auto"/>
              </w:rPr>
            </w:pPr>
            <w:r>
              <w:rPr>
                <w:rFonts w:ascii="Times New Roman" w:cs="Times New Roman" w:eastAsia="Times New Roman" w:hAnsi="Times New Roman"/>
                <w:sz w:val="19"/>
                <w:szCs w:val="19"/>
                <w:color w:val="auto"/>
              </w:rPr>
              <w:t>Performing Cash Pay High Yield Securities</w:t>
            </w:r>
          </w:p>
        </w:tc>
        <w:tc>
          <w:tcPr>
            <w:tcW w:w="238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rPr>
              <w:t>70%</w:t>
            </w:r>
          </w:p>
        </w:tc>
        <w:tc>
          <w:tcPr>
            <w:tcW w:w="108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60%</w:t>
            </w:r>
          </w:p>
        </w:tc>
      </w:tr>
      <w:tr>
        <w:trPr>
          <w:trHeight w:val="252"/>
        </w:trPr>
        <w:tc>
          <w:tcPr>
            <w:tcW w:w="5240" w:type="dxa"/>
            <w:vAlign w:val="bottom"/>
          </w:tcPr>
          <w:p>
            <w:pPr>
              <w:spacing w:after="0"/>
              <w:rPr>
                <w:sz w:val="20"/>
                <w:szCs w:val="20"/>
                <w:color w:val="auto"/>
              </w:rPr>
            </w:pPr>
            <w:r>
              <w:rPr>
                <w:rFonts w:ascii="Times New Roman" w:cs="Times New Roman" w:eastAsia="Times New Roman" w:hAnsi="Times New Roman"/>
                <w:sz w:val="19"/>
                <w:szCs w:val="19"/>
                <w:color w:val="auto"/>
              </w:rPr>
              <w:t>Performing Cash Pay Mezzanine Investments</w:t>
            </w:r>
          </w:p>
        </w:tc>
        <w:tc>
          <w:tcPr>
            <w:tcW w:w="238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rPr>
              <w:t>65%</w:t>
            </w:r>
          </w:p>
        </w:tc>
        <w:tc>
          <w:tcPr>
            <w:tcW w:w="108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55%</w:t>
            </w:r>
          </w:p>
        </w:tc>
      </w:tr>
      <w:tr>
        <w:trPr>
          <w:trHeight w:val="252"/>
        </w:trPr>
        <w:tc>
          <w:tcPr>
            <w:tcW w:w="5240" w:type="dxa"/>
            <w:vAlign w:val="bottom"/>
          </w:tcPr>
          <w:p>
            <w:pPr>
              <w:spacing w:after="0"/>
              <w:rPr>
                <w:sz w:val="20"/>
                <w:szCs w:val="20"/>
                <w:color w:val="auto"/>
              </w:rPr>
            </w:pPr>
            <w:r>
              <w:rPr>
                <w:rFonts w:ascii="Times New Roman" w:cs="Times New Roman" w:eastAsia="Times New Roman" w:hAnsi="Times New Roman"/>
                <w:sz w:val="19"/>
                <w:szCs w:val="19"/>
                <w:color w:val="auto"/>
              </w:rPr>
              <w:t>Performing Non-Cash Pay High Yield Securities</w:t>
            </w:r>
          </w:p>
        </w:tc>
        <w:tc>
          <w:tcPr>
            <w:tcW w:w="238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rPr>
              <w:t>60%</w:t>
            </w:r>
          </w:p>
        </w:tc>
        <w:tc>
          <w:tcPr>
            <w:tcW w:w="108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50%</w:t>
            </w:r>
          </w:p>
        </w:tc>
      </w:tr>
      <w:tr>
        <w:trPr>
          <w:trHeight w:val="252"/>
        </w:trPr>
        <w:tc>
          <w:tcPr>
            <w:tcW w:w="5240" w:type="dxa"/>
            <w:vAlign w:val="bottom"/>
          </w:tcPr>
          <w:p>
            <w:pPr>
              <w:spacing w:after="0"/>
              <w:rPr>
                <w:sz w:val="20"/>
                <w:szCs w:val="20"/>
                <w:color w:val="auto"/>
              </w:rPr>
            </w:pPr>
            <w:r>
              <w:rPr>
                <w:rFonts w:ascii="Times New Roman" w:cs="Times New Roman" w:eastAsia="Times New Roman" w:hAnsi="Times New Roman"/>
                <w:sz w:val="19"/>
                <w:szCs w:val="19"/>
                <w:color w:val="auto"/>
              </w:rPr>
              <w:t>Performing Non-Cash Pay Mezzanine Investments</w:t>
            </w:r>
          </w:p>
        </w:tc>
        <w:tc>
          <w:tcPr>
            <w:tcW w:w="238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rPr>
              <w:t>55%</w:t>
            </w:r>
          </w:p>
        </w:tc>
        <w:tc>
          <w:tcPr>
            <w:tcW w:w="108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45%</w:t>
            </w:r>
          </w:p>
        </w:tc>
      </w:tr>
      <w:tr>
        <w:trPr>
          <w:trHeight w:val="252"/>
        </w:trPr>
        <w:tc>
          <w:tcPr>
            <w:tcW w:w="524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First Lien Bank Loans</w:t>
            </w:r>
          </w:p>
        </w:tc>
        <w:tc>
          <w:tcPr>
            <w:tcW w:w="238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rPr>
              <w:t>45%</w:t>
            </w:r>
          </w:p>
        </w:tc>
        <w:tc>
          <w:tcPr>
            <w:tcW w:w="108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45%</w:t>
            </w:r>
          </w:p>
        </w:tc>
      </w:tr>
      <w:tr>
        <w:trPr>
          <w:trHeight w:val="252"/>
        </w:trPr>
        <w:tc>
          <w:tcPr>
            <w:tcW w:w="524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Unitranche Loans</w:t>
            </w:r>
          </w:p>
        </w:tc>
        <w:tc>
          <w:tcPr>
            <w:tcW w:w="238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rPr>
              <w:t>40%</w:t>
            </w:r>
          </w:p>
        </w:tc>
        <w:tc>
          <w:tcPr>
            <w:tcW w:w="108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40%</w:t>
            </w:r>
          </w:p>
        </w:tc>
      </w:tr>
      <w:tr>
        <w:trPr>
          <w:trHeight w:val="252"/>
        </w:trPr>
        <w:tc>
          <w:tcPr>
            <w:tcW w:w="524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Second Lien Bank Loans</w:t>
            </w:r>
          </w:p>
        </w:tc>
        <w:tc>
          <w:tcPr>
            <w:tcW w:w="238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rPr>
              <w:t>40%</w:t>
            </w:r>
          </w:p>
        </w:tc>
        <w:tc>
          <w:tcPr>
            <w:tcW w:w="108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35%</w:t>
            </w:r>
          </w:p>
        </w:tc>
      </w:tr>
      <w:tr>
        <w:trPr>
          <w:trHeight w:val="252"/>
        </w:trPr>
        <w:tc>
          <w:tcPr>
            <w:tcW w:w="524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High Yield Securities</w:t>
            </w:r>
          </w:p>
        </w:tc>
        <w:tc>
          <w:tcPr>
            <w:tcW w:w="238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rPr>
              <w:t>30%</w:t>
            </w:r>
          </w:p>
        </w:tc>
        <w:tc>
          <w:tcPr>
            <w:tcW w:w="108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30%</w:t>
            </w:r>
          </w:p>
        </w:tc>
      </w:tr>
      <w:tr>
        <w:trPr>
          <w:trHeight w:val="252"/>
        </w:trPr>
        <w:tc>
          <w:tcPr>
            <w:tcW w:w="524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Mezzanine Investments</w:t>
            </w:r>
          </w:p>
        </w:tc>
        <w:tc>
          <w:tcPr>
            <w:tcW w:w="238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rPr>
              <w:t>30%</w:t>
            </w:r>
          </w:p>
        </w:tc>
        <w:tc>
          <w:tcPr>
            <w:tcW w:w="108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25%</w:t>
            </w:r>
          </w:p>
        </w:tc>
      </w:tr>
      <w:tr>
        <w:trPr>
          <w:trHeight w:val="252"/>
        </w:trPr>
        <w:tc>
          <w:tcPr>
            <w:tcW w:w="5240" w:type="dxa"/>
            <w:vAlign w:val="bottom"/>
          </w:tcPr>
          <w:p>
            <w:pPr>
              <w:spacing w:after="0"/>
              <w:rPr>
                <w:sz w:val="20"/>
                <w:szCs w:val="20"/>
                <w:color w:val="auto"/>
              </w:rPr>
            </w:pPr>
            <w:r>
              <w:rPr>
                <w:rFonts w:ascii="Times New Roman" w:cs="Times New Roman" w:eastAsia="Times New Roman" w:hAnsi="Times New Roman"/>
                <w:sz w:val="19"/>
                <w:szCs w:val="19"/>
                <w:color w:val="auto"/>
              </w:rPr>
              <w:t>Performing Common Equity</w:t>
            </w:r>
          </w:p>
        </w:tc>
        <w:tc>
          <w:tcPr>
            <w:tcW w:w="238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rPr>
              <w:t>30%</w:t>
            </w:r>
          </w:p>
        </w:tc>
        <w:tc>
          <w:tcPr>
            <w:tcW w:w="108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20%</w:t>
            </w:r>
          </w:p>
        </w:tc>
      </w:tr>
      <w:tr>
        <w:trPr>
          <w:trHeight w:val="252"/>
        </w:trPr>
        <w:tc>
          <w:tcPr>
            <w:tcW w:w="524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Common Equity</w:t>
            </w:r>
          </w:p>
        </w:tc>
        <w:tc>
          <w:tcPr>
            <w:tcW w:w="238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w w:val="94"/>
              </w:rPr>
              <w:t>0%</w:t>
            </w:r>
          </w:p>
        </w:tc>
        <w:tc>
          <w:tcPr>
            <w:tcW w:w="108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4"/>
              </w:rPr>
              <w:t>0%</w:t>
            </w:r>
          </w:p>
        </w:tc>
      </w:tr>
      <w:tr>
        <w:trPr>
          <w:trHeight w:val="252"/>
        </w:trPr>
        <w:tc>
          <w:tcPr>
            <w:tcW w:w="5240" w:type="dxa"/>
            <w:vAlign w:val="bottom"/>
          </w:tcPr>
          <w:p>
            <w:pPr>
              <w:spacing w:after="0"/>
              <w:rPr>
                <w:sz w:val="20"/>
                <w:szCs w:val="20"/>
                <w:color w:val="auto"/>
              </w:rPr>
            </w:pPr>
            <w:r>
              <w:rPr>
                <w:rFonts w:ascii="Times New Roman" w:cs="Times New Roman" w:eastAsia="Times New Roman" w:hAnsi="Times New Roman"/>
                <w:sz w:val="19"/>
                <w:szCs w:val="19"/>
                <w:color w:val="auto"/>
              </w:rPr>
              <w:t>Structured Finance Obligations and Finance Leases</w:t>
            </w:r>
          </w:p>
        </w:tc>
        <w:tc>
          <w:tcPr>
            <w:tcW w:w="238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w w:val="94"/>
              </w:rPr>
              <w:t>0%</w:t>
            </w:r>
          </w:p>
        </w:tc>
        <w:tc>
          <w:tcPr>
            <w:tcW w:w="108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4"/>
              </w:rPr>
              <w:t>0%</w:t>
            </w:r>
          </w:p>
        </w:tc>
      </w:tr>
    </w:tbl>
    <w:p>
      <w:pPr>
        <w:spacing w:after="0" w:line="217" w:lineRule="exact"/>
        <w:rPr>
          <w:sz w:val="20"/>
          <w:szCs w:val="20"/>
          <w:color w:val="auto"/>
        </w:rPr>
      </w:pPr>
    </w:p>
    <w:p>
      <w:pPr>
        <w:ind w:right="12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 Loans</w:t>
      </w:r>
      <w:r>
        <w:rPr>
          <w:rFonts w:ascii="Times New Roman" w:cs="Times New Roman" w:eastAsia="Times New Roman" w:hAnsi="Times New Roman"/>
          <w:sz w:val="19"/>
          <w:szCs w:val="19"/>
          <w:color w:val="auto"/>
        </w:rPr>
        <w:t>” means debt obligations (including term loans, notes, revolving loans, debtor -in-possession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 or note purchase agreement.</w:t>
      </w:r>
    </w:p>
    <w:p>
      <w:pPr>
        <w:spacing w:after="0" w:line="150" w:lineRule="exact"/>
        <w:rPr>
          <w:sz w:val="20"/>
          <w:szCs w:val="20"/>
          <w:color w:val="auto"/>
        </w:rPr>
      </w:pPr>
    </w:p>
    <w:p>
      <w:pPr>
        <w:ind w:right="12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Stock</w:t>
      </w:r>
      <w:r>
        <w:rPr>
          <w:rFonts w:ascii="Times New Roman" w:cs="Times New Roman" w:eastAsia="Times New Roman" w:hAnsi="Times New Roman"/>
          <w:sz w:val="19"/>
          <w:szCs w:val="19"/>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of the Credit Agreement.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Equivalents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of the Credit Agreement.</w:t>
      </w:r>
    </w:p>
    <w:p>
      <w:pPr>
        <w:spacing w:after="0" w:line="202" w:lineRule="exact"/>
        <w:rPr>
          <w:sz w:val="20"/>
          <w:szCs w:val="20"/>
          <w:color w:val="auto"/>
        </w:rPr>
      </w:pPr>
    </w:p>
    <w:p>
      <w:pPr>
        <w:ind w:right="22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First Lien Bank Loan</w:t>
      </w:r>
      <w:r>
        <w:rPr>
          <w:rFonts w:ascii="Times New Roman" w:cs="Times New Roman" w:eastAsia="Times New Roman" w:hAnsi="Times New Roman"/>
          <w:sz w:val="19"/>
          <w:szCs w:val="19"/>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 For the avoidance of doubt, an Obligor’s investment in the “first-out” portion (as defined in the definition of Unitranche Loan) of a First Lien Bank Loan shall be treated as a First Lien Bank Loan for purposes of determining the applicable Advance Rate for such portion of such Portfolio Investment.</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High Yield Securities</w:t>
      </w:r>
      <w:r>
        <w:rPr>
          <w:rFonts w:ascii="Times New Roman" w:cs="Times New Roman" w:eastAsia="Times New Roman" w:hAnsi="Times New Roman"/>
          <w:sz w:val="19"/>
          <w:szCs w:val="19"/>
          <w:color w:val="auto"/>
        </w:rPr>
        <w:t>” means debt Securities and Preferred Stock, in each case (a) issued by public or private issuers,</w:t>
      </w:r>
    </w:p>
    <w:p>
      <w:pPr>
        <w:spacing w:after="0" w:line="32" w:lineRule="exact"/>
        <w:rPr>
          <w:sz w:val="20"/>
          <w:szCs w:val="20"/>
          <w:color w:val="auto"/>
        </w:rPr>
      </w:pPr>
    </w:p>
    <w:p>
      <w:pPr>
        <w:ind w:right="200" w:firstLine="6"/>
        <w:spacing w:after="0" w:line="262" w:lineRule="auto"/>
        <w:tabs>
          <w:tab w:leader="none" w:pos="272"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4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2" w:name="page203"/>
    <w:bookmarkEnd w:id="202"/>
    <w:p>
      <w:pPr>
        <w:spacing w:after="0" w:line="269"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Long-Term U.S. Government Securities</w:t>
      </w:r>
      <w:r>
        <w:rPr>
          <w:rFonts w:ascii="Times New Roman" w:cs="Times New Roman" w:eastAsia="Times New Roman" w:hAnsi="Times New Roman"/>
          <w:sz w:val="19"/>
          <w:szCs w:val="19"/>
          <w:color w:val="auto"/>
        </w:rPr>
        <w:t>” means U.S. Government Securities maturing more than one year from the applicable date of determination.</w:t>
      </w:r>
    </w:p>
    <w:p>
      <w:pPr>
        <w:spacing w:after="0" w:line="127" w:lineRule="exact"/>
        <w:rPr>
          <w:sz w:val="20"/>
          <w:szCs w:val="20"/>
          <w:color w:val="auto"/>
        </w:rPr>
      </w:pPr>
    </w:p>
    <w:p>
      <w:pPr>
        <w:jc w:val="both"/>
        <w:ind w:right="6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Mezzanine Investments</w:t>
      </w:r>
      <w:r>
        <w:rPr>
          <w:rFonts w:ascii="Times New Roman" w:cs="Times New Roman" w:eastAsia="Times New Roman" w:hAnsi="Times New Roman"/>
          <w:sz w:val="19"/>
          <w:szCs w:val="19"/>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50" w:lineRule="exact"/>
        <w:rPr>
          <w:sz w:val="20"/>
          <w:szCs w:val="20"/>
          <w:color w:val="auto"/>
        </w:rPr>
      </w:pPr>
    </w:p>
    <w:p>
      <w:pPr>
        <w:ind w:right="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Non-Performing Common Equity</w:t>
      </w:r>
      <w:r>
        <w:rPr>
          <w:rFonts w:ascii="Times New Roman" w:cs="Times New Roman" w:eastAsia="Times New Roman" w:hAnsi="Times New Roman"/>
          <w:sz w:val="19"/>
          <w:szCs w:val="19"/>
          <w:color w:val="auto"/>
        </w:rPr>
        <w:t>” means Capital Stock (other than Preferred Stock) and warrants of an issuer having any debt outstanding that is non-Performing.</w:t>
      </w:r>
    </w:p>
    <w:p>
      <w:pPr>
        <w:spacing w:after="0" w:line="127" w:lineRule="exact"/>
        <w:rPr>
          <w:sz w:val="20"/>
          <w:szCs w:val="20"/>
          <w:color w:val="auto"/>
        </w:rPr>
      </w:pPr>
    </w:p>
    <w:p>
      <w:pPr>
        <w:ind w:left="1420" w:right="80"/>
        <w:spacing w:after="0" w:line="39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Non-Performing First Lien Bank Loans</w:t>
      </w:r>
      <w:r>
        <w:rPr>
          <w:rFonts w:ascii="Times New Roman" w:cs="Times New Roman" w:eastAsia="Times New Roman" w:hAnsi="Times New Roman"/>
          <w:sz w:val="19"/>
          <w:szCs w:val="19"/>
          <w:color w:val="auto"/>
        </w:rPr>
        <w:t>” means First Lien Bank Loans other than Performing First Lien Bank Loans. “</w:t>
      </w:r>
      <w:r>
        <w:rPr>
          <w:rFonts w:ascii="Times New Roman" w:cs="Times New Roman" w:eastAsia="Times New Roman" w:hAnsi="Times New Roman"/>
          <w:sz w:val="19"/>
          <w:szCs w:val="19"/>
          <w:u w:val="single" w:color="auto"/>
          <w:color w:val="auto"/>
        </w:rPr>
        <w:t>Non-Performing High Yield Securities</w:t>
      </w:r>
      <w:r>
        <w:rPr>
          <w:rFonts w:ascii="Times New Roman" w:cs="Times New Roman" w:eastAsia="Times New Roman" w:hAnsi="Times New Roman"/>
          <w:sz w:val="19"/>
          <w:szCs w:val="19"/>
          <w:color w:val="auto"/>
        </w:rPr>
        <w:t>” means High Yield Securities other than Performing High Yield Securities. “</w:t>
      </w:r>
      <w:r>
        <w:rPr>
          <w:rFonts w:ascii="Times New Roman" w:cs="Times New Roman" w:eastAsia="Times New Roman" w:hAnsi="Times New Roman"/>
          <w:sz w:val="19"/>
          <w:szCs w:val="19"/>
          <w:u w:val="single" w:color="auto"/>
          <w:color w:val="auto"/>
        </w:rPr>
        <w:t>Non-Performing Mezzanine Investments</w:t>
      </w:r>
      <w:r>
        <w:rPr>
          <w:rFonts w:ascii="Times New Roman" w:cs="Times New Roman" w:eastAsia="Times New Roman" w:hAnsi="Times New Roman"/>
          <w:sz w:val="19"/>
          <w:szCs w:val="19"/>
          <w:color w:val="auto"/>
        </w:rPr>
        <w:t>” means Mezzanine Investments other than Performing Mezzanine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Investments.</w:t>
      </w:r>
    </w:p>
    <w:p>
      <w:pPr>
        <w:spacing w:after="0" w:line="180" w:lineRule="exact"/>
        <w:rPr>
          <w:sz w:val="20"/>
          <w:szCs w:val="20"/>
          <w:color w:val="auto"/>
        </w:rPr>
      </w:pPr>
    </w:p>
    <w:p>
      <w:pPr>
        <w:ind w:right="4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Non-Performing Portfolio Investment</w:t>
      </w:r>
      <w:r>
        <w:rPr>
          <w:rFonts w:ascii="Times New Roman" w:cs="Times New Roman" w:eastAsia="Times New Roman" w:hAnsi="Times New Roman"/>
          <w:sz w:val="19"/>
          <w:szCs w:val="19"/>
          <w:color w:val="auto"/>
        </w:rPr>
        <w:t>” means Portfolio Investments for which the issuer is, at the time of determination, in default of any payment obligations of principal or interest in respect thereof after the expiration of any applicable grace period.</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Non-Performing Second Lien Bank Loans</w:t>
      </w:r>
      <w:r>
        <w:rPr>
          <w:rFonts w:ascii="Times New Roman" w:cs="Times New Roman" w:eastAsia="Times New Roman" w:hAnsi="Times New Roman"/>
          <w:sz w:val="19"/>
          <w:szCs w:val="19"/>
          <w:color w:val="auto"/>
        </w:rPr>
        <w:t>” means Second Lien Bank Loans other than Performing Second Lien Bank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Loans.</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Non-Performing Unitranche Loans</w:t>
      </w:r>
      <w:r>
        <w:rPr>
          <w:rFonts w:ascii="Times New Roman" w:cs="Times New Roman" w:eastAsia="Times New Roman" w:hAnsi="Times New Roman"/>
          <w:sz w:val="19"/>
          <w:szCs w:val="19"/>
          <w:color w:val="auto"/>
        </w:rPr>
        <w:t>” means Unitranche Loans other than Performing Unitranche Loans.</w:t>
      </w:r>
    </w:p>
    <w:p>
      <w:pPr>
        <w:spacing w:after="0" w:line="202"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w:t>
      </w:r>
      <w:r>
        <w:rPr>
          <w:rFonts w:ascii="Times New Roman" w:cs="Times New Roman" w:eastAsia="Times New Roman" w:hAnsi="Times New Roman"/>
          <w:sz w:val="19"/>
          <w:szCs w:val="19"/>
          <w:color w:val="auto"/>
        </w:rPr>
        <w:t>” means (a) with respect to any Portfolio Investment that is debt (or any other debt), the issuer of such Portfolio Investment (or other debt) is, at the time of determination, not in default of any payment obligations of principal or interest in respect thereof after the receipt of any notice and/or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54" w:lineRule="exact"/>
        <w:rPr>
          <w:sz w:val="20"/>
          <w:szCs w:val="20"/>
          <w:color w:val="auto"/>
        </w:rPr>
      </w:pPr>
    </w:p>
    <w:p>
      <w:pPr>
        <w:ind w:right="36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Cash Pay High Yield Securities</w:t>
      </w:r>
      <w:r>
        <w:rPr>
          <w:rFonts w:ascii="Times New Roman" w:cs="Times New Roman" w:eastAsia="Times New Roman" w:hAnsi="Times New Roman"/>
          <w:sz w:val="19"/>
          <w:szCs w:val="19"/>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44" w:lineRule="exact"/>
        <w:rPr>
          <w:sz w:val="20"/>
          <w:szCs w:val="20"/>
          <w:color w:val="auto"/>
        </w:rPr>
      </w:pPr>
    </w:p>
    <w:p>
      <w:pPr>
        <w:ind w:right="7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Cash Pay Mezzanine Investments</w:t>
      </w:r>
      <w:r>
        <w:rPr>
          <w:rFonts w:ascii="Times New Roman" w:cs="Times New Roman" w:eastAsia="Times New Roman" w:hAnsi="Times New Roman"/>
          <w:sz w:val="19"/>
          <w:szCs w:val="19"/>
          <w:color w:val="auto"/>
        </w:rPr>
        <w:t>” means Mezzanine Investments (a) as to which, at the time of determination, not less than 2/3rds of the interest (including accretions</w:t>
      </w:r>
    </w:p>
    <w:p>
      <w:pPr>
        <w:spacing w:after="0" w:line="12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3" w:name="page204"/>
    <w:bookmarkEnd w:id="203"/>
    <w:p>
      <w:pPr>
        <w:spacing w:after="0" w:line="26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9"/>
          <w:szCs w:val="19"/>
          <w:color w:val="auto"/>
        </w:rPr>
        <w:t>and “pay- in-kind” interest) for the current monthly, quarterly, semi-annual or annual period (as applicable) is payable in cash and (b) which are Performing.</w:t>
      </w:r>
    </w:p>
    <w:p>
      <w:pPr>
        <w:spacing w:after="0" w:line="127" w:lineRule="exact"/>
        <w:rPr>
          <w:sz w:val="20"/>
          <w:szCs w:val="20"/>
          <w:color w:val="auto"/>
        </w:rPr>
      </w:pPr>
    </w:p>
    <w:p>
      <w:pPr>
        <w:ind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Common Equity</w:t>
      </w:r>
      <w:r>
        <w:rPr>
          <w:rFonts w:ascii="Times New Roman" w:cs="Times New Roman" w:eastAsia="Times New Roman" w:hAnsi="Times New Roman"/>
          <w:sz w:val="19"/>
          <w:szCs w:val="19"/>
          <w:color w:val="auto"/>
        </w:rPr>
        <w:t>” means Capital Stock (other than Preferred Stock) and warrants of an issuer all of whose outstanding debt is Performing.</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First Lien Bank Loans</w:t>
      </w:r>
      <w:r>
        <w:rPr>
          <w:rFonts w:ascii="Times New Roman" w:cs="Times New Roman" w:eastAsia="Times New Roman" w:hAnsi="Times New Roman"/>
          <w:sz w:val="19"/>
          <w:szCs w:val="19"/>
          <w:color w:val="auto"/>
        </w:rPr>
        <w:t>” means First Lien Bank Loans which are Performing.</w:t>
      </w:r>
    </w:p>
    <w:p>
      <w:pPr>
        <w:spacing w:after="0" w:line="202" w:lineRule="exact"/>
        <w:rPr>
          <w:sz w:val="20"/>
          <w:szCs w:val="20"/>
          <w:color w:val="auto"/>
        </w:rPr>
      </w:pPr>
    </w:p>
    <w:p>
      <w:pPr>
        <w:ind w:right="3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Non-Cash Pay High Yield Securities</w:t>
      </w:r>
      <w:r>
        <w:rPr>
          <w:rFonts w:ascii="Times New Roman" w:cs="Times New Roman" w:eastAsia="Times New Roman" w:hAnsi="Times New Roman"/>
          <w:sz w:val="19"/>
          <w:szCs w:val="19"/>
          <w:color w:val="auto"/>
        </w:rPr>
        <w:t>” means Performing High Yield Securities other than Performing Cash Pay High Yield Securities.</w:t>
      </w:r>
    </w:p>
    <w:p>
      <w:pPr>
        <w:spacing w:after="0" w:line="127" w:lineRule="exact"/>
        <w:rPr>
          <w:sz w:val="20"/>
          <w:szCs w:val="20"/>
          <w:color w:val="auto"/>
        </w:rPr>
      </w:pPr>
    </w:p>
    <w:p>
      <w:pPr>
        <w:ind w:right="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Non-Cash Pay Mezzanine Investments</w:t>
      </w:r>
      <w:r>
        <w:rPr>
          <w:rFonts w:ascii="Times New Roman" w:cs="Times New Roman" w:eastAsia="Times New Roman" w:hAnsi="Times New Roman"/>
          <w:sz w:val="19"/>
          <w:szCs w:val="19"/>
          <w:color w:val="auto"/>
        </w:rPr>
        <w:t>” means Performing Mezzanine Investments other than Performing Cash Pay Mezzanine Investments.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Second Lien Bank Loans</w:t>
      </w:r>
      <w:r>
        <w:rPr>
          <w:rFonts w:ascii="Times New Roman" w:cs="Times New Roman" w:eastAsia="Times New Roman" w:hAnsi="Times New Roman"/>
          <w:sz w:val="19"/>
          <w:szCs w:val="19"/>
          <w:color w:val="auto"/>
        </w:rPr>
        <w:t>” means Second Lien Bank Loans which are Performing.</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Unitranche Loans</w:t>
      </w:r>
      <w:r>
        <w:rPr>
          <w:rFonts w:ascii="Times New Roman" w:cs="Times New Roman" w:eastAsia="Times New Roman" w:hAnsi="Times New Roman"/>
          <w:sz w:val="19"/>
          <w:szCs w:val="19"/>
          <w:color w:val="auto"/>
        </w:rPr>
        <w:t>” means Unitranche Loans which are Performing.</w:t>
      </w:r>
    </w:p>
    <w:p>
      <w:pPr>
        <w:spacing w:after="0" w:line="202" w:lineRule="exact"/>
        <w:rPr>
          <w:sz w:val="20"/>
          <w:szCs w:val="20"/>
          <w:color w:val="auto"/>
        </w:rPr>
      </w:pPr>
    </w:p>
    <w:p>
      <w:pPr>
        <w:ind w:right="2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Preferred Stock</w:t>
      </w:r>
      <w:r>
        <w:rPr>
          <w:rFonts w:ascii="Times New Roman" w:cs="Times New Roman" w:eastAsia="Times New Roman" w:hAnsi="Times New Roman"/>
          <w:sz w:val="19"/>
          <w:szCs w:val="19"/>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54" w:lineRule="exact"/>
        <w:rPr>
          <w:sz w:val="20"/>
          <w:szCs w:val="20"/>
          <w:color w:val="auto"/>
        </w:rPr>
      </w:pPr>
    </w:p>
    <w:p>
      <w:pPr>
        <w:ind w:right="18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Second Lien Bank Loan</w:t>
      </w:r>
      <w:r>
        <w:rPr>
          <w:rFonts w:ascii="Times New Roman" w:cs="Times New Roman" w:eastAsia="Times New Roman" w:hAnsi="Times New Roman"/>
          <w:sz w:val="19"/>
          <w:szCs w:val="19"/>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144" w:lineRule="exact"/>
        <w:rPr>
          <w:sz w:val="20"/>
          <w:szCs w:val="20"/>
          <w:color w:val="auto"/>
        </w:rPr>
      </w:pPr>
    </w:p>
    <w:p>
      <w:pPr>
        <w:ind w:right="6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Securities</w:t>
      </w:r>
      <w:r>
        <w:rPr>
          <w:rFonts w:ascii="Times New Roman" w:cs="Times New Roman" w:eastAsia="Times New Roman" w:hAnsi="Times New Roman"/>
          <w:sz w:val="19"/>
          <w:szCs w:val="19"/>
          <w:color w:val="auto"/>
        </w:rPr>
        <w:t>” means common and preferred stock, units and participations, membership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Securities Act</w:t>
      </w:r>
      <w:r>
        <w:rPr>
          <w:rFonts w:ascii="Times New Roman" w:cs="Times New Roman" w:eastAsia="Times New Roman" w:hAnsi="Times New Roman"/>
          <w:sz w:val="19"/>
          <w:szCs w:val="19"/>
          <w:color w:val="auto"/>
        </w:rPr>
        <w:t>” means the United States Securities Act of 1933, as amended.</w:t>
      </w:r>
    </w:p>
    <w:p>
      <w:pPr>
        <w:spacing w:after="0" w:line="202" w:lineRule="exact"/>
        <w:rPr>
          <w:sz w:val="20"/>
          <w:szCs w:val="20"/>
          <w:color w:val="auto"/>
        </w:rPr>
      </w:pPr>
    </w:p>
    <w:p>
      <w:pPr>
        <w:ind w:right="6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Short-Term U.S. Government Securities</w:t>
      </w:r>
      <w:r>
        <w:rPr>
          <w:rFonts w:ascii="Times New Roman" w:cs="Times New Roman" w:eastAsia="Times New Roman" w:hAnsi="Times New Roman"/>
          <w:sz w:val="19"/>
          <w:szCs w:val="19"/>
          <w:color w:val="auto"/>
        </w:rPr>
        <w:t>” means U.S. Government Securities maturing within one year of the applicable date of determination.</w:t>
      </w:r>
    </w:p>
    <w:p>
      <w:pPr>
        <w:spacing w:after="0" w:line="127" w:lineRule="exact"/>
        <w:rPr>
          <w:sz w:val="20"/>
          <w:szCs w:val="20"/>
          <w:color w:val="auto"/>
        </w:rPr>
      </w:pPr>
    </w:p>
    <w:p>
      <w:pPr>
        <w:jc w:val="both"/>
        <w:ind w:right="26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Structured Finance Obligation</w:t>
      </w:r>
      <w:r>
        <w:rPr>
          <w:rFonts w:ascii="Times New Roman" w:cs="Times New Roman" w:eastAsia="Times New Roman" w:hAnsi="Times New Roman"/>
          <w:sz w:val="19"/>
          <w:szCs w:val="19"/>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w:t>
      </w:r>
    </w:p>
    <w:p>
      <w:pPr>
        <w:spacing w:after="0" w:line="1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4" w:name="page205"/>
    <w:bookmarkEnd w:id="204"/>
    <w:p>
      <w:pPr>
        <w:spacing w:after="0" w:line="26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“Structured Finance Obligation”, such obligation shall not (a) qualify as any other category of Portfolio Investment and (b) be included in the Borrowing Base.</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Government Securities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Unitranche Loan</w:t>
      </w:r>
      <w:r>
        <w:rPr>
          <w:rFonts w:ascii="Times New Roman" w:cs="Times New Roman" w:eastAsia="Times New Roman" w:hAnsi="Times New Roman"/>
          <w:sz w:val="19"/>
          <w:szCs w:val="19"/>
          <w:color w:val="auto"/>
        </w:rPr>
        <w:t>” means the “last-out” portion of a Bank Loan that is a First Lien Bank Loan, a portion of which is, in effect, subject to superpriority rights (the “first-out” portion) of other lenders with respect to such lenders’ right to receive distributions of collateral proceeds following an event of default (such portion, a “last-out” portion). An Obligor’s investment in the last-out portion shall be treated as a Unitranche Loan for purposes of determining the applicable Advance Rate for such Portfolio Investment under this Agreement.</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Value</w:t>
      </w:r>
      <w:r>
        <w:rPr>
          <w:rFonts w:ascii="Times New Roman" w:cs="Times New Roman" w:eastAsia="Times New Roman" w:hAnsi="Times New Roman"/>
          <w:sz w:val="19"/>
          <w:szCs w:val="19"/>
          <w:color w:val="auto"/>
        </w:rPr>
        <w:t>” means, with respect to any Portfolio Investment, the lower of:</w:t>
      </w:r>
    </w:p>
    <w:p>
      <w:pPr>
        <w:spacing w:after="0" w:line="202" w:lineRule="exact"/>
        <w:rPr>
          <w:sz w:val="20"/>
          <w:szCs w:val="20"/>
          <w:color w:val="auto"/>
        </w:rPr>
      </w:pPr>
    </w:p>
    <w:p>
      <w:pPr>
        <w:ind w:left="1680" w:hanging="234"/>
        <w:spacing w:after="0"/>
        <w:tabs>
          <w:tab w:leader="none" w:pos="168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most recent internal market value as determined pursuant to </w:t>
      </w:r>
      <w:r>
        <w:rPr>
          <w:rFonts w:ascii="Times New Roman" w:cs="Times New Roman" w:eastAsia="Times New Roman" w:hAnsi="Times New Roman"/>
          <w:sz w:val="19"/>
          <w:szCs w:val="19"/>
          <w:u w:val="single" w:color="auto"/>
          <w:color w:val="auto"/>
        </w:rPr>
        <w:t>Section 5.12(b)(ii)(C)</w:t>
      </w:r>
      <w:r>
        <w:rPr>
          <w:rFonts w:ascii="Times New Roman" w:cs="Times New Roman" w:eastAsia="Times New Roman" w:hAnsi="Times New Roman"/>
          <w:sz w:val="19"/>
          <w:szCs w:val="19"/>
          <w:color w:val="auto"/>
        </w:rPr>
        <w:t>; and</w:t>
      </w:r>
    </w:p>
    <w:p>
      <w:pPr>
        <w:spacing w:after="0" w:line="201" w:lineRule="exact"/>
        <w:rPr>
          <w:rFonts w:ascii="Times New Roman" w:cs="Times New Roman" w:eastAsia="Times New Roman" w:hAnsi="Times New Roman"/>
          <w:sz w:val="19"/>
          <w:szCs w:val="19"/>
          <w:color w:val="auto"/>
        </w:rPr>
      </w:pPr>
    </w:p>
    <w:p>
      <w:pPr>
        <w:ind w:left="1720" w:hanging="274"/>
        <w:spacing w:after="0"/>
        <w:tabs>
          <w:tab w:leader="none" w:pos="172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most recent external market value as determined pursuant to </w:t>
      </w:r>
      <w:r>
        <w:rPr>
          <w:rFonts w:ascii="Times New Roman" w:cs="Times New Roman" w:eastAsia="Times New Roman" w:hAnsi="Times New Roman"/>
          <w:sz w:val="19"/>
          <w:szCs w:val="19"/>
          <w:u w:val="single" w:color="auto"/>
          <w:color w:val="auto"/>
        </w:rPr>
        <w:t>Sections 5.12(b)(ii)(A)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4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ARTICLE VI</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u w:val="single" w:color="auto"/>
          <w:color w:val="auto"/>
        </w:rPr>
        <w:t>NEGATIVE COVENANTS</w:t>
      </w:r>
    </w:p>
    <w:p>
      <w:pPr>
        <w:spacing w:after="0" w:line="202" w:lineRule="exact"/>
        <w:rPr>
          <w:sz w:val="20"/>
          <w:szCs w:val="20"/>
          <w:color w:val="auto"/>
        </w:rPr>
      </w:pPr>
    </w:p>
    <w:p>
      <w:pPr>
        <w:jc w:val="both"/>
        <w:ind w:right="120" w:firstLine="1404"/>
        <w:spacing w:after="0" w:line="268" w:lineRule="auto"/>
        <w:rPr>
          <w:sz w:val="20"/>
          <w:szCs w:val="20"/>
          <w:color w:val="auto"/>
        </w:rPr>
      </w:pPr>
      <w:r>
        <w:rPr>
          <w:rFonts w:ascii="Times New Roman" w:cs="Times New Roman" w:eastAsia="Times New Roman" w:hAnsi="Times New Roman"/>
          <w:sz w:val="19"/>
          <w:szCs w:val="19"/>
          <w:color w:val="auto"/>
        </w:rPr>
        <w:t>Until the Commitments have expired or terminated and the principal of and interest on each Loan and all fees payable hereunder have been paid in full and all Letters of Credit have expired, been terminated, Cash Collateralized or backstopped and all LC Disbursements shall have been reimbursed, the Borrower covenants and agrees with the Lenders that:</w:t>
      </w:r>
    </w:p>
    <w:p>
      <w:pPr>
        <w:spacing w:after="0" w:line="144" w:lineRule="exact"/>
        <w:rPr>
          <w:sz w:val="20"/>
          <w:szCs w:val="20"/>
          <w:color w:val="auto"/>
        </w:rPr>
      </w:pPr>
    </w:p>
    <w:p>
      <w:pPr>
        <w:ind w:right="500" w:firstLine="1404"/>
        <w:spacing w:after="0" w:line="286" w:lineRule="auto"/>
        <w:rPr>
          <w:sz w:val="20"/>
          <w:szCs w:val="20"/>
          <w:color w:val="auto"/>
        </w:rPr>
      </w:pPr>
      <w:r>
        <w:rPr>
          <w:rFonts w:ascii="Times New Roman" w:cs="Times New Roman" w:eastAsia="Times New Roman" w:hAnsi="Times New Roman"/>
          <w:sz w:val="19"/>
          <w:szCs w:val="19"/>
          <w:color w:val="auto"/>
        </w:rPr>
        <w:t xml:space="preserve">SECTION 6.01. </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xml:space="preserve">. Subject to the last sentence of this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the Borrower will not nor will it permit any of its Subsidiaries to, create, incur, assume or permit to exist any Indebtedness, except:</w:t>
      </w:r>
    </w:p>
    <w:p>
      <w:pPr>
        <w:spacing w:after="0" w:line="127" w:lineRule="exact"/>
        <w:rPr>
          <w:sz w:val="20"/>
          <w:szCs w:val="20"/>
          <w:color w:val="auto"/>
        </w:rPr>
      </w:pPr>
    </w:p>
    <w:p>
      <w:pPr>
        <w:ind w:left="1680" w:hanging="270"/>
        <w:spacing w:after="0"/>
        <w:tabs>
          <w:tab w:leader="none" w:pos="168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created hereunder or under any other Loan Document;</w:t>
      </w:r>
    </w:p>
    <w:p>
      <w:pPr>
        <w:spacing w:after="0" w:line="201" w:lineRule="exact"/>
        <w:rPr>
          <w:rFonts w:ascii="Times New Roman" w:cs="Times New Roman" w:eastAsia="Times New Roman" w:hAnsi="Times New Roman"/>
          <w:sz w:val="19"/>
          <w:szCs w:val="19"/>
          <w:color w:val="auto"/>
        </w:rPr>
      </w:pPr>
    </w:p>
    <w:p>
      <w:pPr>
        <w:ind w:firstLine="1410"/>
        <w:spacing w:after="0" w:line="257" w:lineRule="auto"/>
        <w:tabs>
          <w:tab w:leader="none" w:pos="1676"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Secured Longer-Term Indebtedness and Unsecured Longer-Term Indebtedness so long as (i) no Default or Event of Default exists at the time of the incurrence thereof, (ii) at the time of incurrence thereof, the aggregate amount of such Secured Longer-Term Indebtedness and Unsecured Longer-Term Indebtedness, taken together with other then-outstanding Indebtedness that constitutes senior securities, does not exceed the amount required to comply with the provisions of </w:t>
      </w:r>
      <w:r>
        <w:rPr>
          <w:rFonts w:ascii="Times New Roman" w:cs="Times New Roman" w:eastAsia="Times New Roman" w:hAnsi="Times New Roman"/>
          <w:sz w:val="19"/>
          <w:szCs w:val="19"/>
          <w:u w:val="single" w:color="auto"/>
          <w:color w:val="auto"/>
        </w:rPr>
        <w:t>Sections 6.07(c)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and (iii) prior to and immediately after giving effect to the incurrence of any Secured Longer-Term Indebtedness, the Covered Debt Amount does not or would not exceed the Borrowing Base then in effect;</w:t>
      </w:r>
    </w:p>
    <w:p>
      <w:pPr>
        <w:spacing w:after="0" w:line="156"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Permitted Indebtedness;</w:t>
      </w:r>
    </w:p>
    <w:p>
      <w:pPr>
        <w:spacing w:after="0" w:line="201"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of Financing Subsidiaries;</w:t>
      </w:r>
    </w:p>
    <w:p>
      <w:pPr>
        <w:spacing w:after="0" w:line="20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5" w:name="page206"/>
    <w:bookmarkEnd w:id="205"/>
    <w:p>
      <w:pPr>
        <w:spacing w:after="0" w:line="269" w:lineRule="exact"/>
        <w:rPr>
          <w:sz w:val="20"/>
          <w:szCs w:val="20"/>
          <w:color w:val="auto"/>
        </w:rPr>
      </w:pPr>
    </w:p>
    <w:p>
      <w:pPr>
        <w:ind w:left="1680" w:hanging="270"/>
        <w:spacing w:after="0"/>
        <w:tabs>
          <w:tab w:leader="none" w:pos="1680" w:val="left"/>
        </w:tabs>
        <w:numPr>
          <w:ilvl w:val="1"/>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repurchase obligations arising in the ordinary course of business with respect to U.S. Government Securities;</w:t>
      </w:r>
    </w:p>
    <w:p>
      <w:pPr>
        <w:spacing w:after="0" w:line="201" w:lineRule="exact"/>
        <w:rPr>
          <w:rFonts w:ascii="Times New Roman" w:cs="Times New Roman" w:eastAsia="Times New Roman" w:hAnsi="Times New Roman"/>
          <w:sz w:val="19"/>
          <w:szCs w:val="19"/>
          <w:color w:val="auto"/>
        </w:rPr>
      </w:pPr>
    </w:p>
    <w:p>
      <w:pPr>
        <w:ind w:right="180" w:firstLine="1410"/>
        <w:spacing w:after="0" w:line="286" w:lineRule="auto"/>
        <w:tabs>
          <w:tab w:leader="none" w:pos="1644" w:val="left"/>
        </w:tabs>
        <w:numPr>
          <w:ilvl w:val="1"/>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obligations payable to clearing agencies, brokers or dealers in connection with the purchase or sale of securities in the ordinary course of business;</w:t>
      </w:r>
    </w:p>
    <w:p>
      <w:pPr>
        <w:spacing w:after="0" w:line="127" w:lineRule="exact"/>
        <w:rPr>
          <w:rFonts w:ascii="Times New Roman" w:cs="Times New Roman" w:eastAsia="Times New Roman" w:hAnsi="Times New Roman"/>
          <w:sz w:val="19"/>
          <w:szCs w:val="19"/>
          <w:color w:val="auto"/>
        </w:rPr>
      </w:pPr>
    </w:p>
    <w:p>
      <w:pPr>
        <w:ind w:firstLine="1410"/>
        <w:spacing w:after="0" w:line="257" w:lineRule="auto"/>
        <w:tabs>
          <w:tab w:leader="none" w:pos="1676" w:val="left"/>
        </w:tabs>
        <w:numPr>
          <w:ilvl w:val="1"/>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Secured Shorter-Term Indebtedness and Unsecured Shorter-Term Indebtedness so long as (i) no Default or Event of Default exists at the time of the incurrence thereof, (ii) at the time of incurrence thereof, the aggregate amount (determined at the time of the incurrence of such Indebtedness) of such Indebtedness does not exceed 5% of Borrower Net Worth, (iii) the aggregate amount of such Indebtedness, taken together with other then-outstanding Indebtedness that constitutes senior securities, does not exceed the amount required to comply with the provisions of </w:t>
      </w:r>
      <w:r>
        <w:rPr>
          <w:rFonts w:ascii="Times New Roman" w:cs="Times New Roman" w:eastAsia="Times New Roman" w:hAnsi="Times New Roman"/>
          <w:sz w:val="19"/>
          <w:szCs w:val="19"/>
          <w:u w:val="single" w:color="auto"/>
          <w:color w:val="auto"/>
        </w:rPr>
        <w:t>Sections 6.07(c)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and (iv) prior to and immediately after giving effect to the incurrence of any such Indebtedness, the Covered Debt Amount does not or would not exceed the Borrowing Base then in effect;</w:t>
      </w:r>
    </w:p>
    <w:p>
      <w:pPr>
        <w:spacing w:after="0" w:line="156"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1"/>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obligations (including Guarantees) in respect of Standard Securitization Undertakings;</w:t>
      </w:r>
    </w:p>
    <w:p>
      <w:pPr>
        <w:spacing w:after="0" w:line="201" w:lineRule="exact"/>
        <w:rPr>
          <w:rFonts w:ascii="Times New Roman" w:cs="Times New Roman" w:eastAsia="Times New Roman" w:hAnsi="Times New Roman"/>
          <w:sz w:val="19"/>
          <w:szCs w:val="19"/>
          <w:color w:val="auto"/>
        </w:rPr>
      </w:pPr>
    </w:p>
    <w:p>
      <w:pPr>
        <w:ind w:left="1640" w:hanging="230"/>
        <w:spacing w:after="0"/>
        <w:tabs>
          <w:tab w:leader="none" w:pos="1640" w:val="left"/>
        </w:tabs>
        <w:numPr>
          <w:ilvl w:val="1"/>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SBIC Guarantees and any SBIC Equity Commitment or analogous commitment;</w:t>
      </w:r>
    </w:p>
    <w:p>
      <w:pPr>
        <w:spacing w:after="0" w:line="201" w:lineRule="exact"/>
        <w:rPr>
          <w:rFonts w:ascii="Times New Roman" w:cs="Times New Roman" w:eastAsia="Times New Roman" w:hAnsi="Times New Roman"/>
          <w:sz w:val="19"/>
          <w:szCs w:val="19"/>
          <w:color w:val="auto"/>
        </w:rPr>
      </w:pPr>
    </w:p>
    <w:p>
      <w:pPr>
        <w:ind w:right="240" w:firstLine="1410"/>
        <w:spacing w:after="0" w:line="262" w:lineRule="auto"/>
        <w:tabs>
          <w:tab w:leader="none" w:pos="1634" w:val="left"/>
        </w:tabs>
        <w:numPr>
          <w:ilvl w:val="1"/>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Special Permitted Indebtedness so long as (i) no Default exists at the time of the incurrence thereof, (ii) the aggregate amount (determined at the time of the incurrence of such Indebtedness) of such Indebtedness does not exceed $150,000,000,</w:t>
      </w:r>
    </w:p>
    <w:p>
      <w:pPr>
        <w:spacing w:after="0" w:line="1" w:lineRule="exact"/>
        <w:rPr>
          <w:rFonts w:ascii="Times New Roman" w:cs="Times New Roman" w:eastAsia="Times New Roman" w:hAnsi="Times New Roman"/>
          <w:sz w:val="19"/>
          <w:szCs w:val="19"/>
          <w:color w:val="auto"/>
        </w:rPr>
      </w:pPr>
    </w:p>
    <w:p>
      <w:pPr>
        <w:ind w:firstLine="6"/>
        <w:spacing w:after="0" w:line="250" w:lineRule="auto"/>
        <w:tabs>
          <w:tab w:leader="none" w:pos="336"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the time of incurrence thereof, the aggregate amount of such Indebtedness, taken together with other then-outstanding Indebtedness that constitutes senior securities, does not exceed the amount required to comply with the provisions of </w:t>
      </w:r>
      <w:r>
        <w:rPr>
          <w:rFonts w:ascii="Times New Roman" w:cs="Times New Roman" w:eastAsia="Times New Roman" w:hAnsi="Times New Roman"/>
          <w:sz w:val="19"/>
          <w:szCs w:val="19"/>
          <w:u w:val="single" w:color="auto"/>
          <w:color w:val="auto"/>
        </w:rPr>
        <w:t>Sections 6.07(c)</w:t>
      </w:r>
      <w:r>
        <w:rPr>
          <w:rFonts w:ascii="Times New Roman" w:cs="Times New Roman" w:eastAsia="Times New Roman" w:hAnsi="Times New Roman"/>
          <w:sz w:val="19"/>
          <w:szCs w:val="19"/>
          <w:color w:val="auto"/>
        </w:rPr>
        <w:t xml:space="preserve"> and</w:t>
      </w:r>
    </w:p>
    <w:p>
      <w:pPr>
        <w:ind w:right="160" w:firstLine="6"/>
        <w:spacing w:after="0" w:line="262" w:lineRule="auto"/>
        <w:tabs>
          <w:tab w:leader="none" w:pos="228" w:val="left"/>
        </w:tabs>
        <w:numPr>
          <w:ilvl w:val="0"/>
          <w:numId w:val="16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and (iv) prior to and immediately after giving effect to the incurrence of any such Indebtedness, the Covered Debt Amount does not or would not exceed the Borrowing Base then in effect;</w:t>
      </w:r>
    </w:p>
    <w:p>
      <w:pPr>
        <w:spacing w:after="0" w:line="149" w:lineRule="exact"/>
        <w:rPr>
          <w:rFonts w:ascii="Times New Roman" w:cs="Times New Roman" w:eastAsia="Times New Roman" w:hAnsi="Times New Roman"/>
          <w:sz w:val="19"/>
          <w:szCs w:val="19"/>
          <w:u w:val="single" w:color="auto"/>
          <w:color w:val="auto"/>
        </w:rPr>
      </w:pPr>
    </w:p>
    <w:p>
      <w:pPr>
        <w:ind w:right="60" w:firstLine="1410"/>
        <w:spacing w:after="0" w:line="257" w:lineRule="auto"/>
        <w:tabs>
          <w:tab w:leader="none" w:pos="1676" w:val="left"/>
        </w:tabs>
        <w:numPr>
          <w:ilvl w:val="1"/>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Permitted Amortizing Unsecured Longer-Term Indebtedness constituting Unsecured Longer-Term Indebtedness so long as (i) no Default exists at the time of the incurrence thereof, (ii) the aggregate amount (determined at the time of the incurrence of such Indebtedness) of such Indebtedness does not exceed $150,000,000, (iii) at the time of incurrence thereof, the aggregate amount of such Indebtedness, taken together with other then-outstanding Indebtedness that constitutes senior securities, does not exceed the amount required to comply with the provisions of </w:t>
      </w:r>
      <w:r>
        <w:rPr>
          <w:rFonts w:ascii="Times New Roman" w:cs="Times New Roman" w:eastAsia="Times New Roman" w:hAnsi="Times New Roman"/>
          <w:sz w:val="19"/>
          <w:szCs w:val="19"/>
          <w:u w:val="single" w:color="auto"/>
          <w:color w:val="auto"/>
        </w:rPr>
        <w:t>Sections 6.07(c)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and (iv) prior to and immediately after giving effect to the incurrence of any such Indebtedness, the Covered Debt Amount does not or would not exceed the Borrowing Base then in effect;</w:t>
      </w:r>
    </w:p>
    <w:p>
      <w:pPr>
        <w:spacing w:after="0" w:line="156" w:lineRule="exact"/>
        <w:rPr>
          <w:rFonts w:ascii="Times New Roman" w:cs="Times New Roman" w:eastAsia="Times New Roman" w:hAnsi="Times New Roman"/>
          <w:sz w:val="19"/>
          <w:szCs w:val="19"/>
          <w:color w:val="auto"/>
        </w:rPr>
      </w:pPr>
    </w:p>
    <w:p>
      <w:pPr>
        <w:ind w:left="1640" w:hanging="230"/>
        <w:spacing w:after="0"/>
        <w:tabs>
          <w:tab w:leader="none" w:pos="1640" w:val="left"/>
        </w:tabs>
        <w:numPr>
          <w:ilvl w:val="1"/>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Indebtedness not to exceed $10,000,000 in the aggregate at any time; and</w:t>
      </w:r>
    </w:p>
    <w:p>
      <w:pPr>
        <w:spacing w:after="0" w:line="201" w:lineRule="exact"/>
        <w:rPr>
          <w:rFonts w:ascii="Times New Roman" w:cs="Times New Roman" w:eastAsia="Times New Roman" w:hAnsi="Times New Roman"/>
          <w:sz w:val="19"/>
          <w:szCs w:val="19"/>
          <w:color w:val="auto"/>
        </w:rPr>
      </w:pPr>
    </w:p>
    <w:p>
      <w:pPr>
        <w:ind w:left="1740" w:hanging="330"/>
        <w:spacing w:after="0"/>
        <w:tabs>
          <w:tab w:leader="none" w:pos="1740" w:val="left"/>
        </w:tabs>
        <w:numPr>
          <w:ilvl w:val="1"/>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guarantees of other Indebtedness otherwise permitted hereunder.</w:t>
      </w:r>
    </w:p>
    <w:p>
      <w:pPr>
        <w:spacing w:after="0" w:line="202" w:lineRule="exact"/>
        <w:rPr>
          <w:sz w:val="20"/>
          <w:szCs w:val="20"/>
          <w:color w:val="auto"/>
        </w:rPr>
      </w:pPr>
    </w:p>
    <w:p>
      <w:pPr>
        <w:ind w:right="960" w:firstLine="1404"/>
        <w:spacing w:after="0" w:line="286" w:lineRule="auto"/>
        <w:rPr>
          <w:sz w:val="20"/>
          <w:szCs w:val="20"/>
          <w:color w:val="auto"/>
        </w:rPr>
      </w:pPr>
      <w:r>
        <w:rPr>
          <w:rFonts w:ascii="Times New Roman" w:cs="Times New Roman" w:eastAsia="Times New Roman" w:hAnsi="Times New Roman"/>
          <w:sz w:val="19"/>
          <w:szCs w:val="19"/>
          <w:color w:val="auto"/>
        </w:rPr>
        <w:t>Notwithstanding the foregoing provisions of this Section, the Borrower will not nor will it permit any of its Subsidiaries to, create, incur, assume or permit to exist any additional</w:t>
      </w:r>
    </w:p>
    <w:p>
      <w:pPr>
        <w:spacing w:after="0" w:line="12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6" w:name="page207"/>
    <w:bookmarkEnd w:id="206"/>
    <w:p>
      <w:pPr>
        <w:spacing w:after="0" w:line="2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 xml:space="preserve">Indebtedness (other than Indebtedness permitted under </w:t>
      </w:r>
      <w:r>
        <w:rPr>
          <w:rFonts w:ascii="Times New Roman" w:cs="Times New Roman" w:eastAsia="Times New Roman" w:hAnsi="Times New Roman"/>
          <w:sz w:val="19"/>
          <w:szCs w:val="19"/>
          <w:u w:val="single" w:color="auto"/>
          <w:color w:val="auto"/>
        </w:rPr>
        <w:t>clauses (c)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unless, after giving effect to such Indebtedness, (x) Shareholders’ Equity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Secured Longer- Term Indebtedness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Unsecured Longer-Term Indebtedness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aggregate undrawn commitments with terms in excess of sixth months exceeds (y) the Value of the Portfolio Investments that cannot be converted to Cash in fewer than 10 Business Days without more than a 5% change in price.</w:t>
      </w:r>
    </w:p>
    <w:p>
      <w:pPr>
        <w:spacing w:after="0" w:line="150" w:lineRule="exact"/>
        <w:rPr>
          <w:sz w:val="20"/>
          <w:szCs w:val="20"/>
          <w:color w:val="auto"/>
        </w:rPr>
      </w:pPr>
    </w:p>
    <w:p>
      <w:pPr>
        <w:ind w:right="260" w:firstLine="1404"/>
        <w:spacing w:after="0" w:line="268" w:lineRule="auto"/>
        <w:rPr>
          <w:sz w:val="20"/>
          <w:szCs w:val="20"/>
          <w:color w:val="auto"/>
        </w:rPr>
      </w:pPr>
      <w:r>
        <w:rPr>
          <w:rFonts w:ascii="Times New Roman" w:cs="Times New Roman" w:eastAsia="Times New Roman" w:hAnsi="Times New Roman"/>
          <w:sz w:val="19"/>
          <w:szCs w:val="19"/>
          <w:color w:val="auto"/>
        </w:rPr>
        <w:t xml:space="preserve">SECTION 6.02. </w:t>
      </w: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 The Borrower will not, nor will it permit any of its Subsidiaries to, create, incur, assume or permit to exist any Lien on any property or asset now owned or hereafter acquired by it, or assign or sell any income or revenues (including accounts receivable) or rights in respect of any thereof except:</w:t>
      </w:r>
    </w:p>
    <w:p>
      <w:pPr>
        <w:spacing w:after="0" w:line="144" w:lineRule="exact"/>
        <w:rPr>
          <w:sz w:val="20"/>
          <w:szCs w:val="20"/>
          <w:color w:val="auto"/>
        </w:rPr>
      </w:pPr>
    </w:p>
    <w:p>
      <w:pPr>
        <w:ind w:firstLine="1410"/>
        <w:spacing w:after="0" w:line="262" w:lineRule="auto"/>
        <w:tabs>
          <w:tab w:leader="none" w:pos="1665"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Lien on any property or asset of the Borrower or any Subsidiary existing on the Fifth Amendment Effective Date and set forth in </w:t>
      </w:r>
      <w:r>
        <w:rPr>
          <w:rFonts w:ascii="Times New Roman" w:cs="Times New Roman" w:eastAsia="Times New Roman" w:hAnsi="Times New Roman"/>
          <w:sz w:val="19"/>
          <w:szCs w:val="19"/>
          <w:u w:val="single" w:color="auto"/>
          <w:color w:val="auto"/>
        </w:rPr>
        <w:t>Part 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Schedule 3.11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no such Lien shall extend to any other property or asset of the Borrower or any of its Subsidiaries, and (ii) any such Lien shall secure only those obligations which it secures on the Fifth Amendment Effective Date and extensions, renewals and replacements thereof that do not increase the outstanding principal amount thereof;</w:t>
      </w:r>
    </w:p>
    <w:p>
      <w:pPr>
        <w:spacing w:after="0" w:line="150" w:lineRule="exact"/>
        <w:rPr>
          <w:rFonts w:ascii="Times New Roman" w:cs="Times New Roman" w:eastAsia="Times New Roman" w:hAnsi="Times New Roman"/>
          <w:sz w:val="19"/>
          <w:szCs w:val="19"/>
          <w:color w:val="auto"/>
        </w:rPr>
      </w:pPr>
    </w:p>
    <w:p>
      <w:pPr>
        <w:ind w:right="360" w:firstLine="1410"/>
        <w:spacing w:after="0" w:line="286" w:lineRule="auto"/>
        <w:tabs>
          <w:tab w:leader="none" w:pos="1676"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created pursuant to this Agreement (including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or any of the Security Documents (including Liens in favor of the Designated Indebtedness Holders (as defined in the Guarantee and Security Agreement));</w:t>
      </w:r>
    </w:p>
    <w:p>
      <w:pPr>
        <w:spacing w:after="0" w:line="127"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the assets of a Financing Subsidiary securing obligations of such Financing Subsidiary;</w:t>
      </w:r>
    </w:p>
    <w:p>
      <w:pPr>
        <w:spacing w:after="0" w:line="201" w:lineRule="exact"/>
        <w:rPr>
          <w:rFonts w:ascii="Times New Roman" w:cs="Times New Roman" w:eastAsia="Times New Roman" w:hAnsi="Times New Roman"/>
          <w:sz w:val="19"/>
          <w:szCs w:val="19"/>
          <w:color w:val="auto"/>
        </w:rPr>
      </w:pPr>
    </w:p>
    <w:p>
      <w:pPr>
        <w:ind w:right="520" w:firstLine="1410"/>
        <w:spacing w:after="0" w:line="286" w:lineRule="auto"/>
        <w:tabs>
          <w:tab w:leader="none" w:pos="1676"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Special Equity Interests included in the Portfolio Investments of the Borrower but only to the extent securing obligations in the manner provided in the definition of “</w:t>
      </w:r>
      <w:r>
        <w:rPr>
          <w:rFonts w:ascii="Times New Roman" w:cs="Times New Roman" w:eastAsia="Times New Roman" w:hAnsi="Times New Roman"/>
          <w:sz w:val="19"/>
          <w:szCs w:val="19"/>
          <w:u w:val="single" w:color="auto"/>
          <w:color w:val="auto"/>
        </w:rPr>
        <w:t>Special Equity Interests</w:t>
      </w:r>
      <w:r>
        <w:rPr>
          <w:rFonts w:ascii="Times New Roman" w:cs="Times New Roman" w:eastAsia="Times New Roman" w:hAnsi="Times New Roman"/>
          <w:sz w:val="19"/>
          <w:szCs w:val="19"/>
          <w:color w:val="auto"/>
        </w:rPr>
        <w:t xml:space="preserve">”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auto"/>
        </w:rPr>
      </w:pPr>
    </w:p>
    <w:p>
      <w:pPr>
        <w:ind w:right="40" w:firstLine="1410"/>
        <w:spacing w:after="0" w:line="257" w:lineRule="auto"/>
        <w:tabs>
          <w:tab w:leader="none" w:pos="1665"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securing Indebtedness or other obligations in an aggregate principal amount not exceeding $12,500,000 at any one time outstanding (which may cover Portfolio Investments, but only to the extent released from the Lien in favor of the Collateral Agent in accordance with the requirements of Section 10.03 of the Guarantee and Security Agreement), so long as at the time of incurrence of such Indebtedness or other obligations, the aggregate amount of Indebtedness permitted under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does not exceed the lesser of (i) the Borrowing Base and (ii) the amount required to comply with the provisions of </w:t>
      </w:r>
      <w:r>
        <w:rPr>
          <w:rFonts w:ascii="Times New Roman" w:cs="Times New Roman" w:eastAsia="Times New Roman" w:hAnsi="Times New Roman"/>
          <w:sz w:val="19"/>
          <w:szCs w:val="19"/>
          <w:u w:val="single" w:color="auto"/>
          <w:color w:val="auto"/>
        </w:rPr>
        <w:t>Sections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6.07(c)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ind w:left="1660" w:hanging="250"/>
        <w:spacing w:after="0"/>
        <w:tabs>
          <w:tab w:leader="none" w:pos="1660"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Liens;</w:t>
      </w:r>
    </w:p>
    <w:p>
      <w:pPr>
        <w:spacing w:after="0" w:line="201"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Equity Interests in any SBIC Subsidiary created in favor of the SBA or its designee;</w:t>
      </w:r>
    </w:p>
    <w:p>
      <w:pPr>
        <w:spacing w:after="0" w:line="201"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securing Hedging Agreements permitted under </w:t>
      </w:r>
      <w:r>
        <w:rPr>
          <w:rFonts w:ascii="Times New Roman" w:cs="Times New Roman" w:eastAsia="Times New Roman" w:hAnsi="Times New Roman"/>
          <w:sz w:val="19"/>
          <w:szCs w:val="19"/>
          <w:u w:val="single" w:color="auto"/>
          <w:color w:val="auto"/>
        </w:rPr>
        <w:t>Section 6.04(c)</w:t>
      </w:r>
      <w:r>
        <w:rPr>
          <w:rFonts w:ascii="Times New Roman" w:cs="Times New Roman" w:eastAsia="Times New Roman" w:hAnsi="Times New Roman"/>
          <w:sz w:val="19"/>
          <w:szCs w:val="19"/>
          <w:color w:val="auto"/>
        </w:rPr>
        <w:t xml:space="preserve"> and not otherwise permitted under </w:t>
      </w:r>
      <w:r>
        <w:rPr>
          <w:rFonts w:ascii="Times New Roman" w:cs="Times New Roman" w:eastAsia="Times New Roman" w:hAnsi="Times New Roman"/>
          <w:sz w:val="19"/>
          <w:szCs w:val="19"/>
          <w:u w:val="single" w:color="auto"/>
          <w:color w:val="auto"/>
        </w:rPr>
        <w:t>clause (b)</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above; and</w:t>
      </w:r>
    </w:p>
    <w:p>
      <w:pPr>
        <w:spacing w:after="0" w:line="179" w:lineRule="exact"/>
        <w:rPr>
          <w:rFonts w:ascii="Times New Roman" w:cs="Times New Roman" w:eastAsia="Times New Roman" w:hAnsi="Times New Roman"/>
          <w:sz w:val="19"/>
          <w:szCs w:val="19"/>
          <w:color w:val="auto"/>
        </w:rPr>
      </w:pPr>
    </w:p>
    <w:p>
      <w:pPr>
        <w:ind w:left="1640" w:hanging="230"/>
        <w:spacing w:after="0"/>
        <w:tabs>
          <w:tab w:leader="none" w:pos="1640"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repurchase obligations arising in the ordinary course of business with respect to U.S. Government</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w:t>
      </w:r>
    </w:p>
    <w:p>
      <w:pPr>
        <w:spacing w:after="0" w:line="17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7" w:name="page208"/>
    <w:bookmarkEnd w:id="207"/>
    <w:p>
      <w:pPr>
        <w:spacing w:after="0" w:line="269"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 xml:space="preserve">SECTION 6.03. </w:t>
      </w:r>
      <w:r>
        <w:rPr>
          <w:rFonts w:ascii="Times New Roman" w:cs="Times New Roman" w:eastAsia="Times New Roman" w:hAnsi="Times New Roman"/>
          <w:sz w:val="19"/>
          <w:szCs w:val="19"/>
          <w:u w:val="single" w:color="auto"/>
          <w:color w:val="auto"/>
        </w:rPr>
        <w:t>Fundamental Changes</w:t>
      </w:r>
      <w:r>
        <w:rPr>
          <w:rFonts w:ascii="Times New Roman" w:cs="Times New Roman" w:eastAsia="Times New Roman" w:hAnsi="Times New Roman"/>
          <w:sz w:val="19"/>
          <w:szCs w:val="19"/>
          <w:color w:val="auto"/>
        </w:rPr>
        <w:t xml:space="preserve">. The Borrower will not, nor will it permit any of its Subsidiaries (other than Financing Subsidiaries or Immaterial Subsidiaries) to, enter into any transaction of merger or consolidation or amalgamation, or liquidate, wind up or dissolve itself (or suffer any liquidation or dissolution). The Borrower will not, nor will it permit any of its Subsidiaries (other than Financing Subsidiaries) to, acquire any business or property from, or capital stock of, or be a party to any acquisition of, any Person, except for purchases or acquisitions of Portfolio Investments and other assets in the normal course of the day-to -day business activities of the Borrower and its Subsidiaries and not in violation of the terms and conditions of this Agreement or any other Loan Document. The Borrower will not, nor will it permit any of its Subsidiaries (other than Financing Subsidiaries or Immaterial Subsidiaries)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Times New Roman" w:cs="Times New Roman" w:eastAsia="Times New Roman" w:hAnsi="Times New Roman"/>
          <w:sz w:val="19"/>
          <w:szCs w:val="19"/>
          <w:u w:val="single" w:color="auto"/>
          <w:color w:val="auto"/>
        </w:rPr>
        <w:t>clauses (d)</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below, Portfolio Investments.</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Notwithstanding the foregoing provisions of this Section:</w:t>
      </w:r>
    </w:p>
    <w:p>
      <w:pPr>
        <w:spacing w:after="0" w:line="202" w:lineRule="exact"/>
        <w:rPr>
          <w:sz w:val="20"/>
          <w:szCs w:val="20"/>
          <w:color w:val="auto"/>
        </w:rPr>
      </w:pPr>
    </w:p>
    <w:p>
      <w:pPr>
        <w:ind w:right="240" w:firstLine="1410"/>
        <w:spacing w:after="0" w:line="268" w:lineRule="auto"/>
        <w:tabs>
          <w:tab w:leader="none" w:pos="1665" w:val="left"/>
        </w:tabs>
        <w:numPr>
          <w:ilvl w:val="1"/>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Subsidiary Guarantor of the Borrower may be merged or consolidated with or into the Borrower or any other Subsidiary Guarantor;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such transaction shall be between a Subsidiary Guarantor and a wholly owned Subsidiary Guarantor, the wholly owned Subsidiary Guarantor shall be the continuing or surviving corporation;</w:t>
      </w:r>
    </w:p>
    <w:p>
      <w:pPr>
        <w:spacing w:after="0" w:line="144" w:lineRule="exact"/>
        <w:rPr>
          <w:rFonts w:ascii="Times New Roman" w:cs="Times New Roman" w:eastAsia="Times New Roman" w:hAnsi="Times New Roman"/>
          <w:sz w:val="19"/>
          <w:szCs w:val="19"/>
          <w:color w:val="auto"/>
        </w:rPr>
      </w:pPr>
    </w:p>
    <w:p>
      <w:pPr>
        <w:ind w:right="600" w:firstLine="1410"/>
        <w:spacing w:after="0" w:line="286" w:lineRule="auto"/>
        <w:tabs>
          <w:tab w:leader="none" w:pos="1676" w:val="left"/>
        </w:tabs>
        <w:numPr>
          <w:ilvl w:val="1"/>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Subsidiary of the Borrower may sell, lease, transfer or otherwise dispose of any or all of its assets (upon voluntary liquidation or otherwise) to the Borrower or any wholly owned Subsidiary Guarantor of the Borrower;</w:t>
      </w:r>
    </w:p>
    <w:p>
      <w:pPr>
        <w:spacing w:after="0" w:line="127" w:lineRule="exact"/>
        <w:rPr>
          <w:rFonts w:ascii="Times New Roman" w:cs="Times New Roman" w:eastAsia="Times New Roman" w:hAnsi="Times New Roman"/>
          <w:sz w:val="19"/>
          <w:szCs w:val="19"/>
          <w:color w:val="auto"/>
        </w:rPr>
      </w:pPr>
    </w:p>
    <w:p>
      <w:pPr>
        <w:ind w:right="700" w:firstLine="1410"/>
        <w:spacing w:after="0" w:line="286" w:lineRule="auto"/>
        <w:tabs>
          <w:tab w:leader="none" w:pos="1665" w:val="left"/>
        </w:tabs>
        <w:numPr>
          <w:ilvl w:val="1"/>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capital stock of any Subsidiary of the Borrower may be sold, transferred or otherwise disposed of to the Borrower or any wholly owned Subsidiary Guarantor of the Borrower;</w:t>
      </w:r>
    </w:p>
    <w:p>
      <w:pPr>
        <w:spacing w:after="0" w:line="127" w:lineRule="exact"/>
        <w:rPr>
          <w:rFonts w:ascii="Times New Roman" w:cs="Times New Roman" w:eastAsia="Times New Roman" w:hAnsi="Times New Roman"/>
          <w:sz w:val="19"/>
          <w:szCs w:val="19"/>
          <w:color w:val="auto"/>
        </w:rPr>
      </w:pPr>
    </w:p>
    <w:p>
      <w:pPr>
        <w:ind w:right="60" w:firstLine="1410"/>
        <w:spacing w:after="0" w:line="259" w:lineRule="auto"/>
        <w:tabs>
          <w:tab w:leader="none" w:pos="1676" w:val="left"/>
        </w:tabs>
        <w:numPr>
          <w:ilvl w:val="1"/>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Obligors may sell, transfer or otherwise dispose of Portfolio Investments (other than to a Financing Subsidiary) so long as after giving effect to such sale, transfer or other disposition (and any concurrent acquisitions of Portfolio Investments or payment of outstanding Loans or Other Covered Indebtedness) either (x) the Covered Debt Amount does not exceed the Borrowing Base or (y) if the Administrative Agent consents in writing, the amount by which the Covered Debt Amount exceeds the Borrowing Base is reduced thereby;</w:t>
      </w:r>
    </w:p>
    <w:p>
      <w:pPr>
        <w:spacing w:after="0" w:line="153"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1"/>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Obligors may sell, transfer or otherwise dispose of Portfolio Investments to a Financing Subsidiary so long as</w:t>
      </w:r>
    </w:p>
    <w:p>
      <w:pPr>
        <w:spacing w:after="0" w:line="31" w:lineRule="exact"/>
        <w:rPr>
          <w:rFonts w:ascii="Times New Roman" w:cs="Times New Roman" w:eastAsia="Times New Roman" w:hAnsi="Times New Roman"/>
          <w:sz w:val="19"/>
          <w:szCs w:val="19"/>
          <w:color w:val="auto"/>
        </w:rPr>
      </w:pPr>
    </w:p>
    <w:p>
      <w:pPr>
        <w:ind w:right="140" w:firstLine="6"/>
        <w:spacing w:after="0" w:line="253" w:lineRule="auto"/>
        <w:tabs>
          <w:tab w:leader="none" w:pos="229"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giving effect to such sale, transfer or other disposition (and any concurrent acquisitions of Portfolio Investments or payment of outstanding Loans or Other Covered Indebtedness)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8" w:name="page209"/>
    <w:bookmarkEnd w:id="208"/>
    <w:p>
      <w:pPr>
        <w:spacing w:after="0" w:line="269" w:lineRule="exact"/>
        <w:rPr>
          <w:sz w:val="20"/>
          <w:szCs w:val="20"/>
          <w:color w:val="auto"/>
        </w:rPr>
      </w:pPr>
    </w:p>
    <w:p>
      <w:pPr>
        <w:ind w:firstLine="1410"/>
        <w:spacing w:after="0" w:line="268" w:lineRule="auto"/>
        <w:tabs>
          <w:tab w:leader="none" w:pos="1644"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may merge or consolidate with any other Person so long as (i) after giving effect thereto, the Borrower is (x) the continuing or surviving entity in such transaction and (y) organized under the laws of any State in the United States or the District of Columbia and (ii) at the time thereof and after giving effect thereto, no Default shall have occurred or be continuing;</w:t>
      </w:r>
    </w:p>
    <w:p>
      <w:pPr>
        <w:spacing w:after="0" w:line="144" w:lineRule="exact"/>
        <w:rPr>
          <w:rFonts w:ascii="Times New Roman" w:cs="Times New Roman" w:eastAsia="Times New Roman" w:hAnsi="Times New Roman"/>
          <w:sz w:val="19"/>
          <w:szCs w:val="19"/>
          <w:color w:val="auto"/>
        </w:rPr>
      </w:pPr>
    </w:p>
    <w:p>
      <w:pPr>
        <w:ind w:right="80" w:firstLine="1410"/>
        <w:spacing w:after="0" w:line="268" w:lineRule="auto"/>
        <w:tabs>
          <w:tab w:leader="none" w:pos="1676"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Subsidiaries may sell, lease, transfer or otherwise dispose of equipment or other property or assets that do not consist of Portfolio Investments so long as the aggregate amount of all such sales, leases, transfer and dispositions does not exceed $7,500,000 in any fiscal year; and</w:t>
      </w:r>
    </w:p>
    <w:p>
      <w:pPr>
        <w:spacing w:after="0" w:line="144" w:lineRule="exact"/>
        <w:rPr>
          <w:rFonts w:ascii="Times New Roman" w:cs="Times New Roman" w:eastAsia="Times New Roman" w:hAnsi="Times New Roman"/>
          <w:sz w:val="19"/>
          <w:szCs w:val="19"/>
          <w:color w:val="auto"/>
        </w:rPr>
      </w:pPr>
    </w:p>
    <w:p>
      <w:pPr>
        <w:ind w:right="160" w:firstLine="1410"/>
        <w:spacing w:after="0" w:line="257" w:lineRule="auto"/>
        <w:tabs>
          <w:tab w:leader="none" w:pos="1676"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Obligors may transfer assets to a Financing Subsidiary for the sole purpose of facilitating the transfer of assets from one Financing Subsidiary (or a Subsidiary that was a Financing Subsidiary immediately prior to such disposition) to another Financing Subsidiary, directly or indirectly through such Obligor (such assets, the “</w:t>
      </w:r>
      <w:r>
        <w:rPr>
          <w:rFonts w:ascii="Times New Roman" w:cs="Times New Roman" w:eastAsia="Times New Roman" w:hAnsi="Times New Roman"/>
          <w:sz w:val="19"/>
          <w:szCs w:val="19"/>
          <w:u w:val="single" w:color="auto"/>
          <w:color w:val="auto"/>
        </w:rPr>
        <w:t>Transferred Assets</w:t>
      </w:r>
      <w:r>
        <w:rPr>
          <w:rFonts w:ascii="Times New Roman" w:cs="Times New Roman" w:eastAsia="Times New Roman" w:hAnsi="Times New Roman"/>
          <w:sz w:val="19"/>
          <w:szCs w:val="19"/>
          <w:color w:val="auto"/>
        </w:rPr>
        <w:t>”), provided that (i) no Default exists or is continuing at such time, (ii) the Covered Debt Amount shall not exceed the Borrowing Base at such time and (iii) the Transferred Assets were transferred to such Obligor by the transferor Financing Subsidiary on the same Business Day that such assets are transferred by such Obligor to the transferee Financing Subsidiary.</w:t>
      </w:r>
    </w:p>
    <w:p>
      <w:pPr>
        <w:spacing w:after="0" w:line="157" w:lineRule="exact"/>
        <w:rPr>
          <w:sz w:val="20"/>
          <w:szCs w:val="20"/>
          <w:color w:val="auto"/>
        </w:rPr>
      </w:pPr>
    </w:p>
    <w:p>
      <w:pPr>
        <w:ind w:right="320" w:firstLine="1404"/>
        <w:spacing w:after="0" w:line="286" w:lineRule="auto"/>
        <w:rPr>
          <w:sz w:val="20"/>
          <w:szCs w:val="20"/>
          <w:color w:val="auto"/>
        </w:rPr>
      </w:pPr>
      <w:r>
        <w:rPr>
          <w:rFonts w:ascii="Times New Roman" w:cs="Times New Roman" w:eastAsia="Times New Roman" w:hAnsi="Times New Roman"/>
          <w:sz w:val="19"/>
          <w:szCs w:val="19"/>
          <w:color w:val="auto"/>
        </w:rPr>
        <w:t xml:space="preserve">SECTION 6.04. </w:t>
      </w:r>
      <w:r>
        <w:rPr>
          <w:rFonts w:ascii="Times New Roman" w:cs="Times New Roman" w:eastAsia="Times New Roman" w:hAnsi="Times New Roman"/>
          <w:sz w:val="19"/>
          <w:szCs w:val="19"/>
          <w:u w:val="single" w:color="auto"/>
          <w:color w:val="auto"/>
        </w:rPr>
        <w:t>Investments</w:t>
      </w:r>
      <w:r>
        <w:rPr>
          <w:rFonts w:ascii="Times New Roman" w:cs="Times New Roman" w:eastAsia="Times New Roman" w:hAnsi="Times New Roman"/>
          <w:sz w:val="19"/>
          <w:szCs w:val="19"/>
          <w:color w:val="auto"/>
        </w:rPr>
        <w:t>. The Borrower will not, nor will it permit any of its Subsidiaries to, acquire, make or enter into, or hold, any Investments except:</w:t>
      </w:r>
    </w:p>
    <w:p>
      <w:pPr>
        <w:spacing w:after="0" w:line="127" w:lineRule="exact"/>
        <w:rPr>
          <w:sz w:val="20"/>
          <w:szCs w:val="20"/>
          <w:color w:val="auto"/>
        </w:rPr>
      </w:pPr>
    </w:p>
    <w:p>
      <w:pPr>
        <w:ind w:left="1680" w:hanging="270"/>
        <w:spacing w:after="0"/>
        <w:tabs>
          <w:tab w:leader="none" w:pos="168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operating deposit accounts with banks;</w:t>
      </w:r>
    </w:p>
    <w:p>
      <w:pPr>
        <w:spacing w:after="0" w:line="201"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by the Borrower and the Subsidiary Guarantors in the Borrower and the Subsidiary Guarantors;</w:t>
      </w:r>
    </w:p>
    <w:p>
      <w:pPr>
        <w:spacing w:after="0" w:line="201"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Hedging Agreements entered into in the ordinary course of the Borrower’s financial planning and not for</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speculative purposes;</w:t>
      </w:r>
    </w:p>
    <w:p>
      <w:pPr>
        <w:spacing w:after="0" w:line="179" w:lineRule="exact"/>
        <w:rPr>
          <w:rFonts w:ascii="Times New Roman" w:cs="Times New Roman" w:eastAsia="Times New Roman" w:hAnsi="Times New Roman"/>
          <w:sz w:val="19"/>
          <w:szCs w:val="19"/>
          <w:color w:val="auto"/>
        </w:rPr>
      </w:pPr>
    </w:p>
    <w:p>
      <w:pPr>
        <w:ind w:right="100" w:firstLine="1410"/>
        <w:spacing w:after="0" w:line="268" w:lineRule="auto"/>
        <w:tabs>
          <w:tab w:leader="none" w:pos="1676"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Portfolio Investments by the Borrower and its Subsidiaries to the extent such Portfolio Investments are permitted under the Investment Company Act (if applicable) and in compliance in all material respects with the Borrower’s Investment Policies, in each case as in effect as of the date such Investments are acquired;</w:t>
      </w:r>
    </w:p>
    <w:p>
      <w:pPr>
        <w:spacing w:after="0" w:line="144" w:lineRule="exact"/>
        <w:rPr>
          <w:rFonts w:ascii="Times New Roman" w:cs="Times New Roman" w:eastAsia="Times New Roman" w:hAnsi="Times New Roman"/>
          <w:sz w:val="19"/>
          <w:szCs w:val="19"/>
          <w:color w:val="auto"/>
        </w:rPr>
      </w:pPr>
    </w:p>
    <w:p>
      <w:pPr>
        <w:ind w:right="280" w:firstLine="1410"/>
        <w:spacing w:after="0" w:line="259" w:lineRule="auto"/>
        <w:tabs>
          <w:tab w:leader="none" w:pos="1665"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in Financing Subsidiaries so long as, (i) after giving effect to such Investment, the Covered Debt Amount does not exceed the Borrowing Base and (ii) the sum of (x) all Investments under this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that occur after the Extended Commitment Termination Date and (y) all Investments under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below shall not exceed $7,500,000 in the aggregate (A) at any time there are any Non-Extending Lenders, from the Non-Extending Commitment Termination Date to the Non-Extending Final Maturity Date and (B) from the Extending Commitment Termination Date to the Extending Final Maturity Date;</w:t>
      </w:r>
    </w:p>
    <w:p>
      <w:pPr>
        <w:spacing w:after="0" w:line="153" w:lineRule="exact"/>
        <w:rPr>
          <w:rFonts w:ascii="Times New Roman" w:cs="Times New Roman" w:eastAsia="Times New Roman" w:hAnsi="Times New Roman"/>
          <w:sz w:val="19"/>
          <w:szCs w:val="19"/>
          <w:color w:val="auto"/>
        </w:rPr>
      </w:pPr>
    </w:p>
    <w:p>
      <w:pPr>
        <w:ind w:right="40" w:firstLine="1410"/>
        <w:spacing w:after="0" w:line="268" w:lineRule="auto"/>
        <w:tabs>
          <w:tab w:leader="none" w:pos="1644"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additional Investments up to but not exceeding $75,000,000 in the aggregate;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sum of all Investments under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shall not exceed $7,500,000 in the aggregate (x) at any time there are any Non-Extending Lenders, from the</w:t>
      </w:r>
    </w:p>
    <w:p>
      <w:pPr>
        <w:spacing w:after="0" w:line="1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9" w:name="page210"/>
    <w:bookmarkEnd w:id="209"/>
    <w:p>
      <w:pPr>
        <w:spacing w:after="0" w:line="26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9"/>
          <w:szCs w:val="19"/>
          <w:color w:val="auto"/>
        </w:rPr>
        <w:t>Non-Extending Commitment Termination Date to the Non-Extending Final Maturity Date and (y) from the Extending Commitment Termination Date to the Extending Final Maturity Date;</w:t>
      </w:r>
    </w:p>
    <w:p>
      <w:pPr>
        <w:spacing w:after="0" w:line="127" w:lineRule="exact"/>
        <w:rPr>
          <w:sz w:val="20"/>
          <w:szCs w:val="20"/>
          <w:color w:val="auto"/>
        </w:rPr>
      </w:pPr>
    </w:p>
    <w:p>
      <w:pPr>
        <w:ind w:left="1680" w:hanging="270"/>
        <w:spacing w:after="0"/>
        <w:tabs>
          <w:tab w:leader="none" w:pos="168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Cash and Cash Equivalents;</w:t>
      </w:r>
    </w:p>
    <w:p>
      <w:pPr>
        <w:spacing w:after="0" w:line="201"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described on </w:t>
      </w:r>
      <w:r>
        <w:rPr>
          <w:rFonts w:ascii="Times New Roman" w:cs="Times New Roman" w:eastAsia="Times New Roman" w:hAnsi="Times New Roman"/>
          <w:sz w:val="19"/>
          <w:szCs w:val="19"/>
          <w:u w:val="single" w:color="auto"/>
          <w:color w:val="auto"/>
        </w:rPr>
        <w:t>Schedule 3.12(b)</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1640" w:hanging="230"/>
        <w:spacing w:after="0"/>
        <w:tabs>
          <w:tab w:leader="none" w:pos="164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by a Financing Subsidiary; and</w:t>
      </w:r>
    </w:p>
    <w:p>
      <w:pPr>
        <w:spacing w:after="0" w:line="201" w:lineRule="exact"/>
        <w:rPr>
          <w:rFonts w:ascii="Times New Roman" w:cs="Times New Roman" w:eastAsia="Times New Roman" w:hAnsi="Times New Roman"/>
          <w:sz w:val="19"/>
          <w:szCs w:val="19"/>
          <w:color w:val="auto"/>
        </w:rPr>
      </w:pPr>
    </w:p>
    <w:p>
      <w:pPr>
        <w:ind w:left="1640" w:hanging="230"/>
        <w:spacing w:after="0"/>
        <w:tabs>
          <w:tab w:leader="none" w:pos="164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in the form of Guarantees permitted pursuant to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 xml:space="preserve">For purposes of </w:t>
      </w:r>
      <w:r>
        <w:rPr>
          <w:rFonts w:ascii="Times New Roman" w:cs="Times New Roman" w:eastAsia="Times New Roman" w:hAnsi="Times New Roman"/>
          <w:sz w:val="19"/>
          <w:szCs w:val="19"/>
          <w:u w:val="single" w:color="auto"/>
          <w:color w:val="auto"/>
        </w:rPr>
        <w:t>clauses (e) and (f)</w:t>
      </w:r>
      <w:r>
        <w:rPr>
          <w:rFonts w:ascii="Times New Roman" w:cs="Times New Roman" w:eastAsia="Times New Roman" w:hAnsi="Times New Roman"/>
          <w:sz w:val="19"/>
          <w:szCs w:val="19"/>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aggregate amount of Return of Capital and dividends, distributions or other payments received in cash in respect of such Investment and the values (valued in accordance with Section 5.12(b) of other Investments received in respect of such Investment;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60" w:lineRule="exact"/>
        <w:rPr>
          <w:sz w:val="20"/>
          <w:szCs w:val="20"/>
          <w:color w:val="auto"/>
        </w:rPr>
      </w:pPr>
    </w:p>
    <w:p>
      <w:pPr>
        <w:ind w:right="340" w:firstLine="1404"/>
        <w:spacing w:after="0" w:line="268" w:lineRule="auto"/>
        <w:rPr>
          <w:sz w:val="20"/>
          <w:szCs w:val="20"/>
          <w:color w:val="auto"/>
        </w:rPr>
      </w:pPr>
      <w:r>
        <w:rPr>
          <w:rFonts w:ascii="Times New Roman" w:cs="Times New Roman" w:eastAsia="Times New Roman" w:hAnsi="Times New Roman"/>
          <w:sz w:val="19"/>
          <w:szCs w:val="19"/>
          <w:color w:val="auto"/>
        </w:rPr>
        <w:t xml:space="preserve">SECTION 6.05. </w:t>
      </w: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 The Borrower will not, nor will it permit any of its Subsidiaries (other than Financing Subsidiaries) to, declare or make, or agree to pay or make, directly or indirectly, any Restricted Payment, except that the Borrower may declare and pay:</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 dividends with respect to the capital stock of the Borrower payable solely in additional shares of the Borrower’s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common stock;</w:t>
      </w:r>
    </w:p>
    <w:p>
      <w:pPr>
        <w:spacing w:after="0" w:line="180" w:lineRule="exact"/>
        <w:rPr>
          <w:sz w:val="20"/>
          <w:szCs w:val="20"/>
          <w:color w:val="auto"/>
        </w:rPr>
      </w:pPr>
    </w:p>
    <w:p>
      <w:pPr>
        <w:ind w:right="80" w:firstLine="1410"/>
        <w:spacing w:after="0" w:line="259" w:lineRule="auto"/>
        <w:tabs>
          <w:tab w:leader="none" w:pos="1676"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dividends and distributions in either case in cash or other property (excluding for this purpose the Borrower’s common stock) in any taxable year of the Borrower in amounts not to exceed the amount that is estimated in good faith by the Borrower to be required to (i) reduce to zero for such taxable year or for the previous taxable year, its investment company taxable income (within the meaning of Section 852(b)(2) of the Code) and reduce to zero the tax imposed by Section 852(b)(3) of the Code, and (ii) avoid federal excise taxes for such taxable year imposed by Section 4982 of the Code;</w:t>
      </w:r>
    </w:p>
    <w:p>
      <w:pPr>
        <w:spacing w:after="0" w:line="153" w:lineRule="exact"/>
        <w:rPr>
          <w:rFonts w:ascii="Times New Roman" w:cs="Times New Roman" w:eastAsia="Times New Roman" w:hAnsi="Times New Roman"/>
          <w:sz w:val="19"/>
          <w:szCs w:val="19"/>
          <w:color w:val="auto"/>
        </w:rPr>
      </w:pPr>
    </w:p>
    <w:p>
      <w:pPr>
        <w:ind w:right="100" w:firstLine="1410"/>
        <w:spacing w:after="0" w:line="268" w:lineRule="auto"/>
        <w:tabs>
          <w:tab w:leader="none" w:pos="1665"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dividends and distributions in each case in cash or other property (excluding for this purpose the Borrower’s common stock) in addition to the dividends and distributions permitted under the foregoing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so long as on the date of such Restricted Payment and after giving effect thereto:</w:t>
      </w:r>
    </w:p>
    <w:p>
      <w:pPr>
        <w:spacing w:after="0" w:line="144" w:lineRule="exact"/>
        <w:rPr>
          <w:rFonts w:ascii="Times New Roman" w:cs="Times New Roman" w:eastAsia="Times New Roman" w:hAnsi="Times New Roman"/>
          <w:sz w:val="19"/>
          <w:szCs w:val="19"/>
          <w:color w:val="auto"/>
        </w:rPr>
      </w:pPr>
    </w:p>
    <w:p>
      <w:pPr>
        <w:ind w:left="1680" w:hanging="234"/>
        <w:spacing w:after="0"/>
        <w:tabs>
          <w:tab w:leader="none" w:pos="1680" w:val="left"/>
        </w:tabs>
        <w:numPr>
          <w:ilvl w:val="1"/>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shall have occurred and be continuing; and</w:t>
      </w:r>
    </w:p>
    <w:p>
      <w:pPr>
        <w:spacing w:after="0" w:line="201" w:lineRule="exact"/>
        <w:rPr>
          <w:rFonts w:ascii="Times New Roman" w:cs="Times New Roman" w:eastAsia="Times New Roman" w:hAnsi="Times New Roman"/>
          <w:sz w:val="19"/>
          <w:szCs w:val="19"/>
          <w:color w:val="auto"/>
        </w:rPr>
      </w:pPr>
    </w:p>
    <w:p>
      <w:pPr>
        <w:ind w:left="700" w:right="180" w:firstLine="746"/>
        <w:spacing w:after="0" w:line="286" w:lineRule="auto"/>
        <w:tabs>
          <w:tab w:leader="none" w:pos="1727" w:val="left"/>
        </w:tabs>
        <w:numPr>
          <w:ilvl w:val="1"/>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aggregate amount of Restricted Payments made during any taxable year of the Borrower after the date hereof under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shall not exceed the sum of (x)</w:t>
      </w:r>
    </w:p>
    <w:p>
      <w:pPr>
        <w:spacing w:after="0" w:line="12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10" w:name="page211"/>
    <w:bookmarkEnd w:id="210"/>
    <w:p>
      <w:pPr>
        <w:spacing w:after="0" w:line="269" w:lineRule="exact"/>
        <w:rPr>
          <w:sz w:val="20"/>
          <w:szCs w:val="20"/>
          <w:color w:val="auto"/>
        </w:rPr>
      </w:pPr>
    </w:p>
    <w:p>
      <w:pPr>
        <w:ind w:left="700" w:right="140"/>
        <w:spacing w:after="0" w:line="259" w:lineRule="auto"/>
        <w:rPr>
          <w:sz w:val="20"/>
          <w:szCs w:val="20"/>
          <w:color w:val="auto"/>
        </w:rPr>
      </w:pPr>
      <w:r>
        <w:rPr>
          <w:rFonts w:ascii="Times New Roman" w:cs="Times New Roman" w:eastAsia="Times New Roman" w:hAnsi="Times New Roman"/>
          <w:sz w:val="19"/>
          <w:szCs w:val="19"/>
          <w:color w:val="auto"/>
        </w:rPr>
        <w:t xml:space="preserve">an amount equal to 15% of the taxable income of the Borrower for such taxable year determined under section 852(b)(2) of the Code, but without regard to </w:t>
      </w:r>
      <w:r>
        <w:rPr>
          <w:rFonts w:ascii="Times New Roman" w:cs="Times New Roman" w:eastAsia="Times New Roman" w:hAnsi="Times New Roman"/>
          <w:sz w:val="19"/>
          <w:szCs w:val="19"/>
          <w:u w:val="single" w:color="auto"/>
          <w:color w:val="auto"/>
        </w:rPr>
        <w:t>subparagraphs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thereof,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(y) the amount, if any, by which dividends and distributions made during such taxable year pursuant to the foregoing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(whether in respect of such taxable year or the previous taxable year) based upon the Borrower’s estimate of taxable income exceeded the actual amounts specified in </w:t>
      </w:r>
      <w:r>
        <w:rPr>
          <w:rFonts w:ascii="Times New Roman" w:cs="Times New Roman" w:eastAsia="Times New Roman" w:hAnsi="Times New Roman"/>
          <w:sz w:val="19"/>
          <w:szCs w:val="19"/>
          <w:u w:val="single" w:color="auto"/>
          <w:color w:val="auto"/>
        </w:rPr>
        <w:t>subclauses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of such foregoing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for such taxable year.</w:t>
      </w:r>
    </w:p>
    <w:p>
      <w:pPr>
        <w:spacing w:after="0" w:line="154" w:lineRule="exact"/>
        <w:rPr>
          <w:sz w:val="20"/>
          <w:szCs w:val="20"/>
          <w:color w:val="auto"/>
        </w:rPr>
      </w:pPr>
    </w:p>
    <w:p>
      <w:pPr>
        <w:ind w:left="1680" w:hanging="270"/>
        <w:spacing w:after="0"/>
        <w:tabs>
          <w:tab w:leader="none" w:pos="1680" w:val="left"/>
        </w:tabs>
        <w:numPr>
          <w:ilvl w:val="1"/>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Restricted Payments so long as (i) on the date of such other Restricted Payment and after giving effect thereto</w:t>
      </w:r>
    </w:p>
    <w:p>
      <w:pPr>
        <w:spacing w:after="0" w:line="31" w:lineRule="exact"/>
        <w:rPr>
          <w:rFonts w:ascii="Times New Roman" w:cs="Times New Roman" w:eastAsia="Times New Roman" w:hAnsi="Times New Roman"/>
          <w:sz w:val="19"/>
          <w:szCs w:val="19"/>
          <w:color w:val="auto"/>
        </w:rPr>
      </w:pPr>
    </w:p>
    <w:p>
      <w:pPr>
        <w:ind w:left="280" w:hanging="274"/>
        <w:spacing w:after="0"/>
        <w:tabs>
          <w:tab w:leader="none" w:pos="28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Covered Debt Amount does not exceed 90% of the Borrowing Base and (y) no Default shall have occurred and be continuing and</w:t>
      </w:r>
    </w:p>
    <w:p>
      <w:pPr>
        <w:spacing w:after="0" w:line="9" w:lineRule="exact"/>
        <w:rPr>
          <w:rFonts w:ascii="Times New Roman" w:cs="Times New Roman" w:eastAsia="Times New Roman" w:hAnsi="Times New Roman"/>
          <w:sz w:val="19"/>
          <w:szCs w:val="19"/>
          <w:color w:val="auto"/>
        </w:rPr>
      </w:pPr>
    </w:p>
    <w:p>
      <w:pPr>
        <w:ind w:right="60" w:firstLine="6"/>
        <w:spacing w:after="0" w:line="252" w:lineRule="auto"/>
        <w:tabs>
          <w:tab w:leader="none" w:pos="282"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 the date of such other Restricted Payment the Borrower delivers to the Administrative Agent and each Lender a Borrowing Base Certificate as at such date demonstrating compliance with </w:t>
      </w:r>
      <w:r>
        <w:rPr>
          <w:rFonts w:ascii="Times New Roman" w:cs="Times New Roman" w:eastAsia="Times New Roman" w:hAnsi="Times New Roman"/>
          <w:sz w:val="19"/>
          <w:szCs w:val="19"/>
          <w:u w:val="single" w:color="auto"/>
          <w:color w:val="auto"/>
        </w:rPr>
        <w:t>subclause (x)</w:t>
      </w:r>
      <w:r>
        <w:rPr>
          <w:rFonts w:ascii="Times New Roman" w:cs="Times New Roman" w:eastAsia="Times New Roman" w:hAnsi="Times New Roman"/>
          <w:sz w:val="19"/>
          <w:szCs w:val="19"/>
          <w:color w:val="auto"/>
        </w:rPr>
        <w:t xml:space="preserve"> after giving effect to such Restricted Payment. For purposes of preparing such Borrowing Base Certificate, (A) the Value of any Quoted Investment shall be the most recent quotation available for such Portfolio Investment and (B) the Value of any Unquoted Investment shall be the Value set forth in the Borrowing Base Certificate most recently delivered by the Borrower to the Administrative Agent and the Lenders pursuant to </w:t>
      </w:r>
      <w:r>
        <w:rPr>
          <w:rFonts w:ascii="Times New Roman" w:cs="Times New Roman" w:eastAsia="Times New Roman" w:hAnsi="Times New Roman"/>
          <w:sz w:val="19"/>
          <w:szCs w:val="19"/>
          <w:u w:val="single" w:color="auto"/>
          <w:color w:val="auto"/>
        </w:rPr>
        <w:t>Section 5.01(d)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reduce the Value of any Portfolio Investment referred to in this </w:t>
      </w:r>
      <w:r>
        <w:rPr>
          <w:rFonts w:ascii="Times New Roman" w:cs="Times New Roman" w:eastAsia="Times New Roman" w:hAnsi="Times New Roman"/>
          <w:sz w:val="19"/>
          <w:szCs w:val="19"/>
          <w:u w:val="single" w:color="auto"/>
          <w:color w:val="auto"/>
        </w:rPr>
        <w:t>sub-clause (B)</w:t>
      </w:r>
      <w:r>
        <w:rPr>
          <w:rFonts w:ascii="Times New Roman" w:cs="Times New Roman" w:eastAsia="Times New Roman" w:hAnsi="Times New Roman"/>
          <w:sz w:val="19"/>
          <w:szCs w:val="19"/>
          <w:color w:val="auto"/>
        </w:rPr>
        <w:t xml:space="preserve"> to the extent necessary to take into account any events of which the Borrower has knowledge that adversely affect the value of such Portfolio Investment.</w:t>
      </w:r>
    </w:p>
    <w:p>
      <w:pPr>
        <w:spacing w:after="0" w:line="161"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Nothing herein shall be deemed to prohibit the payment of Restricted Payments by any Subsidiary of the Borrower to the Borrower or to any other Subsidiary Guarantor.</w:t>
      </w:r>
    </w:p>
    <w:p>
      <w:pPr>
        <w:spacing w:after="0" w:line="127"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 xml:space="preserve">SECTION 6.06. </w:t>
      </w:r>
      <w:r>
        <w:rPr>
          <w:rFonts w:ascii="Times New Roman" w:cs="Times New Roman" w:eastAsia="Times New Roman" w:hAnsi="Times New Roman"/>
          <w:sz w:val="19"/>
          <w:szCs w:val="19"/>
          <w:u w:val="single" w:color="auto"/>
          <w:color w:val="auto"/>
        </w:rPr>
        <w:t>Certain Restrictions on Subsidiaries</w:t>
      </w:r>
      <w:r>
        <w:rPr>
          <w:rFonts w:ascii="Times New Roman" w:cs="Times New Roman" w:eastAsia="Times New Roman" w:hAnsi="Times New Roman"/>
          <w:sz w:val="19"/>
          <w:szCs w:val="19"/>
          <w:color w:val="auto"/>
        </w:rPr>
        <w:t xml:space="preserve">. The Borrower will not permit any of its Subsidiaries (other than Financing Subsidiaries) to enter into or suffer to exist any indenture, agreement, instrument or other arrangement that prohibits or restrains, in each case in any material respect, or imposes materially adverse conditions upon, the incurrence or payment of Indebtedness, the granting of Liens, the declaration or payment of dividends, the making of loans, advances, guarantees or Investments or the sale, assignment, transfer or other disposition of property except for any prohibitions or restraints contained in (i) any Indebtedness permitted under </w:t>
      </w:r>
      <w:r>
        <w:rPr>
          <w:rFonts w:ascii="Times New Roman" w:cs="Times New Roman" w:eastAsia="Times New Roman" w:hAnsi="Times New Roman"/>
          <w:sz w:val="19"/>
          <w:szCs w:val="19"/>
          <w:u w:val="single" w:color="auto"/>
          <w:color w:val="auto"/>
        </w:rPr>
        <w:t>Section 6.01(b)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prohibition or reservation set forth therein does not prohibit the performance by the Borrower or its Subsidiaries of their obligations under this Agreement, (ii) any Indebtedness permitted under </w:t>
      </w:r>
      <w:r>
        <w:rPr>
          <w:rFonts w:ascii="Times New Roman" w:cs="Times New Roman" w:eastAsia="Times New Roman" w:hAnsi="Times New Roman"/>
          <w:sz w:val="19"/>
          <w:szCs w:val="19"/>
          <w:u w:val="single" w:color="auto"/>
          <w:color w:val="auto"/>
        </w:rPr>
        <w:t>Section 6.01(c)</w:t>
      </w:r>
      <w:r>
        <w:rPr>
          <w:rFonts w:ascii="Times New Roman" w:cs="Times New Roman" w:eastAsia="Times New Roman" w:hAnsi="Times New Roman"/>
          <w:sz w:val="19"/>
          <w:szCs w:val="19"/>
          <w:color w:val="auto"/>
        </w:rPr>
        <w:t xml:space="preserve"> secured by a Lien permitted under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provided that such prohibitions and restraints are applicable by their terms only to the assets that are subject to such Lien and (iii) any Indebtedness permitted under </w:t>
      </w:r>
      <w:r>
        <w:rPr>
          <w:rFonts w:ascii="Times New Roman" w:cs="Times New Roman" w:eastAsia="Times New Roman" w:hAnsi="Times New Roman"/>
          <w:sz w:val="19"/>
          <w:szCs w:val="19"/>
          <w:u w:val="single" w:color="auto"/>
          <w:color w:val="auto"/>
        </w:rPr>
        <w:t>Section 6.01(e)</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secured by a Permitted Lien provided that such prohibitions and restraints are applicable by their terms only to the assets that are subject to such Lien.</w:t>
      </w:r>
    </w:p>
    <w:p>
      <w:pPr>
        <w:spacing w:after="0" w:line="1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6.07. </w:t>
      </w:r>
      <w:r>
        <w:rPr>
          <w:rFonts w:ascii="Times New Roman" w:cs="Times New Roman" w:eastAsia="Times New Roman" w:hAnsi="Times New Roman"/>
          <w:sz w:val="19"/>
          <w:szCs w:val="19"/>
          <w:u w:val="single" w:color="auto"/>
          <w:color w:val="auto"/>
        </w:rPr>
        <w:t>Certain Financial Covenants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00" w:firstLine="1410"/>
        <w:spacing w:after="0" w:line="268" w:lineRule="auto"/>
        <w:tabs>
          <w:tab w:leader="none" w:pos="1668"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Minimum Shareholders’ Equity</w:t>
      </w:r>
      <w:r>
        <w:rPr>
          <w:rFonts w:ascii="Times New Roman" w:cs="Times New Roman" w:eastAsia="Times New Roman" w:hAnsi="Times New Roman"/>
          <w:sz w:val="19"/>
          <w:szCs w:val="19"/>
          <w:color w:val="auto"/>
        </w:rPr>
        <w:t xml:space="preserve">. The Borrower will not permit Shareholders’ Equity at the last day of any fiscal quarter of the Borrower to be less than $290,000,000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25% of the net proceeds of the sale of Equity Interests by the Borrower and its Subsidiaries after the Effective Date (other than proceeds of sales of Equity Interests by and among the Borrower and its Subsidiaries).</w:t>
      </w:r>
    </w:p>
    <w:p>
      <w:pPr>
        <w:spacing w:after="0" w:line="14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11" w:name="page212"/>
    <w:bookmarkEnd w:id="211"/>
    <w:p>
      <w:pPr>
        <w:spacing w:after="0" w:line="269" w:lineRule="exact"/>
        <w:rPr>
          <w:sz w:val="20"/>
          <w:szCs w:val="20"/>
          <w:color w:val="auto"/>
        </w:rPr>
      </w:pPr>
    </w:p>
    <w:p>
      <w:pPr>
        <w:ind w:right="300" w:firstLine="1410"/>
        <w:spacing w:after="0" w:line="286" w:lineRule="auto"/>
        <w:tabs>
          <w:tab w:leader="none" w:pos="168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Minimum Borrower Net Worth</w:t>
      </w:r>
      <w:r>
        <w:rPr>
          <w:rFonts w:ascii="Times New Roman" w:cs="Times New Roman" w:eastAsia="Times New Roman" w:hAnsi="Times New Roman"/>
          <w:sz w:val="19"/>
          <w:szCs w:val="19"/>
          <w:color w:val="auto"/>
        </w:rPr>
        <w:t>. The Borrower will not permit Borrower Net Worth at the last day of any fiscal quarter to be less than $222,500,000.</w:t>
      </w:r>
    </w:p>
    <w:p>
      <w:pPr>
        <w:spacing w:after="0" w:line="127" w:lineRule="exact"/>
        <w:rPr>
          <w:rFonts w:ascii="Times New Roman" w:cs="Times New Roman" w:eastAsia="Times New Roman" w:hAnsi="Times New Roman"/>
          <w:sz w:val="19"/>
          <w:szCs w:val="19"/>
          <w:color w:val="auto"/>
        </w:rPr>
      </w:pPr>
    </w:p>
    <w:p>
      <w:pPr>
        <w:ind w:right="120" w:firstLine="1410"/>
        <w:spacing w:after="0" w:line="286" w:lineRule="auto"/>
        <w:tabs>
          <w:tab w:leader="none" w:pos="1668"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Borrower Asset Coverage Ratio</w:t>
      </w:r>
      <w:r>
        <w:rPr>
          <w:rFonts w:ascii="Times New Roman" w:cs="Times New Roman" w:eastAsia="Times New Roman" w:hAnsi="Times New Roman"/>
          <w:sz w:val="19"/>
          <w:szCs w:val="19"/>
          <w:color w:val="auto"/>
        </w:rPr>
        <w:t>. The Borrower will not permit the Borrower Asset Coverage Ratio at the last day of any fiscal quarter to be less than 2.00 to 1.</w:t>
      </w:r>
    </w:p>
    <w:p>
      <w:pPr>
        <w:spacing w:after="0" w:line="127" w:lineRule="exact"/>
        <w:rPr>
          <w:rFonts w:ascii="Times New Roman" w:cs="Times New Roman" w:eastAsia="Times New Roman" w:hAnsi="Times New Roman"/>
          <w:sz w:val="19"/>
          <w:szCs w:val="19"/>
          <w:color w:val="auto"/>
        </w:rPr>
      </w:pPr>
    </w:p>
    <w:p>
      <w:pPr>
        <w:ind w:right="180" w:firstLine="1410"/>
        <w:spacing w:after="0" w:line="286" w:lineRule="auto"/>
        <w:tabs>
          <w:tab w:leader="none" w:pos="168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Consolidated Asset Coverage Ratio</w:t>
      </w:r>
      <w:r>
        <w:rPr>
          <w:rFonts w:ascii="Times New Roman" w:cs="Times New Roman" w:eastAsia="Times New Roman" w:hAnsi="Times New Roman"/>
          <w:sz w:val="19"/>
          <w:szCs w:val="19"/>
          <w:color w:val="auto"/>
        </w:rPr>
        <w:t>. The Borrower will not permit the Consolidated Asset Coverage Ratio at the last day of any fiscal quarter to be less than 1.50 to 1.</w:t>
      </w:r>
    </w:p>
    <w:p>
      <w:pPr>
        <w:spacing w:after="0" w:line="127" w:lineRule="exact"/>
        <w:rPr>
          <w:rFonts w:ascii="Times New Roman" w:cs="Times New Roman" w:eastAsia="Times New Roman" w:hAnsi="Times New Roman"/>
          <w:sz w:val="19"/>
          <w:szCs w:val="19"/>
          <w:color w:val="auto"/>
        </w:rPr>
      </w:pPr>
    </w:p>
    <w:p>
      <w:pPr>
        <w:ind w:right="280" w:firstLine="1410"/>
        <w:spacing w:after="0" w:line="262" w:lineRule="auto"/>
        <w:tabs>
          <w:tab w:leader="none" w:pos="1668"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Liquidity Test</w:t>
      </w:r>
      <w:r>
        <w:rPr>
          <w:rFonts w:ascii="Times New Roman" w:cs="Times New Roman" w:eastAsia="Times New Roman" w:hAnsi="Times New Roman"/>
          <w:sz w:val="19"/>
          <w:szCs w:val="19"/>
          <w:color w:val="auto"/>
        </w:rPr>
        <w:t>. The Borrower will not permit the aggregate Value of the Portfolio Investments that are Cash (excluding Cash Collateral for outstanding Letters of Credit) or that can be converted to Cash in fewer than 10 Business Days without more than a 5% change in price to be less than 10% of the Covered Debt Amount for more than 30 Business Days during any period when the Adjusted Covered Debt Balance is greater than 90% of the Adjusted Borrowing Base.</w:t>
      </w:r>
    </w:p>
    <w:p>
      <w:pPr>
        <w:spacing w:after="0" w:line="150"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 xml:space="preserve">SECTION 6.08. </w:t>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xml:space="preserve">. The Borrower will not, and will not permit any of its Subsidiaries to enter into any transactions with any of its Affiliates, even if otherwise permitted under this Agreement, except (a) transactions in the ordinary course of business at prices and on terms and conditions not less favorable to the Borrower or such Subsidiary (other than a SBIC Subsidiary) than could be obtained on an arm’s- length basis from unrelated third parties, (b) transactions between or among the Borrower and its Subsidiaries not involving any other Affiliate, (c) Restricted Payments permitted by </w:t>
      </w:r>
      <w:r>
        <w:rPr>
          <w:rFonts w:ascii="Times New Roman" w:cs="Times New Roman" w:eastAsia="Times New Roman" w:hAnsi="Times New Roman"/>
          <w:sz w:val="19"/>
          <w:szCs w:val="19"/>
          <w:u w:val="single" w:color="auto"/>
          <w:color w:val="auto"/>
        </w:rPr>
        <w:t>Section 6.05</w:t>
      </w:r>
      <w:r>
        <w:rPr>
          <w:rFonts w:ascii="Times New Roman" w:cs="Times New Roman" w:eastAsia="Times New Roman" w:hAnsi="Times New Roman"/>
          <w:sz w:val="19"/>
          <w:szCs w:val="19"/>
          <w:color w:val="auto"/>
        </w:rPr>
        <w:t xml:space="preserve">, (d) the transactions provided in the Affiliate Agreements, (e) transactions described on </w:t>
      </w:r>
      <w:r>
        <w:rPr>
          <w:rFonts w:ascii="Times New Roman" w:cs="Times New Roman" w:eastAsia="Times New Roman" w:hAnsi="Times New Roman"/>
          <w:sz w:val="19"/>
          <w:szCs w:val="19"/>
          <w:u w:val="single" w:color="auto"/>
          <w:color w:val="auto"/>
        </w:rPr>
        <w:t>Schedule 6.08</w:t>
      </w:r>
      <w:r>
        <w:rPr>
          <w:rFonts w:ascii="Times New Roman" w:cs="Times New Roman" w:eastAsia="Times New Roman" w:hAnsi="Times New Roman"/>
          <w:sz w:val="19"/>
          <w:szCs w:val="19"/>
          <w:color w:val="auto"/>
        </w:rPr>
        <w:t>,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in good faith is believed could be obtained at the time on an arm’s-length basis from unrelated third parties.</w:t>
      </w:r>
    </w:p>
    <w:p>
      <w:pPr>
        <w:spacing w:after="0" w:line="160" w:lineRule="exact"/>
        <w:rPr>
          <w:sz w:val="20"/>
          <w:szCs w:val="20"/>
          <w:color w:val="auto"/>
        </w:rPr>
      </w:pPr>
    </w:p>
    <w:p>
      <w:pPr>
        <w:ind w:right="280" w:firstLine="1404"/>
        <w:spacing w:after="0" w:line="262" w:lineRule="auto"/>
        <w:rPr>
          <w:sz w:val="20"/>
          <w:szCs w:val="20"/>
          <w:color w:val="auto"/>
        </w:rPr>
      </w:pPr>
      <w:r>
        <w:rPr>
          <w:rFonts w:ascii="Times New Roman" w:cs="Times New Roman" w:eastAsia="Times New Roman" w:hAnsi="Times New Roman"/>
          <w:sz w:val="19"/>
          <w:szCs w:val="19"/>
          <w:color w:val="auto"/>
        </w:rPr>
        <w:t xml:space="preserve">SECTION 6.09. </w:t>
      </w:r>
      <w:r>
        <w:rPr>
          <w:rFonts w:ascii="Times New Roman" w:cs="Times New Roman" w:eastAsia="Times New Roman" w:hAnsi="Times New Roman"/>
          <w:sz w:val="19"/>
          <w:szCs w:val="19"/>
          <w:u w:val="single" w:color="auto"/>
          <w:color w:val="auto"/>
        </w:rPr>
        <w:t>Lines of Business</w:t>
      </w:r>
      <w:r>
        <w:rPr>
          <w:rFonts w:ascii="Times New Roman" w:cs="Times New Roman" w:eastAsia="Times New Roman" w:hAnsi="Times New Roman"/>
          <w:sz w:val="19"/>
          <w:szCs w:val="19"/>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50" w:lineRule="exact"/>
        <w:rPr>
          <w:sz w:val="20"/>
          <w:szCs w:val="20"/>
          <w:color w:val="auto"/>
        </w:rPr>
      </w:pPr>
    </w:p>
    <w:p>
      <w:pPr>
        <w:ind w:right="100" w:firstLine="1404"/>
        <w:spacing w:after="0" w:line="255" w:lineRule="auto"/>
        <w:rPr>
          <w:sz w:val="20"/>
          <w:szCs w:val="20"/>
          <w:color w:val="auto"/>
        </w:rPr>
      </w:pPr>
      <w:r>
        <w:rPr>
          <w:rFonts w:ascii="Times New Roman" w:cs="Times New Roman" w:eastAsia="Times New Roman" w:hAnsi="Times New Roman"/>
          <w:sz w:val="19"/>
          <w:szCs w:val="19"/>
          <w:color w:val="auto"/>
        </w:rPr>
        <w:t xml:space="preserve">SECTION 6.10. </w:t>
      </w:r>
      <w:r>
        <w:rPr>
          <w:rFonts w:ascii="Times New Roman" w:cs="Times New Roman" w:eastAsia="Times New Roman" w:hAnsi="Times New Roman"/>
          <w:sz w:val="19"/>
          <w:szCs w:val="19"/>
          <w:u w:val="single" w:color="auto"/>
          <w:color w:val="auto"/>
        </w:rPr>
        <w:t>No Further Negative Pledge</w:t>
      </w:r>
      <w:r>
        <w:rPr>
          <w:rFonts w:ascii="Times New Roman" w:cs="Times New Roman" w:eastAsia="Times New Roman" w:hAnsi="Times New Roman"/>
          <w:sz w:val="19"/>
          <w:szCs w:val="19"/>
          <w:color w:val="auto"/>
        </w:rPr>
        <w:t xml:space="preserve">. The Borrower will not, and will not permit any of its Subsidiaries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Times New Roman" w:cs="Times New Roman" w:eastAsia="Times New Roman" w:hAnsi="Times New Roman"/>
          <w:sz w:val="19"/>
          <w:szCs w:val="19"/>
          <w:u w:val="single" w:color="auto"/>
          <w:color w:val="auto"/>
        </w:rPr>
        <w:t>Section 6.01(b)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(b) covenants in documents creating Liens permitted by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(including covenants with respect to the Designated Indebtedness Obligations or Designated Indebtedness Holders under (and, in each case, as defined in) the Security Documents) prohibiting further Liens on the assets encumbered thereby; (c) customary restrictions contained in leases not subject to a waiver; and (d) any other agreement that does not</w:t>
      </w:r>
    </w:p>
    <w:p>
      <w:pPr>
        <w:spacing w:after="0" w:line="15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12" w:name="page213"/>
    <w:bookmarkEnd w:id="212"/>
    <w:p>
      <w:pPr>
        <w:spacing w:after="0" w:line="269"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9"/>
          <w:szCs w:val="19"/>
          <w:color w:val="auto"/>
        </w:rPr>
        <w:t>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50" w:lineRule="exact"/>
        <w:rPr>
          <w:sz w:val="20"/>
          <w:szCs w:val="20"/>
          <w:color w:val="auto"/>
        </w:rPr>
      </w:pPr>
    </w:p>
    <w:p>
      <w:pPr>
        <w:ind w:right="460" w:firstLine="1404"/>
        <w:spacing w:after="0" w:line="286" w:lineRule="auto"/>
        <w:rPr>
          <w:sz w:val="20"/>
          <w:szCs w:val="20"/>
          <w:color w:val="auto"/>
        </w:rPr>
      </w:pPr>
      <w:r>
        <w:rPr>
          <w:rFonts w:ascii="Times New Roman" w:cs="Times New Roman" w:eastAsia="Times New Roman" w:hAnsi="Times New Roman"/>
          <w:sz w:val="19"/>
          <w:szCs w:val="19"/>
          <w:color w:val="auto"/>
        </w:rPr>
        <w:t xml:space="preserve">SECTION 6.11. </w:t>
      </w:r>
      <w:r>
        <w:rPr>
          <w:rFonts w:ascii="Times New Roman" w:cs="Times New Roman" w:eastAsia="Times New Roman" w:hAnsi="Times New Roman"/>
          <w:sz w:val="19"/>
          <w:szCs w:val="19"/>
          <w:u w:val="single" w:color="auto"/>
          <w:color w:val="auto"/>
        </w:rPr>
        <w:t>Modifications of Longer-Term Indebtedness Documents</w:t>
      </w:r>
      <w:r>
        <w:rPr>
          <w:rFonts w:ascii="Times New Roman" w:cs="Times New Roman" w:eastAsia="Times New Roman" w:hAnsi="Times New Roman"/>
          <w:sz w:val="19"/>
          <w:szCs w:val="19"/>
          <w:color w:val="auto"/>
        </w:rPr>
        <w:t>. The Borrower will not consent to any modification, supplement or waiver of:</w:t>
      </w:r>
    </w:p>
    <w:p>
      <w:pPr>
        <w:spacing w:after="0" w:line="127" w:lineRule="exact"/>
        <w:rPr>
          <w:sz w:val="20"/>
          <w:szCs w:val="20"/>
          <w:color w:val="auto"/>
        </w:rPr>
      </w:pPr>
    </w:p>
    <w:p>
      <w:pPr>
        <w:ind w:firstLine="1410"/>
        <w:spacing w:after="0" w:line="254" w:lineRule="auto"/>
        <w:tabs>
          <w:tab w:leader="none" w:pos="1665"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Secured Indebtedness” and “Unsecured Longer-Term Indebtedness”, as applicable, set forth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of this Agreement, unless (i) in the case of Secured Longer-Term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60" w:lineRule="exact"/>
        <w:rPr>
          <w:rFonts w:ascii="Times New Roman" w:cs="Times New Roman" w:eastAsia="Times New Roman" w:hAnsi="Times New Roman"/>
          <w:sz w:val="19"/>
          <w:szCs w:val="19"/>
          <w:color w:val="auto"/>
        </w:rPr>
      </w:pPr>
    </w:p>
    <w:p>
      <w:pPr>
        <w:jc w:val="both"/>
        <w:ind w:right="100" w:firstLine="1410"/>
        <w:spacing w:after="0" w:line="268" w:lineRule="auto"/>
        <w:tabs>
          <w:tab w:leader="none" w:pos="1676"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44" w:lineRule="exact"/>
        <w:rPr>
          <w:sz w:val="20"/>
          <w:szCs w:val="20"/>
          <w:color w:val="auto"/>
        </w:rPr>
      </w:pPr>
    </w:p>
    <w:p>
      <w:pPr>
        <w:ind w:right="60" w:firstLine="1404"/>
        <w:spacing w:after="0" w:line="253" w:lineRule="auto"/>
        <w:rPr>
          <w:sz w:val="20"/>
          <w:szCs w:val="20"/>
          <w:color w:val="auto"/>
        </w:rPr>
      </w:pPr>
      <w:r>
        <w:rPr>
          <w:rFonts w:ascii="Times New Roman" w:cs="Times New Roman" w:eastAsia="Times New Roman" w:hAnsi="Times New Roman"/>
          <w:sz w:val="19"/>
          <w:szCs w:val="19"/>
          <w:color w:val="auto"/>
        </w:rPr>
        <w:t xml:space="preserve">SECTION 6.12. </w:t>
      </w:r>
      <w:r>
        <w:rPr>
          <w:rFonts w:ascii="Times New Roman" w:cs="Times New Roman" w:eastAsia="Times New Roman" w:hAnsi="Times New Roman"/>
          <w:sz w:val="19"/>
          <w:szCs w:val="19"/>
          <w:u w:val="single" w:color="auto"/>
          <w:color w:val="auto"/>
        </w:rPr>
        <w:t>Payments of Longer-Term Indebtedness</w:t>
      </w:r>
      <w:r>
        <w:rPr>
          <w:rFonts w:ascii="Times New Roman" w:cs="Times New Roman" w:eastAsia="Times New Roman" w:hAnsi="Times New Roman"/>
          <w:sz w:val="19"/>
          <w:szCs w:val="19"/>
          <w:color w:val="auto"/>
        </w:rPr>
        <w:t xml:space="preserve">. The Borrower will not, nor will it permit any of its Subsidiaries (other than Financing Subsidiaries)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Special Permitted Indebtedness or Unsecured Longer-Term Indebtedness (other than the refinancing of Secured Longer-Term Indebtedness, Special Permitted Indebtedness or Unsecured Longer-Term Indebtedness with Indebtedness permitted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6.01</w:t>
      </w:r>
      <w:r>
        <w:rPr>
          <w:rFonts w:ascii="Times New Roman" w:cs="Times New Roman" w:eastAsia="Times New Roman" w:hAnsi="Times New Roman"/>
          <w:sz w:val="19"/>
          <w:szCs w:val="19"/>
          <w:color w:val="auto"/>
        </w:rPr>
        <w:t>), except for (a) regularly scheduled payments, prepayments or redemptions of principal and interest (excluding regularly scheduled payments of principal on Permitted Amortizing Unsecured Longer-Term Indebtedness or Special Permitted Indebtedness) in respect thereof required pursuant to the instruments evidencing such Indebtedness and the payment when due of the types of fees and expenses that are customarily paid in connection with such Indebtedness (it being understood that: (w) the conversion features into Permitted Equity Interests under Permitted Convertible Indebtedness; (x) the triggering of such conversion and/or settlement thereof solely with Permitted Equity Interests; and (y) any cash payment on account of interest or expenses on such Permitted Convertible Indebtedness made by the Borrower or any of</w:t>
      </w:r>
    </w:p>
    <w:p>
      <w:pPr>
        <w:spacing w:after="0" w:line="16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3" w:name="page214"/>
    <w:bookmarkEnd w:id="213"/>
    <w:p>
      <w:pPr>
        <w:spacing w:after="0" w:line="26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 xml:space="preserve">its Subsidiaries in respect of such triggering and/or settlement thereof shall be permitted under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(b) voluntary payments or prepayments of Secured Longer -Term Indebtedness and regularly scheduled payments of principal of Permitted Amortizing Unsecured Longer-Term Indebtedness and Special Permitted Indebtedness, so long as both before and after giving effect to such voluntary payment or prepayment (i) the Borrower is in pro forma compliance with the financial covenants set forth in </w:t>
      </w:r>
      <w:r>
        <w:rPr>
          <w:rFonts w:ascii="Times New Roman" w:cs="Times New Roman" w:eastAsia="Times New Roman" w:hAnsi="Times New Roman"/>
          <w:sz w:val="19"/>
          <w:szCs w:val="19"/>
          <w:u w:val="single" w:color="auto"/>
          <w:color w:val="auto"/>
        </w:rPr>
        <w:t>Section 6.07</w:t>
      </w:r>
      <w:r>
        <w:rPr>
          <w:rFonts w:ascii="Times New Roman" w:cs="Times New Roman" w:eastAsia="Times New Roman" w:hAnsi="Times New Roman"/>
          <w:sz w:val="19"/>
          <w:szCs w:val="19"/>
          <w:color w:val="auto"/>
        </w:rPr>
        <w:t xml:space="preserve"> and (ii) no Default or Event of Default shall exist or be continuing or (c) so long as no Default shall exist or be continuing, any payment that, if treated as a Restricted Payment for purposes of </w:t>
      </w:r>
      <w:r>
        <w:rPr>
          <w:rFonts w:ascii="Times New Roman" w:cs="Times New Roman" w:eastAsia="Times New Roman" w:hAnsi="Times New Roman"/>
          <w:sz w:val="19"/>
          <w:szCs w:val="19"/>
          <w:u w:val="single" w:color="auto"/>
          <w:color w:val="auto"/>
        </w:rPr>
        <w:t>Section 6.05(d)</w:t>
      </w:r>
      <w:r>
        <w:rPr>
          <w:rFonts w:ascii="Times New Roman" w:cs="Times New Roman" w:eastAsia="Times New Roman" w:hAnsi="Times New Roman"/>
          <w:sz w:val="19"/>
          <w:szCs w:val="19"/>
          <w:color w:val="auto"/>
        </w:rPr>
        <w:t xml:space="preserve">, would be permitted to be made pursuant to the provisions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6.05(d)</w:t>
      </w:r>
      <w:r>
        <w:rPr>
          <w:rFonts w:ascii="Times New Roman" w:cs="Times New Roman" w:eastAsia="Times New Roman" w:hAnsi="Times New Roman"/>
          <w:sz w:val="19"/>
          <w:szCs w:val="19"/>
          <w:color w:val="auto"/>
        </w:rPr>
        <w:t>.</w:t>
      </w:r>
    </w:p>
    <w:p>
      <w:pPr>
        <w:spacing w:after="0" w:line="390" w:lineRule="exact"/>
        <w:rPr>
          <w:sz w:val="20"/>
          <w:szCs w:val="20"/>
          <w:color w:val="auto"/>
        </w:rPr>
      </w:pPr>
    </w:p>
    <w:p>
      <w:pPr>
        <w:jc w:val="both"/>
        <w:ind w:right="100" w:firstLine="1404"/>
        <w:spacing w:after="0" w:line="268" w:lineRule="auto"/>
        <w:rPr>
          <w:sz w:val="20"/>
          <w:szCs w:val="20"/>
          <w:color w:val="auto"/>
        </w:rPr>
      </w:pPr>
      <w:r>
        <w:rPr>
          <w:rFonts w:ascii="Times New Roman" w:cs="Times New Roman" w:eastAsia="Times New Roman" w:hAnsi="Times New Roman"/>
          <w:sz w:val="19"/>
          <w:szCs w:val="19"/>
          <w:color w:val="auto"/>
        </w:rPr>
        <w:t xml:space="preserve">SECTION 6.13. </w:t>
      </w:r>
      <w:r>
        <w:rPr>
          <w:rFonts w:ascii="Times New Roman" w:cs="Times New Roman" w:eastAsia="Times New Roman" w:hAnsi="Times New Roman"/>
          <w:sz w:val="19"/>
          <w:szCs w:val="19"/>
          <w:u w:val="single" w:color="auto"/>
          <w:color w:val="auto"/>
        </w:rPr>
        <w:t>Accounting Changes</w:t>
      </w:r>
      <w:r>
        <w:rPr>
          <w:rFonts w:ascii="Times New Roman" w:cs="Times New Roman" w:eastAsia="Times New Roman" w:hAnsi="Times New Roman"/>
          <w:sz w:val="19"/>
          <w:szCs w:val="19"/>
          <w:color w:val="auto"/>
        </w:rPr>
        <w:t>. The Borrower will not, nor will it permit any of its Subsidiaries to, make any change in (a) accounting policies or reporting practices, except as permitted under GAAP or required by law or rule or regulation of any Governmental Authority, or (b) its fiscal year.</w:t>
      </w:r>
    </w:p>
    <w:p>
      <w:pPr>
        <w:spacing w:after="0" w:line="144" w:lineRule="exact"/>
        <w:rPr>
          <w:sz w:val="20"/>
          <w:szCs w:val="20"/>
          <w:color w:val="auto"/>
        </w:rPr>
      </w:pPr>
    </w:p>
    <w:p>
      <w:pPr>
        <w:jc w:val="both"/>
        <w:ind w:right="100" w:firstLine="1404"/>
        <w:spacing w:after="0" w:line="286" w:lineRule="auto"/>
        <w:rPr>
          <w:sz w:val="20"/>
          <w:szCs w:val="20"/>
          <w:color w:val="auto"/>
        </w:rPr>
      </w:pPr>
      <w:r>
        <w:rPr>
          <w:rFonts w:ascii="Times New Roman" w:cs="Times New Roman" w:eastAsia="Times New Roman" w:hAnsi="Times New Roman"/>
          <w:sz w:val="19"/>
          <w:szCs w:val="19"/>
          <w:color w:val="auto"/>
        </w:rPr>
        <w:t xml:space="preserve">SECTION 6.14. </w:t>
      </w:r>
      <w:r>
        <w:rPr>
          <w:rFonts w:ascii="Times New Roman" w:cs="Times New Roman" w:eastAsia="Times New Roman" w:hAnsi="Times New Roman"/>
          <w:sz w:val="19"/>
          <w:szCs w:val="19"/>
          <w:u w:val="single" w:color="auto"/>
          <w:color w:val="auto"/>
        </w:rPr>
        <w:t>SBIC Guarantee</w:t>
      </w:r>
      <w:r>
        <w:rPr>
          <w:rFonts w:ascii="Times New Roman" w:cs="Times New Roman" w:eastAsia="Times New Roman" w:hAnsi="Times New Roman"/>
          <w:sz w:val="19"/>
          <w:szCs w:val="19"/>
          <w:color w:val="auto"/>
        </w:rPr>
        <w:t>. The Borrower will not, nor will it permit any of its Subsidiaries to, cause or permit the occurrence of any event or condition that would result in any recourse to any Obligor under any Permitted SBIC Guarantee.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VII</w:t>
      </w:r>
    </w:p>
    <w:p>
      <w:pPr>
        <w:spacing w:after="0" w:line="23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u w:val="single" w:color="auto"/>
          <w:color w:val="auto"/>
        </w:rPr>
        <w:t>EVENTS OF DEFAULT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If any of the following events (“</w:t>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shall occur and be continuing:</w:t>
      </w:r>
    </w:p>
    <w:p>
      <w:pPr>
        <w:spacing w:after="0" w:line="202" w:lineRule="exact"/>
        <w:rPr>
          <w:sz w:val="20"/>
          <w:szCs w:val="20"/>
          <w:color w:val="auto"/>
        </w:rPr>
      </w:pPr>
    </w:p>
    <w:p>
      <w:pPr>
        <w:ind w:right="200" w:firstLine="1410"/>
        <w:spacing w:after="0" w:line="262" w:lineRule="auto"/>
        <w:tabs>
          <w:tab w:leader="none" w:pos="1665"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on the Extended Commitment Termination Date or as required by </w:t>
      </w:r>
      <w:r>
        <w:rPr>
          <w:rFonts w:ascii="Times New Roman" w:cs="Times New Roman" w:eastAsia="Times New Roman" w:hAnsi="Times New Roman"/>
          <w:sz w:val="19"/>
          <w:szCs w:val="19"/>
          <w:u w:val="single" w:color="auto"/>
          <w:color w:val="auto"/>
        </w:rPr>
        <w:t>Section 2.20(b)</w:t>
      </w:r>
      <w:r>
        <w:rPr>
          <w:rFonts w:ascii="Times New Roman" w:cs="Times New Roman" w:eastAsia="Times New Roman" w:hAnsi="Times New Roman"/>
          <w:sz w:val="19"/>
          <w:szCs w:val="19"/>
          <w:color w:val="auto"/>
        </w:rPr>
        <w:t xml:space="preserve"> on the date so required;</w:t>
      </w:r>
    </w:p>
    <w:p>
      <w:pPr>
        <w:spacing w:after="0" w:line="150" w:lineRule="exact"/>
        <w:rPr>
          <w:rFonts w:ascii="Times New Roman" w:cs="Times New Roman" w:eastAsia="Times New Roman" w:hAnsi="Times New Roman"/>
          <w:sz w:val="19"/>
          <w:szCs w:val="19"/>
          <w:color w:val="auto"/>
        </w:rPr>
      </w:pPr>
    </w:p>
    <w:p>
      <w:pPr>
        <w:ind w:right="300" w:firstLine="1410"/>
        <w:spacing w:after="0" w:line="268" w:lineRule="auto"/>
        <w:tabs>
          <w:tab w:leader="none" w:pos="1676"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fail to pay any interest on any Loan or any fee or any other amount (other than an amount referred to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of this Article) payable under this Agreement or under any other Loan Document, when and as the same shall become due and payable, and such failure shall continue unremedied for a period of five or more Business Days;</w:t>
      </w:r>
    </w:p>
    <w:p>
      <w:pPr>
        <w:spacing w:after="0" w:line="144" w:lineRule="exact"/>
        <w:rPr>
          <w:rFonts w:ascii="Times New Roman" w:cs="Times New Roman" w:eastAsia="Times New Roman" w:hAnsi="Times New Roman"/>
          <w:sz w:val="19"/>
          <w:szCs w:val="19"/>
          <w:color w:val="auto"/>
        </w:rPr>
      </w:pPr>
    </w:p>
    <w:p>
      <w:pPr>
        <w:ind w:right="40" w:firstLine="1410"/>
        <w:spacing w:after="0" w:line="259" w:lineRule="auto"/>
        <w:tabs>
          <w:tab w:leader="none" w:pos="1665"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representation or warranty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153" w:lineRule="exact"/>
        <w:rPr>
          <w:rFonts w:ascii="Times New Roman" w:cs="Times New Roman" w:eastAsia="Times New Roman" w:hAnsi="Times New Roman"/>
          <w:sz w:val="19"/>
          <w:szCs w:val="19"/>
          <w:color w:val="auto"/>
        </w:rPr>
      </w:pPr>
    </w:p>
    <w:p>
      <w:pPr>
        <w:ind w:right="120" w:firstLine="1410"/>
        <w:spacing w:after="0" w:line="268" w:lineRule="auto"/>
        <w:tabs>
          <w:tab w:leader="none" w:pos="1676"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fail to observe or perform any covenant, condition or agreement contained in (i) </w:t>
      </w:r>
      <w:r>
        <w:rPr>
          <w:rFonts w:ascii="Times New Roman" w:cs="Times New Roman" w:eastAsia="Times New Roman" w:hAnsi="Times New Roman"/>
          <w:sz w:val="19"/>
          <w:szCs w:val="19"/>
          <w:u w:val="single" w:color="auto"/>
          <w:color w:val="auto"/>
        </w:rPr>
        <w:t>Section 5.03</w:t>
      </w:r>
      <w:r>
        <w:rPr>
          <w:rFonts w:ascii="Times New Roman" w:cs="Times New Roman" w:eastAsia="Times New Roman" w:hAnsi="Times New Roman"/>
          <w:sz w:val="19"/>
          <w:szCs w:val="19"/>
          <w:color w:val="auto"/>
        </w:rPr>
        <w:t xml:space="preserve"> (with respect to the Borrower’s existence) or </w:t>
      </w:r>
      <w:r>
        <w:rPr>
          <w:rFonts w:ascii="Times New Roman" w:cs="Times New Roman" w:eastAsia="Times New Roman" w:hAnsi="Times New Roman"/>
          <w:sz w:val="19"/>
          <w:szCs w:val="19"/>
          <w:u w:val="single" w:color="auto"/>
          <w:color w:val="auto"/>
        </w:rPr>
        <w:t>Sections 5.08(a)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in </w:t>
      </w:r>
      <w:r>
        <w:rPr>
          <w:rFonts w:ascii="Times New Roman" w:cs="Times New Roman" w:eastAsia="Times New Roman" w:hAnsi="Times New Roman"/>
          <w:sz w:val="19"/>
          <w:szCs w:val="19"/>
          <w:u w:val="single" w:color="auto"/>
          <w:color w:val="auto"/>
        </w:rPr>
        <w:t>Article VI</w:t>
      </w:r>
      <w:r>
        <w:rPr>
          <w:rFonts w:ascii="Times New Roman" w:cs="Times New Roman" w:eastAsia="Times New Roman" w:hAnsi="Times New Roman"/>
          <w:sz w:val="19"/>
          <w:szCs w:val="19"/>
          <w:color w:val="auto"/>
        </w:rPr>
        <w:t xml:space="preserve"> or any Obligor shall default in the performance of any of its obligations contained in Section 7 of the Guarantee and Security Agreement or (ii) </w:t>
      </w:r>
      <w:r>
        <w:rPr>
          <w:rFonts w:ascii="Times New Roman" w:cs="Times New Roman" w:eastAsia="Times New Roman" w:hAnsi="Times New Roman"/>
          <w:sz w:val="19"/>
          <w:szCs w:val="19"/>
          <w:u w:val="single" w:color="auto"/>
          <w:color w:val="auto"/>
        </w:rPr>
        <w:t>Sections 5.01(e)</w:t>
      </w:r>
    </w:p>
    <w:p>
      <w:pPr>
        <w:spacing w:after="0" w:line="1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14" w:name="page215"/>
    <w:bookmarkEnd w:id="214"/>
    <w:p>
      <w:pPr>
        <w:spacing w:after="0" w:line="269" w:lineRule="exact"/>
        <w:rPr>
          <w:sz w:val="20"/>
          <w:szCs w:val="20"/>
          <w:color w:val="auto"/>
        </w:rPr>
      </w:pPr>
    </w:p>
    <w:p>
      <w:pPr>
        <w:ind w:right="280" w:firstLine="48"/>
        <w:spacing w:after="0" w:line="286" w:lineRule="auto"/>
        <w:rPr>
          <w:sz w:val="20"/>
          <w:szCs w:val="20"/>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5.02</w:t>
      </w:r>
      <w:r>
        <w:rPr>
          <w:rFonts w:ascii="Times New Roman" w:cs="Times New Roman" w:eastAsia="Times New Roman" w:hAnsi="Times New Roman"/>
          <w:sz w:val="19"/>
          <w:szCs w:val="19"/>
          <w:color w:val="auto"/>
        </w:rPr>
        <w:t xml:space="preserve"> and such failure shall continue unremedied for a period of five or more days after notice thereof by the Administrative Agent (given at the request of any Lender) to the Borrower;</w:t>
      </w:r>
    </w:p>
    <w:p>
      <w:pPr>
        <w:spacing w:after="0" w:line="127" w:lineRule="exact"/>
        <w:rPr>
          <w:sz w:val="20"/>
          <w:szCs w:val="20"/>
          <w:color w:val="auto"/>
        </w:rPr>
      </w:pPr>
    </w:p>
    <w:p>
      <w:pPr>
        <w:ind w:right="20" w:firstLine="1410"/>
        <w:spacing w:after="0" w:line="257" w:lineRule="auto"/>
        <w:tabs>
          <w:tab w:leader="none" w:pos="1665"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Borrowing Base Deficiency shall occur and continue unremedied for a period of five or more Business Days after delivery of a Borrowing Base Certificate demonstrating such Borrowing Base Deficiency pursuant to </w:t>
      </w:r>
      <w:r>
        <w:rPr>
          <w:rFonts w:ascii="Times New Roman" w:cs="Times New Roman" w:eastAsia="Times New Roman" w:hAnsi="Times New Roman"/>
          <w:sz w:val="19"/>
          <w:szCs w:val="19"/>
          <w:u w:val="single" w:color="auto"/>
          <w:color w:val="auto"/>
        </w:rPr>
        <w:t>Section 5.01(e)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it shall not be an Event of Default hereunder if the Borrower shall present the Administrative Agent with a reasonably feasible plan acceptable to the Administrative Agent in its sole discretion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156" w:lineRule="exact"/>
        <w:rPr>
          <w:rFonts w:ascii="Times New Roman" w:cs="Times New Roman" w:eastAsia="Times New Roman" w:hAnsi="Times New Roman"/>
          <w:sz w:val="19"/>
          <w:szCs w:val="19"/>
          <w:color w:val="auto"/>
        </w:rPr>
      </w:pPr>
    </w:p>
    <w:p>
      <w:pPr>
        <w:jc w:val="both"/>
        <w:ind w:right="140" w:firstLine="1410"/>
        <w:spacing w:after="0" w:line="262" w:lineRule="auto"/>
        <w:tabs>
          <w:tab w:leader="none" w:pos="1644"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or any Obligor, as applicable, shall fail to observe or perform any covenant, condition or agreement contained in this Agreement (other than those specified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(r)</w:t>
      </w:r>
      <w:r>
        <w:rPr>
          <w:rFonts w:ascii="Times New Roman" w:cs="Times New Roman" w:eastAsia="Times New Roman" w:hAnsi="Times New Roman"/>
          <w:sz w:val="19"/>
          <w:szCs w:val="19"/>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50" w:lineRule="exact"/>
        <w:rPr>
          <w:rFonts w:ascii="Times New Roman" w:cs="Times New Roman" w:eastAsia="Times New Roman" w:hAnsi="Times New Roman"/>
          <w:sz w:val="19"/>
          <w:szCs w:val="19"/>
          <w:color w:val="auto"/>
        </w:rPr>
      </w:pPr>
    </w:p>
    <w:p>
      <w:pPr>
        <w:ind w:right="120" w:firstLine="1410"/>
        <w:spacing w:after="0" w:line="268" w:lineRule="auto"/>
        <w:tabs>
          <w:tab w:leader="none" w:pos="1676"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144" w:lineRule="exact"/>
        <w:rPr>
          <w:rFonts w:ascii="Times New Roman" w:cs="Times New Roman" w:eastAsia="Times New Roman" w:hAnsi="Times New Roman"/>
          <w:sz w:val="19"/>
          <w:szCs w:val="19"/>
          <w:color w:val="auto"/>
        </w:rPr>
      </w:pPr>
    </w:p>
    <w:p>
      <w:pPr>
        <w:ind w:right="40" w:firstLine="1410"/>
        <w:spacing w:after="0" w:line="255" w:lineRule="auto"/>
        <w:tabs>
          <w:tab w:leader="none" w:pos="1676"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after giving effect to any applicable grace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w:t>
      </w:r>
      <w:r>
        <w:rPr>
          <w:rFonts w:ascii="Times New Roman" w:cs="Times New Roman" w:eastAsia="Times New Roman" w:hAnsi="Times New Roman"/>
          <w:sz w:val="19"/>
          <w:szCs w:val="19"/>
          <w:u w:val="single" w:color="auto"/>
          <w:color w:val="auto"/>
        </w:rPr>
        <w:t>clause (h)</w:t>
      </w:r>
      <w:r>
        <w:rPr>
          <w:rFonts w:ascii="Times New Roman" w:cs="Times New Roman" w:eastAsia="Times New Roman" w:hAnsi="Times New Roman"/>
          <w:sz w:val="19"/>
          <w:szCs w:val="19"/>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to the extent it becomes due or is paid in cash (other than interest or expenses) as a result of an “event of default” (as defined in the documents governing such convertible Material Indebtedness);</w:t>
      </w:r>
    </w:p>
    <w:p>
      <w:pPr>
        <w:spacing w:after="0" w:line="159" w:lineRule="exact"/>
        <w:rPr>
          <w:rFonts w:ascii="Times New Roman" w:cs="Times New Roman" w:eastAsia="Times New Roman" w:hAnsi="Times New Roman"/>
          <w:sz w:val="19"/>
          <w:szCs w:val="19"/>
          <w:color w:val="auto"/>
        </w:rPr>
      </w:pPr>
    </w:p>
    <w:p>
      <w:pPr>
        <w:ind w:firstLine="1410"/>
        <w:spacing w:after="0" w:line="256" w:lineRule="auto"/>
        <w:tabs>
          <w:tab w:leader="none" w:pos="1634"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57" w:lineRule="exact"/>
        <w:rPr>
          <w:rFonts w:ascii="Times New Roman" w:cs="Times New Roman" w:eastAsia="Times New Roman" w:hAnsi="Times New Roman"/>
          <w:sz w:val="19"/>
          <w:szCs w:val="19"/>
          <w:color w:val="auto"/>
        </w:rPr>
      </w:pPr>
    </w:p>
    <w:p>
      <w:pPr>
        <w:ind w:right="380" w:firstLine="1410"/>
        <w:spacing w:after="0" w:line="286" w:lineRule="auto"/>
        <w:tabs>
          <w:tab w:leader="none" w:pos="1634"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any of its Subsidiaries (other than Immaterial Subsidiaries) shall (i) voluntarily commence any proceeding or file any petition seeking liquidation,</w:t>
      </w:r>
    </w:p>
    <w:p>
      <w:pPr>
        <w:spacing w:after="0" w:line="12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15" w:name="page216"/>
    <w:bookmarkEnd w:id="215"/>
    <w:p>
      <w:pPr>
        <w:spacing w:after="0" w:line="26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9"/>
          <w:szCs w:val="19"/>
          <w:color w:val="auto"/>
        </w:rPr>
        <w:t xml:space="preserve">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57" w:lineRule="exact"/>
        <w:rPr>
          <w:sz w:val="20"/>
          <w:szCs w:val="20"/>
          <w:color w:val="auto"/>
        </w:rPr>
      </w:pPr>
    </w:p>
    <w:p>
      <w:pPr>
        <w:ind w:right="160" w:firstLine="1410"/>
        <w:spacing w:after="0" w:line="286" w:lineRule="auto"/>
        <w:tabs>
          <w:tab w:leader="none" w:pos="1676"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any of its Subsidiaries (other than Immaterial Subsidiaries) shall become unable, admit in writing its inability or fail generally to pay its debts as they become due;</w:t>
      </w:r>
    </w:p>
    <w:p>
      <w:pPr>
        <w:spacing w:after="0" w:line="127" w:lineRule="exact"/>
        <w:rPr>
          <w:rFonts w:ascii="Times New Roman" w:cs="Times New Roman" w:eastAsia="Times New Roman" w:hAnsi="Times New Roman"/>
          <w:sz w:val="19"/>
          <w:szCs w:val="19"/>
          <w:color w:val="auto"/>
        </w:rPr>
      </w:pPr>
    </w:p>
    <w:p>
      <w:pPr>
        <w:ind w:right="20" w:firstLine="1410"/>
        <w:spacing w:after="0" w:line="259" w:lineRule="auto"/>
        <w:tabs>
          <w:tab w:leader="none" w:pos="1634"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one or more judgments for the payment of money in an aggregate amount in excess of $15,000,000 shall be rendered against the Borrower or any of its Subsidiaries (other than Immaterial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53" w:lineRule="exact"/>
        <w:rPr>
          <w:rFonts w:ascii="Times New Roman" w:cs="Times New Roman" w:eastAsia="Times New Roman" w:hAnsi="Times New Roman"/>
          <w:sz w:val="19"/>
          <w:szCs w:val="19"/>
          <w:color w:val="auto"/>
        </w:rPr>
      </w:pPr>
    </w:p>
    <w:p>
      <w:pPr>
        <w:ind w:right="340" w:firstLine="1410"/>
        <w:spacing w:after="0" w:line="286" w:lineRule="auto"/>
        <w:tabs>
          <w:tab w:leader="none" w:pos="173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ERISA Event shall have occurred that, in the opinion of the Required Lenders, when taken together with all other ERISA Events that have occurred, could reasonably be expected to result in a Material Adverse Effect;</w:t>
      </w:r>
    </w:p>
    <w:p>
      <w:pPr>
        <w:spacing w:after="0" w:line="127"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Control shall occur;</w:t>
      </w:r>
    </w:p>
    <w:p>
      <w:pPr>
        <w:spacing w:after="0" w:line="201"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PennantPark Investment Advisers, LLC or an Affiliate thereof shall cease to be the investment advisor for the</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w:t>
      </w:r>
    </w:p>
    <w:p>
      <w:pPr>
        <w:spacing w:after="0" w:line="179" w:lineRule="exact"/>
        <w:rPr>
          <w:rFonts w:ascii="Times New Roman" w:cs="Times New Roman" w:eastAsia="Times New Roman" w:hAnsi="Times New Roman"/>
          <w:sz w:val="19"/>
          <w:szCs w:val="19"/>
          <w:color w:val="auto"/>
        </w:rPr>
      </w:pPr>
    </w:p>
    <w:p>
      <w:pPr>
        <w:ind w:right="20" w:firstLine="1410"/>
        <w:spacing w:after="0" w:line="257" w:lineRule="auto"/>
        <w:tabs>
          <w:tab w:leader="none" w:pos="1676"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Administrative Agent, free and clear of all other Liens (other than Liens permitted under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56" w:lineRule="exact"/>
        <w:rPr>
          <w:rFonts w:ascii="Times New Roman" w:cs="Times New Roman" w:eastAsia="Times New Roman" w:hAnsi="Times New Roman"/>
          <w:sz w:val="19"/>
          <w:szCs w:val="19"/>
          <w:color w:val="auto"/>
        </w:rPr>
      </w:pPr>
    </w:p>
    <w:p>
      <w:pPr>
        <w:ind w:right="80" w:firstLine="1410"/>
        <w:spacing w:after="0" w:line="286" w:lineRule="auto"/>
        <w:tabs>
          <w:tab w:leader="none" w:pos="1676"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expiration in accordance with its terms, any of the Security Documents shall for whatever reason be terminated or cease to be in full force and effect in any material respect, or the enforceability thereof shall be contested by the Borrower;</w:t>
      </w:r>
    </w:p>
    <w:p>
      <w:pPr>
        <w:spacing w:after="0" w:line="127" w:lineRule="exact"/>
        <w:rPr>
          <w:rFonts w:ascii="Times New Roman" w:cs="Times New Roman" w:eastAsia="Times New Roman" w:hAnsi="Times New Roman"/>
          <w:sz w:val="19"/>
          <w:szCs w:val="19"/>
          <w:color w:val="auto"/>
        </w:rPr>
      </w:pPr>
    </w:p>
    <w:p>
      <w:pPr>
        <w:ind w:firstLine="1410"/>
        <w:spacing w:after="0" w:line="268" w:lineRule="auto"/>
        <w:tabs>
          <w:tab w:leader="none" w:pos="1644"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Obligors shall at any time, without the consent of the Required Lenders fail to comply with the covenant contained in </w:t>
      </w:r>
      <w:r>
        <w:rPr>
          <w:rFonts w:ascii="Times New Roman" w:cs="Times New Roman" w:eastAsia="Times New Roman" w:hAnsi="Times New Roman"/>
          <w:sz w:val="19"/>
          <w:szCs w:val="19"/>
          <w:u w:val="single" w:color="auto"/>
          <w:color w:val="auto"/>
        </w:rPr>
        <w:t>Section 5.11</w:t>
      </w:r>
      <w:r>
        <w:rPr>
          <w:rFonts w:ascii="Times New Roman" w:cs="Times New Roman" w:eastAsia="Times New Roman" w:hAnsi="Times New Roman"/>
          <w:sz w:val="19"/>
          <w:szCs w:val="19"/>
          <w:color w:val="auto"/>
        </w:rPr>
        <w:t>, and such failure shall continue unremedied for a period of 30 or more days after the earlier of notice thereof by the Administrative</w:t>
      </w:r>
    </w:p>
    <w:p>
      <w:pPr>
        <w:spacing w:after="0" w:line="1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6" w:name="page217"/>
    <w:bookmarkEnd w:id="216"/>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Agent (given at the request of any Lender) to the Borrower or knowledge thereof by a Financial Officer; or</w:t>
      </w:r>
    </w:p>
    <w:p>
      <w:pPr>
        <w:spacing w:after="0" w:line="202" w:lineRule="exact"/>
        <w:rPr>
          <w:sz w:val="20"/>
          <w:szCs w:val="20"/>
          <w:color w:val="auto"/>
        </w:rPr>
      </w:pPr>
    </w:p>
    <w:p>
      <w:pPr>
        <w:ind w:right="300" w:firstLine="1410"/>
        <w:spacing w:after="0" w:line="286" w:lineRule="auto"/>
        <w:tabs>
          <w:tab w:leader="none" w:pos="1655"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any of its Subsidiaries shall cause or permit the occurrence of any condition or event that would result in any recourse to any Obligor under any Permitted SBIC Guarantee;</w:t>
      </w:r>
    </w:p>
    <w:p>
      <w:pPr>
        <w:spacing w:after="0" w:line="1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9"/>
          <w:szCs w:val="19"/>
          <w:color w:val="auto"/>
        </w:rPr>
        <w:t xml:space="preserve">then, and in every such event (other than an event with respect to the Borrower described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65" w:lineRule="exact"/>
        <w:rPr>
          <w:sz w:val="20"/>
          <w:szCs w:val="20"/>
          <w:color w:val="auto"/>
        </w:rPr>
      </w:pPr>
    </w:p>
    <w:p>
      <w:pPr>
        <w:ind w:right="120" w:firstLine="1404"/>
        <w:spacing w:after="0" w:line="256" w:lineRule="auto"/>
        <w:rPr>
          <w:sz w:val="20"/>
          <w:szCs w:val="20"/>
          <w:color w:val="auto"/>
        </w:rPr>
      </w:pPr>
      <w:r>
        <w:rPr>
          <w:rFonts w:ascii="Times New Roman" w:cs="Times New Roman" w:eastAsia="Times New Roman" w:hAnsi="Times New Roman"/>
          <w:sz w:val="19"/>
          <w:szCs w:val="19"/>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accrued and unpaid interest thereon;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of this Article.</w:t>
      </w:r>
    </w:p>
    <w:p>
      <w:pPr>
        <w:spacing w:after="0" w:line="157"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 xml:space="preserve">Notwithstanding anything to the contrary contained herein, on the CAM Exchange Date, to the extent not otherwise prohibited by law, (a) 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the interests in the Designated Obligations to be received in such deemed exchange shall, automatically and 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w:t>
      </w:r>
    </w:p>
    <w:p>
      <w:pPr>
        <w:spacing w:after="0" w:line="15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17" w:name="page218"/>
    <w:bookmarkEnd w:id="217"/>
    <w:p>
      <w:pPr>
        <w:spacing w:after="0" w:line="2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 xml:space="preserve">participation from any Lender as contemplated by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ARTICLE VIII</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u w:val="single" w:color="auto"/>
          <w:color w:val="auto"/>
        </w:rPr>
        <w:t>THE ADMINISTRATIVE AGENT</w:t>
      </w:r>
    </w:p>
    <w:p>
      <w:pPr>
        <w:spacing w:after="0" w:line="202" w:lineRule="exact"/>
        <w:rPr>
          <w:sz w:val="20"/>
          <w:szCs w:val="20"/>
          <w:color w:val="auto"/>
        </w:rPr>
      </w:pPr>
    </w:p>
    <w:p>
      <w:pPr>
        <w:ind w:right="160" w:firstLine="1404"/>
        <w:spacing w:after="0" w:line="256" w:lineRule="auto"/>
        <w:rPr>
          <w:sz w:val="20"/>
          <w:szCs w:val="20"/>
          <w:color w:val="auto"/>
        </w:rPr>
      </w:pPr>
      <w:r>
        <w:rPr>
          <w:rFonts w:ascii="Times New Roman" w:cs="Times New Roman" w:eastAsia="Times New Roman" w:hAnsi="Times New Roman"/>
          <w:sz w:val="19"/>
          <w:szCs w:val="19"/>
          <w:color w:val="auto"/>
        </w:rPr>
        <w:t xml:space="preserve">SECTION 8.01. </w:t>
      </w:r>
      <w:r>
        <w:rPr>
          <w:rFonts w:ascii="Times New Roman" w:cs="Times New Roman" w:eastAsia="Times New Roman" w:hAnsi="Times New Roman"/>
          <w:sz w:val="19"/>
          <w:szCs w:val="19"/>
          <w:u w:val="single" w:color="auto"/>
          <w:color w:val="auto"/>
        </w:rPr>
        <w:t>Appointment of the Administrative Agent</w:t>
      </w:r>
      <w:r>
        <w:rPr>
          <w:rFonts w:ascii="Times New Roman" w:cs="Times New Roman" w:eastAsia="Times New Roman" w:hAnsi="Times New Roman"/>
          <w:sz w:val="19"/>
          <w:szCs w:val="19"/>
          <w:color w:val="auto"/>
        </w:rPr>
        <w:t>. Each of the Lenders and the Issuing Bank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157"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auto"/>
        </w:rPr>
        <w:t xml:space="preserve">SECTION 8.02. </w:t>
      </w:r>
      <w:r>
        <w:rPr>
          <w:rFonts w:ascii="Times New Roman" w:cs="Times New Roman" w:eastAsia="Times New Roman" w:hAnsi="Times New Roman"/>
          <w:sz w:val="19"/>
          <w:szCs w:val="19"/>
          <w:u w:val="single" w:color="auto"/>
          <w:color w:val="auto"/>
        </w:rPr>
        <w:t>Capacity as Lender</w:t>
      </w:r>
      <w:r>
        <w:rPr>
          <w:rFonts w:ascii="Times New Roman" w:cs="Times New Roman" w:eastAsia="Times New Roman" w:hAnsi="Times New Roman"/>
          <w:sz w:val="19"/>
          <w:szCs w:val="19"/>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50" w:lineRule="exact"/>
        <w:rPr>
          <w:sz w:val="20"/>
          <w:szCs w:val="20"/>
          <w:color w:val="auto"/>
        </w:rPr>
      </w:pPr>
    </w:p>
    <w:p>
      <w:pPr>
        <w:ind w:right="20" w:firstLine="1404"/>
        <w:spacing w:after="0" w:line="255" w:lineRule="auto"/>
        <w:rPr>
          <w:sz w:val="20"/>
          <w:szCs w:val="20"/>
          <w:color w:val="auto"/>
        </w:rPr>
      </w:pPr>
      <w:r>
        <w:rPr>
          <w:rFonts w:ascii="Times New Roman" w:cs="Times New Roman" w:eastAsia="Times New Roman" w:hAnsi="Times New Roman"/>
          <w:sz w:val="19"/>
          <w:szCs w:val="19"/>
          <w:color w:val="auto"/>
        </w:rPr>
        <w:t xml:space="preserve">SECTION 8.03. </w:t>
      </w:r>
      <w:r>
        <w:rPr>
          <w:rFonts w:ascii="Times New Roman" w:cs="Times New Roman" w:eastAsia="Times New Roman" w:hAnsi="Times New Roman"/>
          <w:sz w:val="19"/>
          <w:szCs w:val="19"/>
          <w:u w:val="single" w:color="auto"/>
          <w:color w:val="auto"/>
        </w:rPr>
        <w:t>Limitation of Duties; Exculpation</w:t>
      </w:r>
      <w:r>
        <w:rPr>
          <w:rFonts w:ascii="Times New Roman" w:cs="Times New Roman" w:eastAsia="Times New Roman" w:hAnsi="Times New Roman"/>
          <w:sz w:val="19"/>
          <w:szCs w:val="19"/>
          <w:color w:val="auto"/>
        </w:rPr>
        <w:t>.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w:t>
      </w:r>
    </w:p>
    <w:p>
      <w:pPr>
        <w:spacing w:after="0" w:line="15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8" w:name="page219"/>
    <w:bookmarkEnd w:id="218"/>
    <w:p>
      <w:pPr>
        <w:spacing w:after="0" w:line="2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 xml:space="preserve">or any of its Affiliates in any capacity. The Administrative Agent shall not be liable to any Lender or Issuing Bank for any action taken or not taken by it with the consent or at the request of the Required Lenders or in the absence of its own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or elsewhere herein or therein, other than to confirm receipt of items expressly required to be delivered to the Administrative Agent.</w:t>
      </w:r>
    </w:p>
    <w:p>
      <w:pPr>
        <w:spacing w:after="0" w:line="160" w:lineRule="exact"/>
        <w:rPr>
          <w:sz w:val="20"/>
          <w:szCs w:val="20"/>
          <w:color w:val="auto"/>
        </w:rPr>
      </w:pPr>
    </w:p>
    <w:p>
      <w:pPr>
        <w:ind w:right="100" w:firstLine="1404"/>
        <w:spacing w:after="0" w:line="256" w:lineRule="auto"/>
        <w:rPr>
          <w:sz w:val="20"/>
          <w:szCs w:val="20"/>
          <w:color w:val="auto"/>
        </w:rPr>
      </w:pPr>
      <w:r>
        <w:rPr>
          <w:rFonts w:ascii="Times New Roman" w:cs="Times New Roman" w:eastAsia="Times New Roman" w:hAnsi="Times New Roman"/>
          <w:sz w:val="19"/>
          <w:szCs w:val="19"/>
          <w:color w:val="auto"/>
        </w:rPr>
        <w:t xml:space="preserve">SECTION 8.04. </w:t>
      </w:r>
      <w:r>
        <w:rPr>
          <w:rFonts w:ascii="Times New Roman" w:cs="Times New Roman" w:eastAsia="Times New Roman" w:hAnsi="Times New Roman"/>
          <w:sz w:val="19"/>
          <w:szCs w:val="19"/>
          <w:u w:val="single" w:color="auto"/>
          <w:color w:val="auto"/>
        </w:rPr>
        <w:t>Reliance</w:t>
      </w:r>
      <w:r>
        <w:rPr>
          <w:rFonts w:ascii="Times New Roman" w:cs="Times New Roman" w:eastAsia="Times New Roman" w:hAnsi="Times New Roman"/>
          <w:sz w:val="19"/>
          <w:szCs w:val="19"/>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57" w:lineRule="exact"/>
        <w:rPr>
          <w:sz w:val="20"/>
          <w:szCs w:val="20"/>
          <w:color w:val="auto"/>
        </w:rPr>
      </w:pPr>
    </w:p>
    <w:p>
      <w:pPr>
        <w:ind w:right="40" w:firstLine="1404"/>
        <w:spacing w:after="0" w:line="255" w:lineRule="auto"/>
        <w:rPr>
          <w:sz w:val="20"/>
          <w:szCs w:val="20"/>
          <w:color w:val="auto"/>
        </w:rPr>
      </w:pPr>
      <w:r>
        <w:rPr>
          <w:rFonts w:ascii="Times New Roman" w:cs="Times New Roman" w:eastAsia="Times New Roman" w:hAnsi="Times New Roman"/>
          <w:sz w:val="19"/>
          <w:szCs w:val="19"/>
          <w:color w:val="auto"/>
        </w:rPr>
        <w:t xml:space="preserve">SECTION 8.05. </w:t>
      </w:r>
      <w:r>
        <w:rPr>
          <w:rFonts w:ascii="Times New Roman" w:cs="Times New Roman" w:eastAsia="Times New Roman" w:hAnsi="Times New Roman"/>
          <w:sz w:val="19"/>
          <w:szCs w:val="19"/>
          <w:u w:val="single" w:color="auto"/>
          <w:color w:val="auto"/>
        </w:rPr>
        <w:t>Sub-Agents</w:t>
      </w:r>
      <w:r>
        <w:rPr>
          <w:rFonts w:ascii="Times New Roman" w:cs="Times New Roman" w:eastAsia="Times New Roman" w:hAnsi="Times New Roman"/>
          <w:sz w:val="19"/>
          <w:szCs w:val="19"/>
          <w:color w:val="auto"/>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count of competent jurisdiction determines in a final and non-appealable judgment that the Administrative Agent acted with gross negligence or willful misconduct in the selection of such sub-agents.</w:t>
      </w:r>
    </w:p>
    <w:p>
      <w:pPr>
        <w:spacing w:after="0" w:line="160" w:lineRule="exact"/>
        <w:rPr>
          <w:sz w:val="20"/>
          <w:szCs w:val="20"/>
          <w:color w:val="auto"/>
        </w:rPr>
      </w:pPr>
    </w:p>
    <w:p>
      <w:pPr>
        <w:ind w:right="120" w:firstLine="1404"/>
        <w:spacing w:after="0" w:line="256" w:lineRule="auto"/>
        <w:rPr>
          <w:sz w:val="20"/>
          <w:szCs w:val="20"/>
          <w:color w:val="auto"/>
        </w:rPr>
      </w:pPr>
      <w:r>
        <w:rPr>
          <w:rFonts w:ascii="Times New Roman" w:cs="Times New Roman" w:eastAsia="Times New Roman" w:hAnsi="Times New Roman"/>
          <w:sz w:val="19"/>
          <w:szCs w:val="19"/>
          <w:color w:val="auto"/>
        </w:rPr>
        <w:t xml:space="preserve">SECTION 8.06. </w:t>
      </w:r>
      <w:r>
        <w:rPr>
          <w:rFonts w:ascii="Times New Roman" w:cs="Times New Roman" w:eastAsia="Times New Roman" w:hAnsi="Times New Roman"/>
          <w:sz w:val="19"/>
          <w:szCs w:val="19"/>
          <w:u w:val="single" w:color="auto"/>
          <w:color w:val="auto"/>
        </w:rPr>
        <w:t>Resignation; Successor Administrative Agent</w:t>
      </w:r>
      <w:r>
        <w:rPr>
          <w:rFonts w:ascii="Times New Roman" w:cs="Times New Roman" w:eastAsia="Times New Roman" w:hAnsi="Times New Roman"/>
          <w:sz w:val="19"/>
          <w:szCs w:val="19"/>
          <w:color w:val="auto"/>
        </w:rPr>
        <w:t>. The Administrative Agent may resign at any time by notifying the Lenders, the Issuing Bank and the Borrower. Upon any such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and (1) the retiring Administrative Agent shall be discharged from its duties and obligations hereunder and (2) the</w:t>
      </w:r>
    </w:p>
    <w:p>
      <w:pPr>
        <w:spacing w:after="0" w:line="15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9" w:name="page220"/>
    <w:bookmarkEnd w:id="219"/>
    <w:p>
      <w:pPr>
        <w:spacing w:after="0" w:line="26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 xml:space="preserve">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Times New Roman" w:cs="Times New Roman" w:eastAsia="Times New Roman" w:hAnsi="Times New Roman"/>
          <w:sz w:val="19"/>
          <w:szCs w:val="19"/>
          <w:u w:val="single" w:color="auto"/>
          <w:color w:val="auto"/>
        </w:rPr>
        <w:t>Section 9.03</w:t>
      </w:r>
      <w:r>
        <w:rPr>
          <w:rFonts w:ascii="Times New Roman" w:cs="Times New Roman" w:eastAsia="Times New Roman" w:hAnsi="Times New Roman"/>
          <w:sz w:val="19"/>
          <w:szCs w:val="19"/>
          <w:color w:val="auto"/>
        </w:rPr>
        <w:t xml:space="preserve"> shall continue in effect for its benefit in respect of any actions taken or omitted to be taken by it while it was acting as Administrative Agent.</w:t>
      </w:r>
    </w:p>
    <w:p>
      <w:pPr>
        <w:spacing w:after="0" w:line="155" w:lineRule="exact"/>
        <w:rPr>
          <w:sz w:val="20"/>
          <w:szCs w:val="20"/>
          <w:color w:val="auto"/>
        </w:rPr>
      </w:pPr>
    </w:p>
    <w:p>
      <w:pPr>
        <w:ind w:right="80" w:firstLine="696"/>
        <w:spacing w:after="0" w:line="256" w:lineRule="auto"/>
        <w:rPr>
          <w:sz w:val="20"/>
          <w:szCs w:val="20"/>
          <w:color w:val="auto"/>
        </w:rPr>
      </w:pPr>
      <w:r>
        <w:rPr>
          <w:rFonts w:ascii="Times New Roman" w:cs="Times New Roman" w:eastAsia="Times New Roman" w:hAnsi="Times New Roman"/>
          <w:sz w:val="19"/>
          <w:szCs w:val="19"/>
          <w:color w:val="auto"/>
        </w:rPr>
        <w:t>Any resignation by Truist as Administrative Agent pursuant to this Section shall also constitute its resignation as Issuing Bank and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57"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 xml:space="preserve">SECTION 8.07. </w:t>
      </w:r>
      <w:r>
        <w:rPr>
          <w:rFonts w:ascii="Times New Roman" w:cs="Times New Roman" w:eastAsia="Times New Roman" w:hAnsi="Times New Roman"/>
          <w:sz w:val="19"/>
          <w:szCs w:val="19"/>
          <w:u w:val="single" w:color="auto"/>
          <w:color w:val="auto"/>
        </w:rPr>
        <w:t>Reliance by Lenders</w:t>
      </w:r>
      <w:r>
        <w:rPr>
          <w:rFonts w:ascii="Times New Roman" w:cs="Times New Roman" w:eastAsia="Times New Roman" w:hAnsi="Times New Roman"/>
          <w:sz w:val="19"/>
          <w:szCs w:val="19"/>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60" w:lineRule="exact"/>
        <w:rPr>
          <w:sz w:val="20"/>
          <w:szCs w:val="20"/>
          <w:color w:val="auto"/>
        </w:rPr>
      </w:pPr>
    </w:p>
    <w:p>
      <w:pPr>
        <w:ind w:right="20" w:firstLine="696"/>
        <w:spacing w:after="0" w:line="268" w:lineRule="auto"/>
        <w:rPr>
          <w:sz w:val="20"/>
          <w:szCs w:val="20"/>
          <w:color w:val="auto"/>
        </w:rPr>
      </w:pPr>
      <w:r>
        <w:rPr>
          <w:rFonts w:ascii="Times New Roman" w:cs="Times New Roman" w:eastAsia="Times New Roman" w:hAnsi="Times New Roman"/>
          <w:sz w:val="19"/>
          <w:szCs w:val="19"/>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44" w:lineRule="exact"/>
        <w:rPr>
          <w:sz w:val="20"/>
          <w:szCs w:val="20"/>
          <w:color w:val="auto"/>
        </w:rPr>
      </w:pPr>
    </w:p>
    <w:p>
      <w:pPr>
        <w:ind w:right="140" w:firstLine="1404"/>
        <w:spacing w:after="0" w:line="286" w:lineRule="auto"/>
        <w:rPr>
          <w:sz w:val="20"/>
          <w:szCs w:val="20"/>
          <w:color w:val="auto"/>
        </w:rPr>
      </w:pPr>
      <w:r>
        <w:rPr>
          <w:rFonts w:ascii="Times New Roman" w:cs="Times New Roman" w:eastAsia="Times New Roman" w:hAnsi="Times New Roman"/>
          <w:sz w:val="19"/>
          <w:szCs w:val="19"/>
          <w:color w:val="auto"/>
        </w:rPr>
        <w:t xml:space="preserve">SECTION 8.08. </w:t>
      </w:r>
      <w:r>
        <w:rPr>
          <w:rFonts w:ascii="Times New Roman" w:cs="Times New Roman" w:eastAsia="Times New Roman" w:hAnsi="Times New Roman"/>
          <w:sz w:val="19"/>
          <w:szCs w:val="19"/>
          <w:u w:val="single" w:color="auto"/>
          <w:color w:val="auto"/>
        </w:rPr>
        <w:t>Modifications to Loan Documents</w:t>
      </w:r>
      <w:r>
        <w:rPr>
          <w:rFonts w:ascii="Times New Roman" w:cs="Times New Roman" w:eastAsia="Times New Roman" w:hAnsi="Times New Roman"/>
          <w:sz w:val="19"/>
          <w:szCs w:val="19"/>
          <w:color w:val="auto"/>
        </w:rPr>
        <w:t xml:space="preserve">. Except as otherwise provided in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9.02(b)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of this Agreement or the Security Documents with respect</w:t>
      </w:r>
    </w:p>
    <w:p>
      <w:pPr>
        <w:spacing w:after="0" w:line="12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20" w:name="page221"/>
    <w:bookmarkEnd w:id="220"/>
    <w:p>
      <w:pPr>
        <w:spacing w:after="0" w:line="26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9"/>
          <w:szCs w:val="19"/>
          <w:color w:val="auto"/>
        </w:rPr>
        <w:t xml:space="preserve">to this Agreement, the Administrative Agent may, with the prior consent of the Required Lenders (but not otherwise), consent to any modification, supplement or waiver under any of the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(w) to release any Subsidiary Guarantor from its guarantee obligations to the extent it may be released in accordance with Section 10.03 of the Guarantee and Security Agreement, (x) to release any Lien covering property that is the subject of either a disposition of property permitted hereunder or a disposition to which the Required Lenders have consented, (y) for the avoidance of doubt, execute and deliver agreements, instruments and other documents reasonably requested by the Borrower to implement collateral sharing with respect to Secured Longer-Term Indebtedness and Secured Shorter-Term Indebtedness, and (z) following the (i) cancellation or termination of any commitment to extend credit or issue Letters of Credit under this Agreement or any other Loan Document, (ii) final payment and performance in full of all obligations under this Agreement or any other Loan Document so long as all Letters of Credit have expired, been terminated, Cash Collateralized or backstopped and all LC Disbursements have been reimbursed and (iii) termination of this Agreement, to release all Liens and guarantees by Obligors.</w:t>
      </w:r>
    </w:p>
    <w:p>
      <w:pPr>
        <w:spacing w:after="0" w:line="40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8.09. </w:t>
      </w:r>
      <w:r>
        <w:rPr>
          <w:rFonts w:ascii="Times New Roman" w:cs="Times New Roman" w:eastAsia="Times New Roman" w:hAnsi="Times New Roman"/>
          <w:sz w:val="19"/>
          <w:szCs w:val="19"/>
          <w:u w:val="single" w:color="auto"/>
          <w:color w:val="auto"/>
        </w:rPr>
        <w:t>Erroneous Payments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410"/>
        <w:spacing w:after="0" w:line="252" w:lineRule="auto"/>
        <w:tabs>
          <w:tab w:leader="none" w:pos="1665"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Administrative Agent notifies a Lender, an Issuing Bank or an Indemnitee, or any Person who has received funds on behalf of a Lender, an Issuing Bank or an Indemnitee (any such Lender, Issuing Bank, Indemnitee or other recipient, a “</w:t>
      </w:r>
      <w:r>
        <w:rPr>
          <w:rFonts w:ascii="Times New Roman" w:cs="Times New Roman" w:eastAsia="Times New Roman" w:hAnsi="Times New Roman"/>
          <w:sz w:val="19"/>
          <w:szCs w:val="19"/>
          <w:u w:val="single" w:color="auto"/>
          <w:color w:val="auto"/>
        </w:rPr>
        <w:t>Payment Recipient</w:t>
      </w:r>
      <w:r>
        <w:rPr>
          <w:rFonts w:ascii="Times New Roman" w:cs="Times New Roman" w:eastAsia="Times New Roman" w:hAnsi="Times New Roman"/>
          <w:sz w:val="19"/>
          <w:szCs w:val="19"/>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that any funds received by such Payment Recipient from the Administrative Agent or any of its Affiliates were erroneously transmitted to, or otherwise erroneously or mistakenly received by, such Payment Recipient (whether or not known to such Lender, Issuing Bank, Indemnitee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9"/>
          <w:szCs w:val="19"/>
          <w:u w:val="single" w:color="auto"/>
          <w:color w:val="auto"/>
        </w:rPr>
        <w:t>Erroneous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Payment</w:t>
      </w:r>
      <w:r>
        <w:rPr>
          <w:rFonts w:ascii="Times New Roman" w:cs="Times New Roman" w:eastAsia="Times New Roman" w:hAnsi="Times New Roman"/>
          <w:sz w:val="19"/>
          <w:szCs w:val="19"/>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Indemnitee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w:t>
      </w:r>
    </w:p>
    <w:p>
      <w:pPr>
        <w:spacing w:after="0" w:line="16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21" w:name="page222"/>
    <w:bookmarkEnd w:id="221"/>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notice of the Administrative Agent to any Payment Recipient under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shall be conclusive, absent manifest error.</w:t>
      </w:r>
    </w:p>
    <w:p>
      <w:pPr>
        <w:spacing w:after="0" w:line="202" w:lineRule="exact"/>
        <w:rPr>
          <w:sz w:val="20"/>
          <w:szCs w:val="20"/>
          <w:color w:val="auto"/>
        </w:rPr>
      </w:pPr>
    </w:p>
    <w:p>
      <w:pPr>
        <w:ind w:firstLine="1410"/>
        <w:spacing w:after="0" w:line="255" w:lineRule="auto"/>
        <w:tabs>
          <w:tab w:leader="none" w:pos="1676"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the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each Lender, Issuing Bank or Indemnitee, or any Person who has received funds on behalf of a Lender, Issuing Bank or Indemnitee,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Indemnitee, or other such recipient, otherwise becomes aware was transmitted, or received, in error or by mistake (in whole or in part) in each case:</w:t>
      </w:r>
    </w:p>
    <w:p>
      <w:pPr>
        <w:spacing w:after="0" w:line="160" w:lineRule="exact"/>
        <w:rPr>
          <w:sz w:val="20"/>
          <w:szCs w:val="20"/>
          <w:color w:val="auto"/>
        </w:rPr>
      </w:pPr>
    </w:p>
    <w:p>
      <w:pPr>
        <w:jc w:val="both"/>
        <w:ind w:left="700" w:right="580" w:firstLine="746"/>
        <w:spacing w:after="0" w:line="268" w:lineRule="auto"/>
        <w:tabs>
          <w:tab w:leader="none" w:pos="1673"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in the case of the immediately preceding </w:t>
      </w:r>
      <w:r>
        <w:rPr>
          <w:rFonts w:ascii="Times New Roman" w:cs="Times New Roman" w:eastAsia="Times New Roman" w:hAnsi="Times New Roman"/>
          <w:sz w:val="19"/>
          <w:szCs w:val="19"/>
          <w:u w:val="single" w:color="auto"/>
          <w:color w:val="auto"/>
        </w:rPr>
        <w:t>clause (x)</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(y)</w:t>
      </w:r>
      <w:r>
        <w:rPr>
          <w:rFonts w:ascii="Times New Roman" w:cs="Times New Roman" w:eastAsia="Times New Roman" w:hAnsi="Times New Roman"/>
          <w:sz w:val="19"/>
          <w:szCs w:val="19"/>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19"/>
          <w:szCs w:val="19"/>
          <w:u w:val="single" w:color="auto"/>
          <w:color w:val="auto"/>
        </w:rPr>
        <w:t>clause (z)</w:t>
      </w:r>
      <w:r>
        <w:rPr>
          <w:rFonts w:ascii="Times New Roman" w:cs="Times New Roman" w:eastAsia="Times New Roman" w:hAnsi="Times New Roman"/>
          <w:sz w:val="19"/>
          <w:szCs w:val="19"/>
          <w:color w:val="auto"/>
        </w:rPr>
        <w:t>), in each case, with respect to such payment, prepayment or repayment; and</w:t>
      </w:r>
    </w:p>
    <w:p>
      <w:pPr>
        <w:spacing w:after="0" w:line="144" w:lineRule="exact"/>
        <w:rPr>
          <w:rFonts w:ascii="Times New Roman" w:cs="Times New Roman" w:eastAsia="Times New Roman" w:hAnsi="Times New Roman"/>
          <w:sz w:val="19"/>
          <w:szCs w:val="19"/>
          <w:color w:val="auto"/>
        </w:rPr>
      </w:pPr>
    </w:p>
    <w:p>
      <w:pPr>
        <w:ind w:left="700" w:right="20" w:firstLine="746"/>
        <w:spacing w:after="0" w:line="262" w:lineRule="auto"/>
        <w:tabs>
          <w:tab w:leader="none" w:pos="1727"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Lender, Issuing Bank or Indemnitee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9"/>
          <w:szCs w:val="19"/>
          <w:u w:val="single" w:color="auto"/>
          <w:color w:val="auto"/>
        </w:rPr>
        <w:t>Section 8.09(b)</w:t>
      </w:r>
      <w:r>
        <w:rPr>
          <w:rFonts w:ascii="Times New Roman" w:cs="Times New Roman" w:eastAsia="Times New Roman" w:hAnsi="Times New Roman"/>
          <w:sz w:val="19"/>
          <w:szCs w:val="19"/>
          <w:color w:val="auto"/>
        </w:rPr>
        <w:t>.</w:t>
      </w:r>
    </w:p>
    <w:p>
      <w:pPr>
        <w:spacing w:after="0" w:line="150" w:lineRule="exact"/>
        <w:rPr>
          <w:rFonts w:ascii="Times New Roman" w:cs="Times New Roman" w:eastAsia="Times New Roman" w:hAnsi="Times New Roman"/>
          <w:sz w:val="19"/>
          <w:szCs w:val="19"/>
          <w:color w:val="auto"/>
        </w:rPr>
      </w:pPr>
    </w:p>
    <w:p>
      <w:pPr>
        <w:ind w:right="200" w:firstLine="1410"/>
        <w:spacing w:after="0" w:line="262" w:lineRule="auto"/>
        <w:tabs>
          <w:tab w:leader="none" w:pos="1665"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Issuing Bank and Indemnitee hereby authorizes the Administrative Agent to set off, net and apply any and all amounts at any time owing to such Lender, Issuing Bank or Indemnitee under any Loan Document, or otherwise payable or distributable by the Administrative Agent to such Lender, Issuing Bank or Indemnitee from any source, against any amount due to the Administrative Agent under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or under the indemnification provisions of this Agreement.</w:t>
      </w:r>
    </w:p>
    <w:p>
      <w:pPr>
        <w:spacing w:after="0" w:line="150" w:lineRule="exact"/>
        <w:rPr>
          <w:rFonts w:ascii="Times New Roman" w:cs="Times New Roman" w:eastAsia="Times New Roman" w:hAnsi="Times New Roman"/>
          <w:sz w:val="19"/>
          <w:szCs w:val="19"/>
          <w:color w:val="auto"/>
        </w:rPr>
      </w:pPr>
    </w:p>
    <w:p>
      <w:pPr>
        <w:ind w:right="160" w:firstLine="1410"/>
        <w:spacing w:after="0" w:line="254" w:lineRule="auto"/>
        <w:tabs>
          <w:tab w:leader="none" w:pos="1676"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an Erroneous Payment (or portion thereof) is not recovered by the Administrative Agent for any reason, after demand therefor by the Administrative Agent in accordance with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from any Lender or Issuing Bank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9"/>
          <w:szCs w:val="19"/>
          <w:u w:val="single" w:color="auto"/>
          <w:color w:val="auto"/>
        </w:rPr>
        <w:t>Erroneous Payment Return Deficiency</w:t>
      </w:r>
      <w:r>
        <w:rPr>
          <w:rFonts w:ascii="Times New Roman" w:cs="Times New Roman" w:eastAsia="Times New Roman" w:hAnsi="Times New Roman"/>
          <w:sz w:val="19"/>
          <w:szCs w:val="19"/>
          <w:color w:val="auto"/>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Times New Roman" w:cs="Times New Roman" w:eastAsia="Times New Roman" w:hAnsi="Times New Roman"/>
          <w:sz w:val="19"/>
          <w:szCs w:val="19"/>
          <w:u w:val="single" w:color="auto"/>
          <w:color w:val="auto"/>
        </w:rPr>
        <w:t>Erroneous Payment Impacted Class</w:t>
      </w:r>
      <w:r>
        <w:rPr>
          <w:rFonts w:ascii="Times New Roman" w:cs="Times New Roman" w:eastAsia="Times New Roman" w:hAnsi="Times New Roman"/>
          <w:sz w:val="19"/>
          <w:szCs w:val="19"/>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9"/>
          <w:szCs w:val="19"/>
          <w:u w:val="single" w:color="auto"/>
          <w:color w:val="auto"/>
        </w:rPr>
        <w:t>Erroneous Payment Deficiency Assignment</w:t>
      </w:r>
      <w:r>
        <w:rPr>
          <w:rFonts w:ascii="Times New Roman" w:cs="Times New Roman" w:eastAsia="Times New Roman" w:hAnsi="Times New Roman"/>
          <w:sz w:val="19"/>
          <w:szCs w:val="19"/>
          <w:color w:val="auto"/>
        </w:rPr>
        <w:t>”) at par plus any accrued and unpaid interest (with the assignment fee to be waived by the Administrative Agent in such instance), and is hereby (together with the Borrower) deemed to execute and deliver an Assignment</w:t>
      </w:r>
    </w:p>
    <w:p>
      <w:pPr>
        <w:spacing w:after="0" w:line="15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22" w:name="page223"/>
    <w:bookmarkEnd w:id="222"/>
    <w:p>
      <w:pPr>
        <w:spacing w:after="0" w:line="26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color w:val="auto"/>
        </w:rPr>
        <w:t xml:space="preserve">and Assumption (or, to the extent applicable, an agreement incorporating an Assignment and Assumption by reference pursuant to a Platform as to which the Administrative Agent and such parties are participants) with respect to such Erroneous Payment Deficiency Assignment, and such Lender or Issuing Bank shall deliver any notes evidencing such Loans to the Borrower or the Administrative Agent, (ii) the Administrative Agent as the assignee Lender shall be deemed to have acquired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So long as any sale of Loans complies with the terms of </w:t>
      </w:r>
      <w:r>
        <w:rPr>
          <w:rFonts w:ascii="Times New Roman" w:cs="Times New Roman" w:eastAsia="Times New Roman" w:hAnsi="Times New Roman"/>
          <w:sz w:val="19"/>
          <w:szCs w:val="19"/>
          <w:u w:val="single" w:color="auto"/>
          <w:color w:val="auto"/>
        </w:rPr>
        <w:t>Section 9.04(b)</w:t>
      </w:r>
      <w:r>
        <w:rPr>
          <w:rFonts w:ascii="Times New Roman" w:cs="Times New Roman" w:eastAsia="Times New Roman" w:hAnsi="Times New Roman"/>
          <w:sz w:val="19"/>
          <w:szCs w:val="19"/>
          <w:color w:val="auto"/>
        </w:rPr>
        <w: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Indemnitee under the Loan Documents with respect to each Erroneous Payment Return Deficiency (the “</w:t>
      </w:r>
      <w:r>
        <w:rPr>
          <w:rFonts w:ascii="Times New Roman" w:cs="Times New Roman" w:eastAsia="Times New Roman" w:hAnsi="Times New Roman"/>
          <w:sz w:val="19"/>
          <w:szCs w:val="19"/>
          <w:u w:val="single" w:color="auto"/>
          <w:color w:val="auto"/>
        </w:rPr>
        <w:t>Erroneous Payment Subrogation Rights</w:t>
      </w: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right="40" w:firstLine="1410"/>
        <w:spacing w:after="0" w:line="262" w:lineRule="auto"/>
        <w:tabs>
          <w:tab w:leader="none" w:pos="1665"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hereto agree that an Erroneous Payment shall not pay, prepay, repay, discharge or otherwise satisfy any Revolving Credit Exposure or other obligations owed by the Borrower or any other Obligor, except, in each case, to the extent such Erroneous Payment is, and solely with respect to the amount of such Erroneous Payment that is, comprised of funds received by the Administrative Agent from the Borrower or any other Obligor for the purpose of making such Erroneous Payment.</w:t>
      </w:r>
    </w:p>
    <w:p>
      <w:pPr>
        <w:spacing w:after="0" w:line="150" w:lineRule="exact"/>
        <w:rPr>
          <w:rFonts w:ascii="Times New Roman" w:cs="Times New Roman" w:eastAsia="Times New Roman" w:hAnsi="Times New Roman"/>
          <w:sz w:val="19"/>
          <w:szCs w:val="19"/>
          <w:color w:val="auto"/>
        </w:rPr>
      </w:pPr>
    </w:p>
    <w:p>
      <w:pPr>
        <w:ind w:right="120" w:firstLine="1410"/>
        <w:spacing w:after="0" w:line="262" w:lineRule="auto"/>
        <w:tabs>
          <w:tab w:leader="none" w:pos="1644"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50" w:lineRule="exact"/>
        <w:rPr>
          <w:rFonts w:ascii="Times New Roman" w:cs="Times New Roman" w:eastAsia="Times New Roman" w:hAnsi="Times New Roman"/>
          <w:sz w:val="19"/>
          <w:szCs w:val="19"/>
          <w:color w:val="auto"/>
        </w:rPr>
      </w:pPr>
    </w:p>
    <w:p>
      <w:pPr>
        <w:ind w:right="260" w:firstLine="1410"/>
        <w:spacing w:after="0" w:line="268" w:lineRule="auto"/>
        <w:tabs>
          <w:tab w:leader="none" w:pos="1676"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party’s obligations, agreements and waivers under this </w:t>
      </w:r>
      <w:r>
        <w:rPr>
          <w:rFonts w:ascii="Times New Roman" w:cs="Times New Roman" w:eastAsia="Times New Roman" w:hAnsi="Times New Roman"/>
          <w:sz w:val="19"/>
          <w:szCs w:val="19"/>
          <w:u w:val="single" w:color="auto"/>
          <w:color w:val="auto"/>
        </w:rPr>
        <w:t>Section 8.09</w:t>
      </w:r>
      <w:r>
        <w:rPr>
          <w:rFonts w:ascii="Times New Roman" w:cs="Times New Roman" w:eastAsia="Times New Roman" w:hAnsi="Times New Roman"/>
          <w:sz w:val="19"/>
          <w:szCs w:val="19"/>
          <w:color w:val="auto"/>
        </w:rPr>
        <w:t xml:space="preserve"> shall survive the resignation or replacement of the Administrative Agent, any transfer of rights or obligations by, or the replacement of, a Lender or Issuing Bank, the termination of the</w:t>
      </w:r>
    </w:p>
    <w:p>
      <w:pPr>
        <w:spacing w:after="0" w:line="1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3" w:name="page224"/>
    <w:bookmarkEnd w:id="223"/>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Commitments and/or the repayment, satisfaction or discharge of all obligations (or any portion thereof) under any Loan Document.</w:t>
      </w:r>
    </w:p>
    <w:p>
      <w:pPr>
        <w:spacing w:after="0" w:line="20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ARTICLE IX</w:t>
      </w:r>
    </w:p>
    <w:p>
      <w:pPr>
        <w:spacing w:after="0" w:line="23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u w:val="single" w:color="auto"/>
          <w:color w:val="auto"/>
        </w:rPr>
        <w:t>MISCELLANEOUS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9.01. </w:t>
      </w:r>
      <w:r>
        <w:rPr>
          <w:rFonts w:ascii="Times New Roman" w:cs="Times New Roman" w:eastAsia="Times New Roman" w:hAnsi="Times New Roman"/>
          <w:sz w:val="19"/>
          <w:szCs w:val="19"/>
          <w:u w:val="single" w:color="auto"/>
          <w:color w:val="auto"/>
        </w:rPr>
        <w:t>Notices; Electronic Communications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380" w:firstLine="1410"/>
        <w:spacing w:after="0" w:line="268" w:lineRule="auto"/>
        <w:tabs>
          <w:tab w:leader="none" w:pos="1668"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Generally</w:t>
      </w:r>
      <w:r>
        <w:rPr>
          <w:rFonts w:ascii="Times New Roman" w:cs="Times New Roman" w:eastAsia="Times New Roman" w:hAnsi="Times New Roman"/>
          <w:sz w:val="19"/>
          <w:szCs w:val="19"/>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144" w:lineRule="exact"/>
        <w:rPr>
          <w:rFonts w:ascii="Times New Roman" w:cs="Times New Roman" w:eastAsia="Times New Roman" w:hAnsi="Times New Roman"/>
          <w:sz w:val="19"/>
          <w:szCs w:val="19"/>
          <w:color w:val="auto"/>
        </w:rPr>
      </w:pPr>
    </w:p>
    <w:p>
      <w:pPr>
        <w:ind w:left="1680" w:hanging="234"/>
        <w:spacing w:after="0"/>
        <w:tabs>
          <w:tab w:leader="none" w:pos="1680"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the Borrower, to it at:</w:t>
      </w:r>
    </w:p>
    <w:p>
      <w:pPr>
        <w:spacing w:after="0" w:line="20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PennantPark Investment Corporation</w:t>
      </w:r>
    </w:p>
    <w:p>
      <w:pPr>
        <w:spacing w:after="0" w:line="25" w:lineRule="exact"/>
        <w:rPr>
          <w:sz w:val="20"/>
          <w:szCs w:val="20"/>
          <w:color w:val="auto"/>
        </w:rPr>
      </w:pPr>
    </w:p>
    <w:p>
      <w:pPr>
        <w:ind w:left="2820" w:right="5220" w:hanging="5"/>
        <w:spacing w:after="0" w:line="214" w:lineRule="auto"/>
        <w:tabs>
          <w:tab w:leader="none" w:pos="3156" w:val="left"/>
        </w:tabs>
        <w:numPr>
          <w:ilvl w:val="1"/>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Madison Avenue,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Floor New York, New York 10022</w:t>
      </w:r>
    </w:p>
    <w:p>
      <w:pPr>
        <w:spacing w:after="0" w:line="1" w:lineRule="exact"/>
        <w:rPr>
          <w:rFonts w:ascii="Times New Roman" w:cs="Times New Roman" w:eastAsia="Times New Roman" w:hAnsi="Times New Roman"/>
          <w:sz w:val="19"/>
          <w:szCs w:val="19"/>
          <w:color w:val="auto"/>
        </w:rPr>
      </w:pPr>
    </w:p>
    <w:p>
      <w:pPr>
        <w:ind w:left="28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Attention: Richard Cheung, Chief Financial Officer</w:t>
      </w:r>
    </w:p>
    <w:p>
      <w:pPr>
        <w:spacing w:after="0" w:line="9" w:lineRule="exact"/>
        <w:rPr>
          <w:rFonts w:ascii="Times New Roman" w:cs="Times New Roman" w:eastAsia="Times New Roman" w:hAnsi="Times New Roman"/>
          <w:sz w:val="19"/>
          <w:szCs w:val="19"/>
          <w:color w:val="auto"/>
        </w:rPr>
      </w:pPr>
    </w:p>
    <w:p>
      <w:pPr>
        <w:ind w:left="28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Telecopy Number: (212) 905-1075</w:t>
      </w:r>
    </w:p>
    <w:p>
      <w:pPr>
        <w:spacing w:after="0" w:line="9" w:lineRule="exact"/>
        <w:rPr>
          <w:rFonts w:ascii="Times New Roman" w:cs="Times New Roman" w:eastAsia="Times New Roman" w:hAnsi="Times New Roman"/>
          <w:sz w:val="19"/>
          <w:szCs w:val="19"/>
          <w:color w:val="auto"/>
        </w:rPr>
      </w:pPr>
    </w:p>
    <w:p>
      <w:pPr>
        <w:ind w:left="28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Telephone: (212) 905-1083</w:t>
      </w:r>
    </w:p>
    <w:p>
      <w:pPr>
        <w:spacing w:after="0" w:line="179" w:lineRule="exact"/>
        <w:rPr>
          <w:rFonts w:ascii="Times New Roman" w:cs="Times New Roman" w:eastAsia="Times New Roman" w:hAnsi="Times New Roman"/>
          <w:sz w:val="19"/>
          <w:szCs w:val="19"/>
          <w:color w:val="auto"/>
        </w:rPr>
      </w:pPr>
    </w:p>
    <w:p>
      <w:pPr>
        <w:ind w:left="1720" w:hanging="274"/>
        <w:spacing w:after="0"/>
        <w:tabs>
          <w:tab w:leader="none" w:pos="172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the Administrative Agent or Swingline Lender, to it at:</w:t>
      </w:r>
    </w:p>
    <w:p>
      <w:pPr>
        <w:spacing w:after="0" w:line="20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Truist Bank</w:t>
      </w:r>
    </w:p>
    <w:p>
      <w:pPr>
        <w:spacing w:after="0" w:line="3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3333 Peachtree Road, 7th Floor</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Atlanta, Georgia 30326</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Attention: Hays Wood</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Telecopy Number: (404) 836-5879</w:t>
      </w:r>
    </w:p>
    <w:p>
      <w:pPr>
        <w:spacing w:after="0" w:line="18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with a copy to:</w:t>
      </w:r>
    </w:p>
    <w:p>
      <w:pPr>
        <w:spacing w:after="0" w:line="20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Truist Bank</w:t>
      </w:r>
    </w:p>
    <w:p>
      <w:pPr>
        <w:spacing w:after="0" w:line="3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Agency Services</w:t>
      </w:r>
    </w:p>
    <w:p>
      <w:pPr>
        <w:ind w:left="2820"/>
        <w:spacing w:after="0" w:line="190" w:lineRule="auto"/>
        <w:rPr>
          <w:sz w:val="20"/>
          <w:szCs w:val="20"/>
          <w:color w:val="auto"/>
        </w:rPr>
      </w:pPr>
      <w:r>
        <w:rPr>
          <w:rFonts w:ascii="Times New Roman" w:cs="Times New Roman" w:eastAsia="Times New Roman" w:hAnsi="Times New Roman"/>
          <w:sz w:val="19"/>
          <w:szCs w:val="19"/>
          <w:color w:val="auto"/>
        </w:rPr>
        <w:t>303 Peachtree Road, N. 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Floor</w:t>
      </w:r>
    </w:p>
    <w:p>
      <w:pPr>
        <w:spacing w:after="0" w:line="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Atlanta, Georgia 30308</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Attention: Wanda Gregory</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Telecopy Number: (404) 658-4906</w:t>
      </w:r>
    </w:p>
    <w:p>
      <w:pPr>
        <w:spacing w:after="0" w:line="18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auto"/>
        </w:rPr>
        <w:t>(iii) if to the Issuing Bank, to it at:</w:t>
      </w:r>
    </w:p>
    <w:p>
      <w:pPr>
        <w:spacing w:after="0" w:line="20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Truist Bank</w:t>
      </w:r>
    </w:p>
    <w:p>
      <w:pPr>
        <w:ind w:left="2820"/>
        <w:spacing w:after="0" w:line="208" w:lineRule="auto"/>
        <w:rPr>
          <w:sz w:val="20"/>
          <w:szCs w:val="20"/>
          <w:color w:val="auto"/>
        </w:rPr>
      </w:pPr>
      <w:r>
        <w:rPr>
          <w:rFonts w:ascii="Times New Roman" w:cs="Times New Roman" w:eastAsia="Times New Roman" w:hAnsi="Times New Roman"/>
          <w:sz w:val="19"/>
          <w:szCs w:val="19"/>
          <w:color w:val="auto"/>
        </w:rPr>
        <w:t>303 Peachtree Road, N. 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Floor</w:t>
      </w:r>
    </w:p>
    <w:p>
      <w:pPr>
        <w:spacing w:after="0" w:line="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Atlanta, Georgia 30308</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Attention: Wanda Gregory</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Telecopy Number: (404) 658-4906</w:t>
      </w:r>
    </w:p>
    <w:p>
      <w:pPr>
        <w:spacing w:after="0" w:line="17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4" w:name="page225"/>
    <w:bookmarkEnd w:id="224"/>
    <w:p>
      <w:pPr>
        <w:spacing w:after="0" w:line="26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auto"/>
        </w:rPr>
        <w:t>(iv) if to any other Lender, to it at its address (or telecopy number) set forth in its Administrative Questionnaire.</w:t>
      </w:r>
    </w:p>
    <w:p>
      <w:pPr>
        <w:spacing w:after="0" w:line="202" w:lineRule="exact"/>
        <w:rPr>
          <w:sz w:val="20"/>
          <w:szCs w:val="20"/>
          <w:color w:val="auto"/>
        </w:rPr>
      </w:pPr>
    </w:p>
    <w:p>
      <w:pPr>
        <w:ind w:right="200" w:firstLine="1404"/>
        <w:spacing w:after="0" w:line="262" w:lineRule="auto"/>
        <w:rPr>
          <w:sz w:val="20"/>
          <w:szCs w:val="20"/>
          <w:color w:val="auto"/>
        </w:rPr>
      </w:pPr>
      <w:r>
        <w:rPr>
          <w:rFonts w:ascii="Times New Roman" w:cs="Times New Roman" w:eastAsia="Times New Roman" w:hAnsi="Times New Roman"/>
          <w:sz w:val="19"/>
          <w:szCs w:val="19"/>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below, shall be effective as provided in said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right="80" w:firstLine="1410"/>
        <w:spacing w:after="0" w:line="256" w:lineRule="auto"/>
        <w:tabs>
          <w:tab w:leader="none" w:pos="168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Communications</w:t>
      </w:r>
      <w:r>
        <w:rPr>
          <w:rFonts w:ascii="Times New Roman" w:cs="Times New Roman" w:eastAsia="Times New Roman" w:hAnsi="Times New Roman"/>
          <w:sz w:val="19"/>
          <w:szCs w:val="19"/>
          <w:color w:val="auto"/>
        </w:rPr>
        <w:t xml:space="preserve">. Notices and other communications to the Lenders and the Issuing Bank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notices to any Lender or the Issuing Bank pursuant to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if such Lender or the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approval of such procedures may be limited to particular notices or communications.</w:t>
      </w:r>
    </w:p>
    <w:p>
      <w:pPr>
        <w:spacing w:after="0" w:line="157" w:lineRule="exact"/>
        <w:rPr>
          <w:sz w:val="20"/>
          <w:szCs w:val="20"/>
          <w:color w:val="auto"/>
        </w:rPr>
      </w:pPr>
    </w:p>
    <w:p>
      <w:pPr>
        <w:ind w:right="20" w:firstLine="1410"/>
        <w:spacing w:after="0" w:line="256" w:lineRule="auto"/>
        <w:tabs>
          <w:tab w:leader="none" w:pos="1634"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of notification that such notice or communication is available and identifying the website address therefor.</w:t>
      </w:r>
    </w:p>
    <w:p>
      <w:pPr>
        <w:spacing w:after="0" w:line="157" w:lineRule="exact"/>
        <w:rPr>
          <w:sz w:val="20"/>
          <w:szCs w:val="20"/>
          <w:color w:val="auto"/>
        </w:rPr>
      </w:pPr>
    </w:p>
    <w:p>
      <w:pPr>
        <w:jc w:val="both"/>
        <w:ind w:firstLine="1404"/>
        <w:spacing w:after="0" w:line="255" w:lineRule="auto"/>
        <w:rPr>
          <w:sz w:val="20"/>
          <w:szCs w:val="20"/>
          <w:color w:val="auto"/>
        </w:rPr>
      </w:pPr>
      <w:r>
        <w:rPr>
          <w:rFonts w:ascii="Times New Roman" w:cs="Times New Roman" w:eastAsia="Times New Roman" w:hAnsi="Times New Roman"/>
          <w:sz w:val="19"/>
          <w:szCs w:val="19"/>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auto"/>
        </w:rPr>
        <w:t>None of the Administrative Agent or its Related Parties warrant the accuracy, adequacy, or completeness of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5" w:name="page226"/>
    <w:bookmarkEnd w:id="225"/>
    <w:p>
      <w:pPr>
        <w:spacing w:after="0" w:line="269" w:lineRule="exact"/>
        <w:rPr>
          <w:sz w:val="20"/>
          <w:szCs w:val="20"/>
          <w:color w:val="auto"/>
        </w:rPr>
      </w:pPr>
    </w:p>
    <w:p>
      <w:pPr>
        <w:ind w:right="20" w:firstLine="1410"/>
        <w:spacing w:after="0" w:line="254" w:lineRule="auto"/>
        <w:tabs>
          <w:tab w:leader="none" w:pos="1668"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Private Side Information Contacts</w:t>
      </w:r>
      <w:r>
        <w:rPr>
          <w:rFonts w:ascii="Times New Roman" w:cs="Times New Roman" w:eastAsia="Times New Roman" w:hAnsi="Times New Roman"/>
          <w:sz w:val="19"/>
          <w:szCs w:val="19"/>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60" w:lineRule="exact"/>
        <w:rPr>
          <w:rFonts w:ascii="Times New Roman" w:cs="Times New Roman" w:eastAsia="Times New Roman" w:hAnsi="Times New Roman"/>
          <w:sz w:val="19"/>
          <w:szCs w:val="19"/>
          <w:color w:val="auto"/>
        </w:rPr>
      </w:pPr>
    </w:p>
    <w:p>
      <w:pPr>
        <w:ind w:firstLine="1410"/>
        <w:spacing w:after="0" w:line="257" w:lineRule="auto"/>
        <w:tabs>
          <w:tab w:leader="none" w:pos="1680"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Documents to be Delivered under Sections 5.01 and 5.12(a)</w:t>
      </w:r>
      <w:r>
        <w:rPr>
          <w:rFonts w:ascii="Times New Roman" w:cs="Times New Roman" w:eastAsia="Times New Roman" w:hAnsi="Times New Roman"/>
          <w:sz w:val="19"/>
          <w:szCs w:val="19"/>
          <w:color w:val="auto"/>
        </w:rPr>
        <w:t xml:space="preserve">. For so long as an Intralinks™ or equivalent website is available to each of the Lenders hereunder, the Borrower may satisfy its obligation to deliver documents to the Administrative Agent or the Lenders under </w:t>
      </w:r>
      <w:r>
        <w:rPr>
          <w:rFonts w:ascii="Times New Roman" w:cs="Times New Roman" w:eastAsia="Times New Roman" w:hAnsi="Times New Roman"/>
          <w:sz w:val="19"/>
          <w:szCs w:val="19"/>
          <w:u w:val="single" w:color="auto"/>
          <w:color w:val="auto"/>
        </w:rPr>
        <w:t>Sections 5.01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5.12(a)</w:t>
      </w:r>
      <w:r>
        <w:rPr>
          <w:rFonts w:ascii="Times New Roman" w:cs="Times New Roman" w:eastAsia="Times New Roman" w:hAnsi="Times New Roman"/>
          <w:sz w:val="19"/>
          <w:szCs w:val="19"/>
          <w:color w:val="auto"/>
        </w:rPr>
        <w:t xml:space="preserve"> by delivering one hard copy thereof to the Administrative Agent and either an electronic copy or a notice identifying the website where such information is located for posting by the Administrative Agent on Intralinks™ or such equivalent website;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shall have no responsibility to maintain access to Intralinks™ or an equivalent website.</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9.02. </w:t>
      </w:r>
      <w:r>
        <w:rPr>
          <w:rFonts w:ascii="Times New Roman" w:cs="Times New Roman" w:eastAsia="Times New Roman" w:hAnsi="Times New Roman"/>
          <w:sz w:val="19"/>
          <w:szCs w:val="19"/>
          <w:u w:val="single" w:color="auto"/>
          <w:color w:val="auto"/>
        </w:rPr>
        <w:t>Waivers; Amendments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1410"/>
        <w:spacing w:after="0" w:line="254" w:lineRule="auto"/>
        <w:tabs>
          <w:tab w:leader="none" w:pos="1668"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Deemed Waivers Remedies Cumulative</w:t>
      </w:r>
      <w:r>
        <w:rPr>
          <w:rFonts w:ascii="Times New Roman" w:cs="Times New Roman" w:eastAsia="Times New Roman" w:hAnsi="Times New Roman"/>
          <w:sz w:val="19"/>
          <w:szCs w:val="19"/>
          <w:color w:val="auto"/>
        </w:rPr>
        <w:t xml:space="preserve">. No failure or delay by the Administrative Agent the Issuing Bank, the Swingline Lender or any other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the Swingline Lender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the Swingline Lender, any Lender or the Issuing Bank may have had notice or knowledge of such Default at the time.</w:t>
      </w:r>
    </w:p>
    <w:p>
      <w:pPr>
        <w:spacing w:after="0" w:line="157" w:lineRule="exact"/>
        <w:rPr>
          <w:rFonts w:ascii="Times New Roman" w:cs="Times New Roman" w:eastAsia="Times New Roman" w:hAnsi="Times New Roman"/>
          <w:sz w:val="19"/>
          <w:szCs w:val="19"/>
          <w:color w:val="auto"/>
        </w:rPr>
      </w:pPr>
    </w:p>
    <w:p>
      <w:pPr>
        <w:jc w:val="both"/>
        <w:ind w:right="360" w:firstLine="1410"/>
        <w:spacing w:after="0" w:line="268" w:lineRule="auto"/>
        <w:tabs>
          <w:tab w:leader="none" w:pos="1680"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 to this Agreement</w:t>
      </w:r>
      <w:r>
        <w:rPr>
          <w:rFonts w:ascii="Times New Roman" w:cs="Times New Roman" w:eastAsia="Times New Roman" w:hAnsi="Times New Roman"/>
          <w:sz w:val="19"/>
          <w:szCs w:val="19"/>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agreement shall</w:t>
      </w:r>
    </w:p>
    <w:p>
      <w:pPr>
        <w:spacing w:after="0" w:line="1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26" w:name="page227"/>
    <w:bookmarkEnd w:id="226"/>
    <w:p>
      <w:pPr>
        <w:spacing w:after="0" w:line="269" w:lineRule="exact"/>
        <w:rPr>
          <w:sz w:val="20"/>
          <w:szCs w:val="20"/>
          <w:color w:val="auto"/>
        </w:rPr>
      </w:pPr>
    </w:p>
    <w:p>
      <w:pPr>
        <w:ind w:left="1680" w:hanging="234"/>
        <w:spacing w:after="0"/>
        <w:tabs>
          <w:tab w:leader="none" w:pos="1680"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 the Commitment of any Lender without the written consent of such Lender,</w:t>
      </w:r>
    </w:p>
    <w:p>
      <w:pPr>
        <w:spacing w:after="0" w:line="201" w:lineRule="exact"/>
        <w:rPr>
          <w:rFonts w:ascii="Times New Roman" w:cs="Times New Roman" w:eastAsia="Times New Roman" w:hAnsi="Times New Roman"/>
          <w:sz w:val="19"/>
          <w:szCs w:val="19"/>
          <w:color w:val="auto"/>
        </w:rPr>
      </w:pPr>
    </w:p>
    <w:p>
      <w:pPr>
        <w:ind w:left="700" w:right="60" w:firstLine="746"/>
        <w:spacing w:after="0" w:line="268" w:lineRule="auto"/>
        <w:tabs>
          <w:tab w:leader="none" w:pos="1727"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 the principal amount of any Loan or LC Disbursement or reduce the rate of interest thereon (other than with respect to the election of or the failure to elect the Default Rate), or reduce any fees payable hereunder, without the written consent of each Lender directly affected thereby,</w:t>
      </w:r>
    </w:p>
    <w:p>
      <w:pPr>
        <w:spacing w:after="0" w:line="144" w:lineRule="exact"/>
        <w:rPr>
          <w:rFonts w:ascii="Times New Roman" w:cs="Times New Roman" w:eastAsia="Times New Roman" w:hAnsi="Times New Roman"/>
          <w:sz w:val="19"/>
          <w:szCs w:val="19"/>
          <w:color w:val="auto"/>
        </w:rPr>
      </w:pPr>
    </w:p>
    <w:p>
      <w:pPr>
        <w:ind w:left="700" w:right="80" w:firstLine="746"/>
        <w:spacing w:after="0" w:line="268" w:lineRule="auto"/>
        <w:tabs>
          <w:tab w:leader="none" w:pos="1780"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w:t>
      </w:r>
    </w:p>
    <w:p>
      <w:pPr>
        <w:spacing w:after="0" w:line="144" w:lineRule="exact"/>
        <w:rPr>
          <w:rFonts w:ascii="Times New Roman" w:cs="Times New Roman" w:eastAsia="Times New Roman" w:hAnsi="Times New Roman"/>
          <w:sz w:val="19"/>
          <w:szCs w:val="19"/>
          <w:color w:val="auto"/>
        </w:rPr>
      </w:pPr>
    </w:p>
    <w:p>
      <w:pPr>
        <w:ind w:left="700" w:right="400" w:firstLine="746"/>
        <w:spacing w:after="0" w:line="286" w:lineRule="auto"/>
        <w:tabs>
          <w:tab w:leader="none" w:pos="1769"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change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in a manner that would alter the pro rata sharing of payments, or making of disbursements, required thereby without the written consent of each Lender directly affected thereby, or</w:t>
      </w:r>
    </w:p>
    <w:p>
      <w:pPr>
        <w:spacing w:after="0" w:line="127" w:lineRule="exact"/>
        <w:rPr>
          <w:rFonts w:ascii="Times New Roman" w:cs="Times New Roman" w:eastAsia="Times New Roman" w:hAnsi="Times New Roman"/>
          <w:sz w:val="19"/>
          <w:szCs w:val="19"/>
          <w:color w:val="auto"/>
        </w:rPr>
      </w:pPr>
    </w:p>
    <w:p>
      <w:pPr>
        <w:ind w:left="700" w:right="220" w:firstLine="746"/>
        <w:spacing w:after="0" w:line="268" w:lineRule="auto"/>
        <w:tabs>
          <w:tab w:leader="none" w:pos="1716"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directly affected thereby;</w:t>
      </w:r>
    </w:p>
    <w:p>
      <w:pPr>
        <w:spacing w:after="0" w:line="14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further that (x)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and (y) the consent of Lenders (other than Defaulting Lenders) holding not less than two-thirds of the Revolving Credit Exposure and unused Commitments (other than of Defaulting Lenders) will be required (A) for any adverse change affecting the provisions of this Agreement relating to the Borrowing Base (including the definitions used therein), or the provisions of </w:t>
      </w:r>
      <w:r>
        <w:rPr>
          <w:rFonts w:ascii="Times New Roman" w:cs="Times New Roman" w:eastAsia="Times New Roman" w:hAnsi="Times New Roman"/>
          <w:sz w:val="19"/>
          <w:szCs w:val="19"/>
          <w:u w:val="single" w:color="auto"/>
          <w:color w:val="auto"/>
        </w:rPr>
        <w:t>Section 5. 12(c)(ii)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for any release of any material portion of the Collateral other than for fair value or as otherwise permitted hereunder or under the other Loan Documents.</w:t>
      </w:r>
    </w:p>
    <w:p>
      <w:pPr>
        <w:spacing w:after="0" w:line="157" w:lineRule="exact"/>
        <w:rPr>
          <w:sz w:val="20"/>
          <w:szCs w:val="20"/>
          <w:color w:val="auto"/>
        </w:rPr>
      </w:pPr>
    </w:p>
    <w:p>
      <w:pPr>
        <w:ind w:right="80" w:firstLine="1404"/>
        <w:spacing w:after="0" w:line="254" w:lineRule="auto"/>
        <w:rPr>
          <w:sz w:val="20"/>
          <w:szCs w:val="20"/>
          <w:color w:val="auto"/>
        </w:rPr>
      </w:pPr>
      <w:r>
        <w:rPr>
          <w:rFonts w:ascii="Times New Roman" w:cs="Times New Roman" w:eastAsia="Times New Roman" w:hAnsi="Times New Roman"/>
          <w:sz w:val="19"/>
          <w:szCs w:val="19"/>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 Anything in this Agreement to the contrary notwithstanding, this Agreement may be amended by the Borrower with the consent of the Administrative Agent and any Non-Extending Lender (but without the consent of the Required Lenders) for the sole purpose of extending the Commitments of such Non-Extending Lender so that such Non-Extending Lender becomes an Extending Lender hereunder. Any Non-Extending Lender that has had all of its obligations under this Agreement and each other Loan Document paid in full shall cease to be a Lender under the Loan Documents following the earlier to occur of (i) such Non-Extending Lender’s Non-Extended Commitment Termination Date or (ii) the termination of such Non-Extending Lender’s Commitment in its entirety pursuant to</w:t>
      </w:r>
    </w:p>
    <w:p>
      <w:pPr>
        <w:spacing w:after="0" w:line="15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7" w:name="page228"/>
    <w:bookmarkEnd w:id="227"/>
    <w:p>
      <w:pPr>
        <w:spacing w:after="0" w:line="26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9"/>
          <w:szCs w:val="19"/>
          <w:u w:val="single" w:color="auto"/>
          <w:color w:val="auto"/>
        </w:rPr>
        <w:t>Section 2.08(f)</w:t>
      </w:r>
      <w:r>
        <w:rPr>
          <w:rFonts w:ascii="Times New Roman" w:cs="Times New Roman" w:eastAsia="Times New Roman" w:hAnsi="Times New Roman"/>
          <w:sz w:val="19"/>
          <w:szCs w:val="19"/>
          <w:color w:val="auto"/>
        </w:rPr>
        <w:t>, except with respect to any provision applicable to such Non-Extending Lender that expressly survives the termination of a Loan Document.</w:t>
      </w:r>
    </w:p>
    <w:p>
      <w:pPr>
        <w:spacing w:after="0" w:line="127" w:lineRule="exact"/>
        <w:rPr>
          <w:sz w:val="20"/>
          <w:szCs w:val="20"/>
          <w:color w:val="auto"/>
        </w:rPr>
      </w:pPr>
    </w:p>
    <w:p>
      <w:pPr>
        <w:ind w:firstLine="1410"/>
        <w:spacing w:after="0" w:line="252" w:lineRule="auto"/>
        <w:tabs>
          <w:tab w:leader="none" w:pos="1668"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 to Security Documents</w:t>
      </w:r>
      <w:r>
        <w:rPr>
          <w:rFonts w:ascii="Times New Roman" w:cs="Times New Roman" w:eastAsia="Times New Roman" w:hAnsi="Times New Roman"/>
          <w:sz w:val="19"/>
          <w:szCs w:val="19"/>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Times New Roman" w:cs="Times New Roman" w:eastAsia="Times New Roman" w:hAnsi="Times New Roman"/>
          <w:sz w:val="19"/>
          <w:szCs w:val="19"/>
          <w:u w:val="single" w:color="auto"/>
          <w:color w:val="auto"/>
        </w:rPr>
        <w:t>Section 2.08(e)</w:t>
      </w:r>
      <w:r>
        <w:rPr>
          <w:rFonts w:ascii="Times New Roman" w:cs="Times New Roman" w:eastAsia="Times New Roman" w:hAnsi="Times New Roman"/>
          <w:sz w:val="19"/>
          <w:szCs w:val="19"/>
          <w:color w:val="auto"/>
        </w:rPr>
        <w:t xml:space="preserve"> to an amount not greater than $750,000,000) except pursuant to an agreement or agreements in writing entered into by the Borrower, and by the Collateral Agent with the consent of the Required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(x) to release any Lien covering property (and to release any such guarantor) that is the subject of either a disposition of property permitted hereunder or a disposition to which the Required Lenders have consented, (y) to release any Lien and/or guarantee obligation in accordance with Section 10.03 of the Guarantee and Security Agreement and (z) to release (and to acknowledge the release of) all Liens and guarantees of Obligors with respect to the Revolving Credit Exposure upon the termination of this Agreement (including in connection with a complete refinancing) following the payment in full in cash of all Revolving Credit Exposure (other than contingent indemnification and fee reimbursement obligations) following the termination of the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the Administrative Agent shall not be required under this </w:t>
      </w:r>
      <w:r>
        <w:rPr>
          <w:rFonts w:ascii="Times New Roman" w:cs="Times New Roman" w:eastAsia="Times New Roman" w:hAnsi="Times New Roman"/>
          <w:sz w:val="19"/>
          <w:szCs w:val="19"/>
          <w:u w:val="single" w:color="auto"/>
          <w:color w:val="auto"/>
        </w:rPr>
        <w:t>clause (z)</w:t>
      </w:r>
      <w:r>
        <w:rPr>
          <w:rFonts w:ascii="Times New Roman" w:cs="Times New Roman" w:eastAsia="Times New Roman" w:hAnsi="Times New Roman"/>
          <w:sz w:val="19"/>
          <w:szCs w:val="19"/>
          <w:color w:val="auto"/>
        </w:rPr>
        <w:t xml:space="preserve"> to instruct the Collateral Agent to release any Lien or guarantee of an Obligor solely as it relates to such Lien securing or guarantee guaranteeing any Secured Obligations other than Credit Agreement Obligations (in each case, as defined in the Guarantee and Security Agreement).</w:t>
      </w:r>
    </w:p>
    <w:p>
      <w:pPr>
        <w:spacing w:after="0" w:line="163" w:lineRule="exact"/>
        <w:rPr>
          <w:rFonts w:ascii="Times New Roman" w:cs="Times New Roman" w:eastAsia="Times New Roman" w:hAnsi="Times New Roman"/>
          <w:sz w:val="19"/>
          <w:szCs w:val="19"/>
          <w:color w:val="auto"/>
        </w:rPr>
      </w:pPr>
    </w:p>
    <w:p>
      <w:pPr>
        <w:ind w:right="80" w:firstLine="1410"/>
        <w:spacing w:after="0" w:line="256" w:lineRule="auto"/>
        <w:tabs>
          <w:tab w:leader="none" w:pos="1680"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Replacement of Non-Consenting Lender</w:t>
      </w:r>
      <w:r>
        <w:rPr>
          <w:rFonts w:ascii="Times New Roman" w:cs="Times New Roman" w:eastAsia="Times New Roman" w:hAnsi="Times New Roman"/>
          <w:sz w:val="19"/>
          <w:szCs w:val="19"/>
          <w:color w:val="auto"/>
        </w:rPr>
        <w:t xml:space="preserve">. If, in connection with any proposed change, waiver, discharge or termination to any of the provisions of this Agreement as contemplated by this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Times New Roman" w:cs="Times New Roman" w:eastAsia="Times New Roman" w:hAnsi="Times New Roman"/>
          <w:sz w:val="19"/>
          <w:szCs w:val="19"/>
          <w:u w:val="single" w:color="auto"/>
          <w:color w:val="auto"/>
        </w:rPr>
        <w:t>Section 2.18(b)</w:t>
      </w:r>
      <w:r>
        <w:rPr>
          <w:rFonts w:ascii="Times New Roman" w:cs="Times New Roman" w:eastAsia="Times New Roman" w:hAnsi="Times New Roman"/>
          <w:sz w:val="19"/>
          <w:szCs w:val="19"/>
          <w:color w:val="auto"/>
        </w:rPr>
        <w:t xml:space="preserve"> so long as at the time of such replacement, each such replacement Lender consents to the proposed change, waiver, discharge or termination.</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9.03. </w:t>
      </w:r>
      <w:r>
        <w:rPr>
          <w:rFonts w:ascii="Times New Roman" w:cs="Times New Roman" w:eastAsia="Times New Roman" w:hAnsi="Times New Roman"/>
          <w:sz w:val="19"/>
          <w:szCs w:val="19"/>
          <w:u w:val="single" w:color="auto"/>
          <w:color w:val="auto"/>
        </w:rPr>
        <w:t>Expenses; Indemnity; Damage Waiver</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80" w:firstLine="1410"/>
        <w:spacing w:after="0" w:line="286" w:lineRule="auto"/>
        <w:tabs>
          <w:tab w:leader="none" w:pos="1668"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Costs and Expenses</w:t>
      </w:r>
      <w:r>
        <w:rPr>
          <w:rFonts w:ascii="Times New Roman" w:cs="Times New Roman" w:eastAsia="Times New Roman" w:hAnsi="Times New Roman"/>
          <w:sz w:val="19"/>
          <w:szCs w:val="19"/>
          <w:color w:val="auto"/>
        </w:rPr>
        <w:t>. The Borrower shall pay (i) all reasonable and documented out-of-pocket costs and expenses incurred by the Administrative Agent, the Collateral</w:t>
      </w:r>
    </w:p>
    <w:p>
      <w:pPr>
        <w:spacing w:after="0" w:line="12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28" w:name="page229"/>
    <w:bookmarkEnd w:id="228"/>
    <w:p>
      <w:pPr>
        <w:spacing w:after="0" w:line="2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the Issuing Bank in connection with the issuance, amendment, renewal or extension of any Letter of Credit or any demand for payment thereunder, (iii) all reasonable and documented out-of-pocket costs and expenses incurred by the Administrative Agent, the Issuing Bank, the Swingline Lender or any other Lender, including the reasonable and documented fees, charges and disbursements of one outside counsel for the Administrative Agent, the Issuing Bank and the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reasonably incurred in connection with any filing, registration, recording or perfection of any security interest contemplated by any Security Document or any other document referred to therein.</w:t>
      </w:r>
    </w:p>
    <w:p>
      <w:pPr>
        <w:spacing w:after="0" w:line="161" w:lineRule="exact"/>
        <w:rPr>
          <w:sz w:val="20"/>
          <w:szCs w:val="20"/>
          <w:color w:val="auto"/>
        </w:rPr>
      </w:pPr>
    </w:p>
    <w:p>
      <w:pPr>
        <w:ind w:right="20" w:firstLine="1410"/>
        <w:spacing w:after="0" w:line="252" w:lineRule="auto"/>
        <w:tabs>
          <w:tab w:leader="none" w:pos="1680"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Borrower</w:t>
      </w:r>
      <w:r>
        <w:rPr>
          <w:rFonts w:ascii="Times New Roman" w:cs="Times New Roman" w:eastAsia="Times New Roman" w:hAnsi="Times New Roman"/>
          <w:sz w:val="19"/>
          <w:szCs w:val="19"/>
          <w:color w:val="auto"/>
        </w:rPr>
        <w:t>. The Borrower shall indemnify the Administrative Agent, the Issuing Bank, the Swingline Lender and each Lender,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(collectively, “</w:t>
      </w:r>
      <w:r>
        <w:rPr>
          <w:rFonts w:ascii="Times New Roman" w:cs="Times New Roman" w:eastAsia="Times New Roman" w:hAnsi="Times New Roman"/>
          <w:sz w:val="19"/>
          <w:szCs w:val="19"/>
          <w:u w:val="single" w:color="auto"/>
          <w:color w:val="auto"/>
        </w:rPr>
        <w:t>Losses</w:t>
      </w:r>
      <w:r>
        <w:rPr>
          <w:rFonts w:ascii="Times New Roman" w:cs="Times New Roman" w:eastAsia="Times New Roman" w:hAnsi="Times New Roman"/>
          <w:sz w:val="19"/>
          <w:szCs w:val="19"/>
          <w:color w:val="auto"/>
        </w:rPr>
        <w:t xml:space="preserve">”)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including the fees, charges and disbursements of counsel for any Indemnitee as specified above,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w:t>
      </w:r>
    </w:p>
    <w:p>
      <w:pPr>
        <w:spacing w:after="0" w:line="1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29" w:name="page230"/>
    <w:bookmarkEnd w:id="229"/>
    <w:p>
      <w:pPr>
        <w:spacing w:after="0" w:line="26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color w:val="auto"/>
        </w:rPr>
        <w:t xml:space="preserve">whether based on contract, tort or any other theory and whether brought by the Borrower or a third party and regardless of whether any Indemnitee is a party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Losses are</w:t>
      </w:r>
    </w:p>
    <w:p>
      <w:pPr>
        <w:spacing w:after="0" w:line="1" w:lineRule="exact"/>
        <w:rPr>
          <w:sz w:val="20"/>
          <w:szCs w:val="20"/>
          <w:color w:val="auto"/>
        </w:rPr>
      </w:pPr>
    </w:p>
    <w:p>
      <w:pPr>
        <w:ind w:right="20" w:firstLine="6"/>
        <w:spacing w:after="0" w:line="252" w:lineRule="auto"/>
        <w:tabs>
          <w:tab w:leader="none" w:pos="315"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determined by a court of competent jurisdiction by final and nonappealable judgment to have resulted from the willful misconduct or gross negligence of such Indemnitee or its Related Parties, (B) result from the settlement of any such claim, investigation, litigation or other proceedings described in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above unless the Borrower has consented to such settlement (which consent shall not be unreasonably withheld or delayed (provided that nothing in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shall restrict the right of any person to settle any claim for which it has waived its right of indemnity by the Borrower) or (C) result from disputes solely among Indemnitees and not involving any act or omission of an Obligor or any of Affiliate thereof (other than any dispute against the Administrative Agent in its capacity as such). Notwithstanding the foregoing, it is understood and agreed that indemnification for Taxes is subject to the provisions of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w:t>
      </w:r>
    </w:p>
    <w:p>
      <w:pPr>
        <w:spacing w:after="0" w:line="160" w:lineRule="exact"/>
        <w:rPr>
          <w:rFonts w:ascii="Times New Roman" w:cs="Times New Roman" w:eastAsia="Times New Roman" w:hAnsi="Times New Roman"/>
          <w:sz w:val="19"/>
          <w:szCs w:val="19"/>
          <w:color w:val="auto"/>
        </w:rPr>
      </w:pPr>
    </w:p>
    <w:p>
      <w:pPr>
        <w:ind w:right="40" w:firstLine="1410"/>
        <w:spacing w:after="0" w:line="257" w:lineRule="auto"/>
        <w:tabs>
          <w:tab w:leader="none" w:pos="1665"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not be liable to any Indemnitee for any special, indirect, consequential or punitive Losses (as opposed to direct or actual damages (which may include special, indirect, consequential or punitive Losses asserted against any such party hereto by a third party)) arising out of, in connection with, or as a result of this Agreement or any agreement or instrument contemplated hereby, the Transactions, any Loan or Letter of Credit or the use of proceeds thereof, asserted by an Indemnitee against the Borrower or any other Obligor ;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limitation shall not be deemed to impair or affect the obligations of the Borrower under the preceding provisions of this subsection with respect to Losses not expressly described in the foregoing limitation.</w:t>
      </w:r>
    </w:p>
    <w:p>
      <w:pPr>
        <w:spacing w:after="0" w:line="156" w:lineRule="exact"/>
        <w:rPr>
          <w:rFonts w:ascii="Times New Roman" w:cs="Times New Roman" w:eastAsia="Times New Roman" w:hAnsi="Times New Roman"/>
          <w:sz w:val="19"/>
          <w:szCs w:val="19"/>
          <w:color w:val="auto"/>
        </w:rPr>
      </w:pPr>
    </w:p>
    <w:p>
      <w:pPr>
        <w:ind w:right="20" w:firstLine="1410"/>
        <w:spacing w:after="0" w:line="257" w:lineRule="auto"/>
        <w:tabs>
          <w:tab w:leader="none" w:pos="1680"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Reimbursement by Lenders</w:t>
      </w:r>
      <w:r>
        <w:rPr>
          <w:rFonts w:ascii="Times New Roman" w:cs="Times New Roman" w:eastAsia="Times New Roman" w:hAnsi="Times New Roman"/>
          <w:sz w:val="19"/>
          <w:szCs w:val="19"/>
          <w:color w:val="auto"/>
        </w:rPr>
        <w:t xml:space="preserve">. To the extent that the Borrower fails to pay any amount required to be paid by it to the Administrative Agent, the Issuing Bank or the Swingline Lender under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Section, each Lender severally agrees to pay to the Administrative Agent, the Issuing Bank or the Swingline Lender,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unreimbursed expense or indemnified loss, claim, damage, liability or related expense, as the case may be, was incurred by or asserted against the Administrative Agent, the Issuing Bank or the Swingline Lender in its capacity as such.</w:t>
      </w:r>
    </w:p>
    <w:p>
      <w:pPr>
        <w:spacing w:after="0" w:line="156" w:lineRule="exact"/>
        <w:rPr>
          <w:rFonts w:ascii="Times New Roman" w:cs="Times New Roman" w:eastAsia="Times New Roman" w:hAnsi="Times New Roman"/>
          <w:sz w:val="19"/>
          <w:szCs w:val="19"/>
          <w:color w:val="auto"/>
        </w:rPr>
      </w:pPr>
    </w:p>
    <w:p>
      <w:pPr>
        <w:ind w:right="20" w:firstLine="1410"/>
        <w:spacing w:after="0" w:line="255" w:lineRule="auto"/>
        <w:tabs>
          <w:tab w:leader="none" w:pos="1668"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Consequential Damages, Etc</w:t>
      </w:r>
      <w:r>
        <w:rPr>
          <w:rFonts w:ascii="Times New Roman" w:cs="Times New Roman" w:eastAsia="Times New Roman" w:hAnsi="Times New Roman"/>
          <w:sz w:val="19"/>
          <w:szCs w:val="19"/>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willful misconduct or gross negligence of such Indemnitee or its Related Parties, as determined by a final, non-appealable judgment of a court of competent jurisdiction.</w:t>
      </w:r>
    </w:p>
    <w:p>
      <w:pPr>
        <w:spacing w:after="0" w:line="15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0" w:name="page231"/>
    <w:bookmarkEnd w:id="230"/>
    <w:p>
      <w:pPr>
        <w:spacing w:after="0" w:line="269" w:lineRule="exact"/>
        <w:rPr>
          <w:sz w:val="20"/>
          <w:szCs w:val="20"/>
          <w:color w:val="auto"/>
        </w:rPr>
      </w:pPr>
    </w:p>
    <w:p>
      <w:pPr>
        <w:ind w:left="1420" w:right="940" w:hanging="10"/>
        <w:spacing w:after="0" w:line="461" w:lineRule="auto"/>
        <w:tabs>
          <w:tab w:leader="none" w:pos="166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w:t>
      </w:r>
      <w:r>
        <w:rPr>
          <w:rFonts w:ascii="Times New Roman" w:cs="Times New Roman" w:eastAsia="Times New Roman" w:hAnsi="Times New Roman"/>
          <w:sz w:val="19"/>
          <w:szCs w:val="19"/>
          <w:color w:val="auto"/>
        </w:rPr>
        <w:t xml:space="preserve">. All amounts due under this Section shall be payable promptly after written demand therefor. SECTION 9.04. </w:t>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ind w:right="140" w:firstLine="1410"/>
        <w:spacing w:after="0" w:line="255" w:lineRule="auto"/>
        <w:tabs>
          <w:tab w:leader="none" w:pos="1668"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Assignments Generally</w:t>
      </w:r>
      <w:r>
        <w:rPr>
          <w:rFonts w:ascii="Times New Roman" w:cs="Times New Roman" w:eastAsia="Times New Roman" w:hAnsi="Times New Roman"/>
          <w:sz w:val="19"/>
          <w:szCs w:val="19"/>
          <w:color w:val="auto"/>
        </w:rPr>
        <w:t>. 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and, to the extent expressly contemplated hereby, the Related Parties of each of the Administrative Agent, the Issuing Bank and the Lenders) any legal or equitable right, remedy or claim under or by reason of this Agreement.</w:t>
      </w:r>
    </w:p>
    <w:p>
      <w:pPr>
        <w:spacing w:after="0" w:line="155"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Assignments by Lenders</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700" w:right="240" w:firstLine="746"/>
        <w:spacing w:after="0" w:line="259" w:lineRule="auto"/>
        <w:tabs>
          <w:tab w:leader="none" w:pos="1672"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Assignments Generally</w:t>
      </w:r>
      <w:r>
        <w:rPr>
          <w:rFonts w:ascii="Times New Roman" w:cs="Times New Roman" w:eastAsia="Times New Roman" w:hAnsi="Times New Roman"/>
          <w:sz w:val="19"/>
          <w:szCs w:val="19"/>
          <w:color w:val="auto"/>
        </w:rPr>
        <w:t xml:space="preserve">. Subject to the conditions set forth in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below, any Lender may assign to one or more assignees (other than natural persons, any Defaulting Lender or any Person listed in the Prohibited Assignees and Participants Side Letter)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153" w:lineRule="exact"/>
        <w:rPr>
          <w:rFonts w:ascii="Times New Roman" w:cs="Times New Roman" w:eastAsia="Times New Roman" w:hAnsi="Times New Roman"/>
          <w:sz w:val="19"/>
          <w:szCs w:val="19"/>
          <w:color w:val="auto"/>
        </w:rPr>
      </w:pPr>
    </w:p>
    <w:p>
      <w:pPr>
        <w:ind w:left="1420" w:right="40" w:firstLine="795"/>
        <w:spacing w:after="0" w:line="259" w:lineRule="auto"/>
        <w:tabs>
          <w:tab w:leader="none" w:pos="2539" w:val="left"/>
        </w:tabs>
        <w:numPr>
          <w:ilvl w:val="2"/>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the Borrower shall be required for an assignment to a Lender, an Affiliate of a Lender, or, if an Event of Default has occurred and is continuing, any other assignee;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the Borrower shall be deemed to have consented to any such assignment unless it shall have objected thereto by written notice to the Administrative Agent within five Business Days after having received notice thereof; and</w:t>
      </w:r>
    </w:p>
    <w:p>
      <w:pPr>
        <w:spacing w:after="0" w:line="153" w:lineRule="exact"/>
        <w:rPr>
          <w:rFonts w:ascii="Times New Roman" w:cs="Times New Roman" w:eastAsia="Times New Roman" w:hAnsi="Times New Roman"/>
          <w:sz w:val="19"/>
          <w:szCs w:val="19"/>
          <w:color w:val="auto"/>
        </w:rPr>
      </w:pPr>
    </w:p>
    <w:p>
      <w:pPr>
        <w:ind w:left="2520" w:hanging="305"/>
        <w:spacing w:after="0"/>
        <w:tabs>
          <w:tab w:leader="none" w:pos="2520" w:val="left"/>
        </w:tabs>
        <w:numPr>
          <w:ilvl w:val="2"/>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and the Issuing Bank.</w:t>
      </w:r>
    </w:p>
    <w:p>
      <w:pPr>
        <w:spacing w:after="0" w:line="201" w:lineRule="exact"/>
        <w:rPr>
          <w:rFonts w:ascii="Times New Roman" w:cs="Times New Roman" w:eastAsia="Times New Roman" w:hAnsi="Times New Roman"/>
          <w:sz w:val="19"/>
          <w:szCs w:val="19"/>
          <w:color w:val="auto"/>
        </w:rPr>
      </w:pPr>
    </w:p>
    <w:p>
      <w:pPr>
        <w:ind w:left="1740" w:hanging="294"/>
        <w:spacing w:after="0"/>
        <w:tabs>
          <w:tab w:leader="none" w:pos="1740"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Conditions to Assignments</w:t>
      </w:r>
      <w:r>
        <w:rPr>
          <w:rFonts w:ascii="Times New Roman" w:cs="Times New Roman" w:eastAsia="Times New Roman" w:hAnsi="Times New Roman"/>
          <w:sz w:val="19"/>
          <w:szCs w:val="19"/>
          <w:color w:val="auto"/>
        </w:rPr>
        <w:t>. Assignments shall be subject to the following additional conditions:</w:t>
      </w:r>
    </w:p>
    <w:p>
      <w:pPr>
        <w:spacing w:after="0" w:line="201" w:lineRule="exact"/>
        <w:rPr>
          <w:rFonts w:ascii="Times New Roman" w:cs="Times New Roman" w:eastAsia="Times New Roman" w:hAnsi="Times New Roman"/>
          <w:sz w:val="19"/>
          <w:szCs w:val="19"/>
          <w:color w:val="auto"/>
        </w:rPr>
      </w:pPr>
    </w:p>
    <w:p>
      <w:pPr>
        <w:ind w:left="1420" w:right="20" w:firstLine="795"/>
        <w:spacing w:after="0" w:line="259" w:lineRule="auto"/>
        <w:tabs>
          <w:tab w:leader="none" w:pos="2539" w:val="left"/>
        </w:tabs>
        <w:numPr>
          <w:ilvl w:val="2"/>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w:t>
      </w:r>
    </w:p>
    <w:p>
      <w:pPr>
        <w:spacing w:after="0" w:line="15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1" w:name="page232"/>
    <w:bookmarkEnd w:id="231"/>
    <w:p>
      <w:pPr>
        <w:spacing w:after="0" w:line="269" w:lineRule="exact"/>
        <w:rPr>
          <w:sz w:val="20"/>
          <w:szCs w:val="20"/>
          <w:color w:val="auto"/>
        </w:rPr>
      </w:pPr>
    </w:p>
    <w:p>
      <w:pPr>
        <w:ind w:left="720" w:right="220"/>
        <w:spacing w:after="0" w:line="286" w:lineRule="auto"/>
        <w:rPr>
          <w:sz w:val="20"/>
          <w:szCs w:val="20"/>
          <w:color w:val="auto"/>
        </w:rPr>
      </w:pPr>
      <w:r>
        <w:rPr>
          <w:rFonts w:ascii="Times New Roman" w:cs="Times New Roman" w:eastAsia="Times New Roman" w:hAnsi="Times New Roman"/>
          <w:sz w:val="19"/>
          <w:szCs w:val="19"/>
          <w:color w:val="auto"/>
        </w:rPr>
        <w:t xml:space="preserve">Agent otherwise consent;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consent of the Borrower shall be required if an Event of Default has occurred and is continuing;</w:t>
      </w:r>
    </w:p>
    <w:p>
      <w:pPr>
        <w:spacing w:after="0" w:line="127" w:lineRule="exact"/>
        <w:rPr>
          <w:sz w:val="20"/>
          <w:szCs w:val="20"/>
          <w:color w:val="auto"/>
        </w:rPr>
      </w:pPr>
    </w:p>
    <w:p>
      <w:pPr>
        <w:ind w:left="720" w:right="80" w:firstLine="795"/>
        <w:spacing w:after="0" w:line="268" w:lineRule="auto"/>
        <w:tabs>
          <w:tab w:leader="none" w:pos="1828"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144" w:lineRule="exact"/>
        <w:rPr>
          <w:rFonts w:ascii="Times New Roman" w:cs="Times New Roman" w:eastAsia="Times New Roman" w:hAnsi="Times New Roman"/>
          <w:sz w:val="19"/>
          <w:szCs w:val="19"/>
          <w:color w:val="auto"/>
        </w:rPr>
      </w:pPr>
    </w:p>
    <w:p>
      <w:pPr>
        <w:ind w:left="720" w:firstLine="795"/>
        <w:spacing w:after="0" w:line="262" w:lineRule="auto"/>
        <w:tabs>
          <w:tab w:leader="none" w:pos="1828"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parties to each assignment shall execute and deliver to the Administrative Agent an Assignment and Assumption in substantially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 together with a processing and recordation fee of U.S. $3,500 (which fee shall not be payable in connection with an assignment to a Lender or to an Affiliate of a Lender), for which the Borrower and the Guarantors shall not be obligated; and</w:t>
      </w:r>
    </w:p>
    <w:p>
      <w:pPr>
        <w:spacing w:after="0" w:line="150" w:lineRule="exact"/>
        <w:rPr>
          <w:rFonts w:ascii="Times New Roman" w:cs="Times New Roman" w:eastAsia="Times New Roman" w:hAnsi="Times New Roman"/>
          <w:sz w:val="19"/>
          <w:szCs w:val="19"/>
          <w:color w:val="auto"/>
        </w:rPr>
      </w:pPr>
    </w:p>
    <w:p>
      <w:pPr>
        <w:ind w:left="720" w:right="1160" w:firstLine="795"/>
        <w:spacing w:after="0" w:line="286" w:lineRule="auto"/>
        <w:tabs>
          <w:tab w:leader="none" w:pos="1839"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assignee, if it shall not already be a Lender of the applicable Class, shall deliver to the Administrative Agent an Administrative Questionnaire.</w:t>
      </w:r>
    </w:p>
    <w:p>
      <w:pPr>
        <w:spacing w:after="0" w:line="127" w:lineRule="exact"/>
        <w:rPr>
          <w:rFonts w:ascii="Times New Roman" w:cs="Times New Roman" w:eastAsia="Times New Roman" w:hAnsi="Times New Roman"/>
          <w:sz w:val="19"/>
          <w:szCs w:val="19"/>
          <w:color w:val="auto"/>
        </w:rPr>
      </w:pPr>
    </w:p>
    <w:p>
      <w:pPr>
        <w:ind w:firstLine="746"/>
        <w:spacing w:after="0" w:line="252" w:lineRule="auto"/>
        <w:tabs>
          <w:tab w:leader="none" w:pos="1080"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Effectiveness of Assignments</w:t>
      </w:r>
      <w:r>
        <w:rPr>
          <w:rFonts w:ascii="Times New Roman" w:cs="Times New Roman" w:eastAsia="Times New Roman" w:hAnsi="Times New Roman"/>
          <w:sz w:val="19"/>
          <w:szCs w:val="19"/>
          <w:color w:val="auto"/>
        </w:rPr>
        <w:t xml:space="preserve">. Subject to acceptance and recording thereof pursuant to </w:t>
      </w:r>
      <w:r>
        <w:rPr>
          <w:rFonts w:ascii="Times New Roman" w:cs="Times New Roman" w:eastAsia="Times New Roman" w:hAnsi="Times New Roman"/>
          <w:sz w:val="19"/>
          <w:szCs w:val="19"/>
          <w:u w:val="single" w:color="auto"/>
          <w:color w:val="auto"/>
        </w:rPr>
        <w:t>paragraph (c)</w:t>
      </w:r>
      <w:r>
        <w:rPr>
          <w:rFonts w:ascii="Times New Roman" w:cs="Times New Roman" w:eastAsia="Times New Roman" w:hAnsi="Times New Roman"/>
          <w:sz w:val="19"/>
          <w:szCs w:val="19"/>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9"/>
          <w:szCs w:val="19"/>
          <w:u w:val="single" w:color="auto"/>
          <w:color w:val="auto"/>
        </w:rPr>
        <w:t>Sections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9.03</w:t>
      </w:r>
      <w:r>
        <w:rPr>
          <w:rFonts w:ascii="Times New Roman" w:cs="Times New Roman" w:eastAsia="Times New Roman" w:hAnsi="Times New Roman"/>
          <w:sz w:val="19"/>
          <w:szCs w:val="19"/>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9"/>
          <w:szCs w:val="19"/>
          <w:u w:val="single" w:color="auto"/>
          <w:color w:val="auto"/>
        </w:rPr>
        <w:t>paragraph (f)</w:t>
      </w:r>
      <w:r>
        <w:rPr>
          <w:rFonts w:ascii="Times New Roman" w:cs="Times New Roman" w:eastAsia="Times New Roman" w:hAnsi="Times New Roman"/>
          <w:sz w:val="19"/>
          <w:szCs w:val="19"/>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9.04(b)(ii)</w:t>
      </w:r>
      <w:r>
        <w:rPr>
          <w:rFonts w:ascii="Times New Roman" w:cs="Times New Roman" w:eastAsia="Times New Roman" w:hAnsi="Times New Roman"/>
          <w:sz w:val="19"/>
          <w:szCs w:val="19"/>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Issuing Bank,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w:t>
      </w:r>
    </w:p>
    <w:p>
      <w:pPr>
        <w:spacing w:after="0" w:line="16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545465</wp:posOffset>
            </wp:positionV>
            <wp:extent cx="6732905"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232" w:name="page233"/>
    <w:bookmarkEnd w:id="232"/>
    <w:p>
      <w:pPr>
        <w:spacing w:after="0" w:line="269" w:lineRule="exact"/>
        <w:rPr>
          <w:sz w:val="20"/>
          <w:szCs w:val="20"/>
          <w:color w:val="auto"/>
        </w:rPr>
      </w:pPr>
    </w:p>
    <w:p>
      <w:pPr>
        <w:ind w:left="700" w:right="240"/>
        <w:spacing w:after="0" w:line="286" w:lineRule="auto"/>
        <w:rPr>
          <w:sz w:val="20"/>
          <w:szCs w:val="20"/>
          <w:color w:val="auto"/>
        </w:rPr>
      </w:pPr>
      <w:r>
        <w:rPr>
          <w:rFonts w:ascii="Times New Roman" w:cs="Times New Roman" w:eastAsia="Times New Roman" w:hAnsi="Times New Roman"/>
          <w:sz w:val="19"/>
          <w:szCs w:val="19"/>
          <w:color w:val="auto"/>
        </w:rPr>
        <w:t>applicable law without compliance with the provisions of this paragraph, then the assignee of such interest shall be deemed to be a Defaulting Lender for all purposes of this Agreement until such compliance occurs.</w:t>
      </w:r>
    </w:p>
    <w:p>
      <w:pPr>
        <w:spacing w:after="0" w:line="127" w:lineRule="exact"/>
        <w:rPr>
          <w:sz w:val="20"/>
          <w:szCs w:val="20"/>
          <w:color w:val="auto"/>
        </w:rPr>
      </w:pPr>
    </w:p>
    <w:p>
      <w:pPr>
        <w:ind w:right="20" w:firstLine="1410"/>
        <w:spacing w:after="0" w:line="255" w:lineRule="auto"/>
        <w:tabs>
          <w:tab w:leader="none" w:pos="1668"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Maintenance of Registers by Administrative Agent</w:t>
      </w:r>
      <w:r>
        <w:rPr>
          <w:rFonts w:ascii="Times New Roman" w:cs="Times New Roman" w:eastAsia="Times New Roman" w:hAnsi="Times New Roman"/>
          <w:sz w:val="19"/>
          <w:szCs w:val="19"/>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 w:cs="Times New Roman" w:eastAsia="Times New Roman" w:hAnsi="Times New Roman"/>
          <w:sz w:val="19"/>
          <w:szCs w:val="19"/>
          <w:u w:val="single" w:color="auto"/>
          <w:color w:val="auto"/>
        </w:rPr>
        <w:t>Registers</w:t>
      </w:r>
      <w:r>
        <w:rPr>
          <w:rFonts w:ascii="Times New Roman" w:cs="Times New Roman" w:eastAsia="Times New Roman" w:hAnsi="Times New Roman"/>
          <w:sz w:val="19"/>
          <w:szCs w:val="19"/>
          <w:color w:val="auto"/>
        </w:rPr>
        <w:t>” and each individually, a “</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The entries in the Registers shall be conclusive absent manifest error, and the Borrower, the Administrative Agent, the Issuing Bank and the Lenders may treat each Person whose name is recorded in the Registers pursuant to the terms hereof as a Lender hereunder for all purposes of this Agreement, notwithstanding notice to the contrary. The Registers shall be available for inspection by the Borrower, the Issuing Bank and any Lender, at any reasonable time and from time to time upon reasonable prior notice.</w:t>
      </w:r>
    </w:p>
    <w:p>
      <w:pPr>
        <w:spacing w:after="0" w:line="387" w:lineRule="exact"/>
        <w:rPr>
          <w:rFonts w:ascii="Times New Roman" w:cs="Times New Roman" w:eastAsia="Times New Roman" w:hAnsi="Times New Roman"/>
          <w:sz w:val="19"/>
          <w:szCs w:val="19"/>
          <w:color w:val="auto"/>
        </w:rPr>
      </w:pPr>
    </w:p>
    <w:p>
      <w:pPr>
        <w:ind w:right="40" w:firstLine="1410"/>
        <w:spacing w:after="0" w:line="257" w:lineRule="auto"/>
        <w:tabs>
          <w:tab w:leader="none" w:pos="1680"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Acceptance of Assignments by Administrative Agent</w:t>
      </w:r>
      <w:r>
        <w:rPr>
          <w:rFonts w:ascii="Times New Roman" w:cs="Times New Roman" w:eastAsia="Times New Roman" w:hAnsi="Times New Roman"/>
          <w:sz w:val="19"/>
          <w:szCs w:val="19"/>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and any written consent to such assignment required by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56" w:lineRule="exact"/>
        <w:rPr>
          <w:rFonts w:ascii="Times New Roman" w:cs="Times New Roman" w:eastAsia="Times New Roman" w:hAnsi="Times New Roman"/>
          <w:sz w:val="19"/>
          <w:szCs w:val="19"/>
          <w:color w:val="auto"/>
        </w:rPr>
      </w:pPr>
    </w:p>
    <w:p>
      <w:pPr>
        <w:ind w:firstLine="1410"/>
        <w:spacing w:after="0" w:line="253" w:lineRule="auto"/>
        <w:tabs>
          <w:tab w:leader="none" w:pos="1668"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Special Purposes Vehicles</w:t>
      </w:r>
      <w:r>
        <w:rPr>
          <w:rFonts w:ascii="Times New Roman" w:cs="Times New Roman" w:eastAsia="Times New Roman" w:hAnsi="Times New Roman"/>
          <w:sz w:val="19"/>
          <w:szCs w:val="19"/>
          <w:color w:val="auto"/>
        </w:rPr>
        <w:t>. Notwithstanding anything to the contrary contained herein, any Lender (a “</w:t>
      </w:r>
      <w:r>
        <w:rPr>
          <w:rFonts w:ascii="Times New Roman" w:cs="Times New Roman" w:eastAsia="Times New Roman" w:hAnsi="Times New Roman"/>
          <w:sz w:val="19"/>
          <w:szCs w:val="19"/>
          <w:u w:val="single" w:color="auto"/>
          <w:color w:val="auto"/>
        </w:rPr>
        <w:t>Granting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may grant to a special purpose funding vehicle (an “</w:t>
      </w:r>
      <w:r>
        <w:rPr>
          <w:rFonts w:ascii="Times New Roman" w:cs="Times New Roman" w:eastAsia="Times New Roman" w:hAnsi="Times New Roman"/>
          <w:sz w:val="19"/>
          <w:szCs w:val="19"/>
          <w:u w:val="single" w:color="auto"/>
          <w:color w:val="auto"/>
        </w:rPr>
        <w:t>SPC</w:t>
      </w:r>
      <w:r>
        <w:rPr>
          <w:rFonts w:ascii="Times New Roman" w:cs="Times New Roman" w:eastAsia="Times New Roman" w:hAnsi="Times New Roman"/>
          <w:sz w:val="19"/>
          <w:szCs w:val="19"/>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(or any other increased costs protection provision),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163" w:lineRule="exact"/>
        <w:rPr>
          <w:sz w:val="20"/>
          <w:szCs w:val="20"/>
          <w:color w:val="auto"/>
        </w:rPr>
      </w:pPr>
    </w:p>
    <w:p>
      <w:pPr>
        <w:ind w:right="280" w:firstLine="1404"/>
        <w:spacing w:after="0" w:line="286" w:lineRule="auto"/>
        <w:rPr>
          <w:sz w:val="20"/>
          <w:szCs w:val="20"/>
          <w:color w:val="auto"/>
        </w:rPr>
      </w:pPr>
      <w:r>
        <w:rPr>
          <w:rFonts w:ascii="Times New Roman" w:cs="Times New Roman" w:eastAsia="Times New Roman" w:hAnsi="Times New Roman"/>
          <w:sz w:val="19"/>
          <w:szCs w:val="19"/>
          <w:color w:val="auto"/>
        </w:rPr>
        <w:t>Each party hereto hereby agrees (which agreement shall survive the termination of this Agreement) that, prior to the date that is one year and one day after the payment in full of all</w:t>
      </w:r>
    </w:p>
    <w:p>
      <w:pPr>
        <w:spacing w:after="0" w:line="12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33" w:name="page234"/>
    <w:bookmarkEnd w:id="233"/>
    <w:p>
      <w:pPr>
        <w:spacing w:after="0" w:line="2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 xml:space="preserve">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neither the consent of the SPC or of any such assignee shall be required for amendments or waivers hereunder except for those amendments or waivers for which the consent of participants is required under </w:t>
      </w:r>
      <w:r>
        <w:rPr>
          <w:rFonts w:ascii="Times New Roman" w:cs="Times New Roman" w:eastAsia="Times New Roman" w:hAnsi="Times New Roman"/>
          <w:sz w:val="19"/>
          <w:szCs w:val="19"/>
          <w:u w:val="single" w:color="auto"/>
          <w:color w:val="auto"/>
        </w:rPr>
        <w:t>paragraph (f)</w:t>
      </w:r>
      <w:r>
        <w:rPr>
          <w:rFonts w:ascii="Times New Roman" w:cs="Times New Roman" w:eastAsia="Times New Roman" w:hAnsi="Times New Roman"/>
          <w:sz w:val="19"/>
          <w:szCs w:val="19"/>
          <w:color w:val="auto"/>
        </w:rPr>
        <w:t xml:space="preserve"> below, and (ii) disclose on a confidential basis (in the same manner described in </w:t>
      </w:r>
      <w:r>
        <w:rPr>
          <w:rFonts w:ascii="Times New Roman" w:cs="Times New Roman" w:eastAsia="Times New Roman" w:hAnsi="Times New Roman"/>
          <w:sz w:val="19"/>
          <w:szCs w:val="19"/>
          <w:u w:val="single" w:color="auto"/>
          <w:color w:val="auto"/>
        </w:rPr>
        <w:t>Section 9.13(b)</w:t>
      </w:r>
      <w:r>
        <w:rPr>
          <w:rFonts w:ascii="Times New Roman" w:cs="Times New Roman" w:eastAsia="Times New Roman" w:hAnsi="Times New Roman"/>
          <w:sz w:val="19"/>
          <w:szCs w:val="19"/>
          <w:color w:val="auto"/>
        </w:rPr>
        <w:t>) any non-public information relating to its Loans to any rating agency, commercial paper dealer or provider of a surety, guarantee or credit or liquidity enhancement to such SPC.</w:t>
      </w:r>
    </w:p>
    <w:p>
      <w:pPr>
        <w:spacing w:after="0" w:line="163" w:lineRule="exact"/>
        <w:rPr>
          <w:sz w:val="20"/>
          <w:szCs w:val="20"/>
          <w:color w:val="auto"/>
        </w:rPr>
      </w:pPr>
    </w:p>
    <w:p>
      <w:pPr>
        <w:ind w:right="40" w:firstLine="1410"/>
        <w:spacing w:after="0" w:line="252" w:lineRule="auto"/>
        <w:tabs>
          <w:tab w:leader="none" w:pos="1644"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Participations</w:t>
      </w:r>
      <w:r>
        <w:rPr>
          <w:rFonts w:ascii="Times New Roman" w:cs="Times New Roman" w:eastAsia="Times New Roman" w:hAnsi="Times New Roman"/>
          <w:sz w:val="19"/>
          <w:szCs w:val="19"/>
          <w:color w:val="auto"/>
        </w:rPr>
        <w:t>. Any Lender may, with the consent of the Borrower (such consent not to be unreasonably withheld or delayed), sell participations to one or more banks or other entities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in all or a portion of such Lender’s rights and obligations under this Agreement and the other Loan Documents (including all or a portion of its Commitments and the Loans and LC Disbursements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consent of the Borrower shall not be required if (x) an Event of Default has occurred and is continuing, (y) such Participant does not have any of the voting rights or consent rights permitted in the immediately succeeding sentence or (z)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(iv) the Borrower, the Administrative Agent, the Issuing Bank and the other Lenders shall continue to deal solely and directly with such Lender in connection with such Lender’s rights and obligations under this Agreement and the other Loan Documents and (v) no Person listed in the Prohibited Assignees and Participants Side Letter may be a Participant.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9"/>
          <w:szCs w:val="19"/>
          <w:u w:val="single" w:color="auto"/>
          <w:color w:val="auto"/>
        </w:rPr>
        <w:t>Section 9.02(b)</w:t>
      </w:r>
      <w:r>
        <w:rPr>
          <w:rFonts w:ascii="Times New Roman" w:cs="Times New Roman" w:eastAsia="Times New Roman" w:hAnsi="Times New Roman"/>
          <w:sz w:val="19"/>
          <w:szCs w:val="19"/>
          <w:color w:val="auto"/>
        </w:rPr>
        <w:t xml:space="preserve"> that affects such Participant. Subject to </w:t>
      </w:r>
      <w:r>
        <w:rPr>
          <w:rFonts w:ascii="Times New Roman" w:cs="Times New Roman" w:eastAsia="Times New Roman" w:hAnsi="Times New Roman"/>
          <w:sz w:val="19"/>
          <w:szCs w:val="19"/>
          <w:u w:val="single" w:color="auto"/>
          <w:color w:val="auto"/>
        </w:rPr>
        <w:t>paragraph (g)</w:t>
      </w:r>
      <w:r>
        <w:rPr>
          <w:rFonts w:ascii="Times New Roman" w:cs="Times New Roman" w:eastAsia="Times New Roman" w:hAnsi="Times New Roman"/>
          <w:sz w:val="19"/>
          <w:szCs w:val="19"/>
          <w:color w:val="auto"/>
        </w:rPr>
        <w:t xml:space="preserve"> of this Section, the Borrower agrees that each Participant shall be entitled to the benefits of </w:t>
      </w:r>
      <w:r>
        <w:rPr>
          <w:rFonts w:ascii="Times New Roman" w:cs="Times New Roman" w:eastAsia="Times New Roman" w:hAnsi="Times New Roman"/>
          <w:sz w:val="19"/>
          <w:szCs w:val="19"/>
          <w:u w:val="single" w:color="auto"/>
          <w:color w:val="auto"/>
        </w:rPr>
        <w:t>Sections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to the same extent as if it were a Lender and had acquired its interest by assignment pursuant to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shall not be entitled to receive any greater payment under </w:t>
      </w:r>
      <w:r>
        <w:rPr>
          <w:rFonts w:ascii="Times New Roman" w:cs="Times New Roman" w:eastAsia="Times New Roman" w:hAnsi="Times New Roman"/>
          <w:sz w:val="19"/>
          <w:szCs w:val="19"/>
          <w:u w:val="single" w:color="auto"/>
          <w:color w:val="auto"/>
        </w:rPr>
        <w:t>Sections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with respect to any participation, than its participating Lenders would have been</w:t>
      </w:r>
    </w:p>
    <w:p>
      <w:pPr>
        <w:spacing w:after="0" w:line="1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234" w:name="page235"/>
    <w:bookmarkEnd w:id="234"/>
    <w:p>
      <w:pPr>
        <w:spacing w:after="0" w:line="26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auto"/>
        </w:rPr>
        <w:t xml:space="preserve">entitled to receive, except to the extent such entitlement to receive a greater payment results from a Change in Law that occurs after the Participant acquired the applicable participation;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no Participant shall be entitled to the benefits of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unless the Borrower is notified of the participation granted to such Participant and such Participant shall have complied with the requirements of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as if such Participant is a Lender.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9.08</w:t>
      </w:r>
      <w:r>
        <w:rPr>
          <w:rFonts w:ascii="Times New Roman" w:cs="Times New Roman" w:eastAsia="Times New Roman" w:hAnsi="Times New Roman"/>
          <w:sz w:val="19"/>
          <w:szCs w:val="19"/>
          <w:color w:val="auto"/>
        </w:rPr>
        <w:t xml:space="preserve"> as though it were a Lender; provided such Participant agrees to be subject to </w:t>
      </w:r>
      <w:r>
        <w:rPr>
          <w:rFonts w:ascii="Times New Roman" w:cs="Times New Roman" w:eastAsia="Times New Roman" w:hAnsi="Times New Roman"/>
          <w:sz w:val="19"/>
          <w:szCs w:val="19"/>
          <w:u w:val="single" w:color="auto"/>
          <w:color w:val="auto"/>
        </w:rPr>
        <w:t>Section 2.17(d)</w:t>
      </w:r>
      <w:r>
        <w:rPr>
          <w:rFonts w:ascii="Times New Roman" w:cs="Times New Roman" w:eastAsia="Times New Roman" w:hAnsi="Times New Roman"/>
          <w:sz w:val="19"/>
          <w:szCs w:val="19"/>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5f.103- 1(c)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1" w:lineRule="exact"/>
        <w:rPr>
          <w:sz w:val="20"/>
          <w:szCs w:val="20"/>
          <w:color w:val="auto"/>
        </w:rPr>
      </w:pPr>
    </w:p>
    <w:p>
      <w:pPr>
        <w:ind w:right="40" w:firstLine="1410"/>
        <w:spacing w:after="0" w:line="255" w:lineRule="auto"/>
        <w:tabs>
          <w:tab w:leader="none" w:pos="1680"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Limitations on Rights of Participants</w:t>
      </w:r>
      <w:r>
        <w:rPr>
          <w:rFonts w:ascii="Times New Roman" w:cs="Times New Roman" w:eastAsia="Times New Roman" w:hAnsi="Times New Roman"/>
          <w:sz w:val="19"/>
          <w:szCs w:val="19"/>
          <w:color w:val="auto"/>
        </w:rPr>
        <w:t xml:space="preserve">. A Participant shall not be entitled to receive any greater payment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19"/>
          <w:szCs w:val="19"/>
          <w:u w:val="single" w:color="auto"/>
          <w:color w:val="auto"/>
        </w:rPr>
        <w:t>paragraphs (e)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155" w:lineRule="exact"/>
        <w:rPr>
          <w:rFonts w:ascii="Times New Roman" w:cs="Times New Roman" w:eastAsia="Times New Roman" w:hAnsi="Times New Roman"/>
          <w:sz w:val="19"/>
          <w:szCs w:val="19"/>
          <w:color w:val="auto"/>
        </w:rPr>
      </w:pPr>
    </w:p>
    <w:p>
      <w:pPr>
        <w:ind w:right="120" w:firstLine="1410"/>
        <w:spacing w:after="0" w:line="259" w:lineRule="auto"/>
        <w:tabs>
          <w:tab w:leader="none" w:pos="1680"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Pledges</w:t>
      </w:r>
      <w:r>
        <w:rPr>
          <w:rFonts w:ascii="Times New Roman" w:cs="Times New Roman" w:eastAsia="Times New Roman" w:hAnsi="Times New Roman"/>
          <w:sz w:val="19"/>
          <w:szCs w:val="19"/>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pledge or assignment of a security interest shall release a Lender from any of its obligations hereunder or substitute any such assignee for such Lender as a party hereto.</w:t>
      </w:r>
    </w:p>
    <w:p>
      <w:pPr>
        <w:spacing w:after="0" w:line="153" w:lineRule="exact"/>
        <w:rPr>
          <w:rFonts w:ascii="Times New Roman" w:cs="Times New Roman" w:eastAsia="Times New Roman" w:hAnsi="Times New Roman"/>
          <w:sz w:val="19"/>
          <w:szCs w:val="19"/>
          <w:color w:val="auto"/>
        </w:rPr>
      </w:pPr>
    </w:p>
    <w:p>
      <w:pPr>
        <w:ind w:right="60" w:firstLine="1410"/>
        <w:spacing w:after="0" w:line="286" w:lineRule="auto"/>
        <w:tabs>
          <w:tab w:leader="none" w:pos="1632"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Assignments to the Borrower or Affiliates</w:t>
      </w:r>
      <w:r>
        <w:rPr>
          <w:rFonts w:ascii="Times New Roman" w:cs="Times New Roman" w:eastAsia="Times New Roman" w:hAnsi="Times New Roman"/>
          <w:sz w:val="19"/>
          <w:szCs w:val="19"/>
          <w:color w:val="auto"/>
        </w:rPr>
        <w:t>. Anything in this Section to the contrary notwithstanding, no Lender may assign or participate any interest in any Loan or LC</w:t>
      </w:r>
    </w:p>
    <w:p>
      <w:pPr>
        <w:spacing w:after="0" w:line="12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5" w:name="page236"/>
    <w:bookmarkEnd w:id="235"/>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Exposure held by it hereunder to the Borrower or any of its Affiliates or Subsidiaries without the prior consent of each Lender.</w:t>
      </w:r>
    </w:p>
    <w:p>
      <w:pPr>
        <w:spacing w:after="0" w:line="202" w:lineRule="exact"/>
        <w:rPr>
          <w:sz w:val="20"/>
          <w:szCs w:val="20"/>
          <w:color w:val="auto"/>
        </w:rPr>
      </w:pPr>
    </w:p>
    <w:p>
      <w:pPr>
        <w:ind w:right="140" w:firstLine="1404"/>
        <w:spacing w:after="0" w:line="254" w:lineRule="auto"/>
        <w:rPr>
          <w:sz w:val="20"/>
          <w:szCs w:val="20"/>
          <w:color w:val="auto"/>
        </w:rPr>
      </w:pPr>
      <w:r>
        <w:rPr>
          <w:rFonts w:ascii="Times New Roman" w:cs="Times New Roman" w:eastAsia="Times New Roman" w:hAnsi="Times New Roman"/>
          <w:sz w:val="19"/>
          <w:szCs w:val="19"/>
          <w:color w:val="auto"/>
        </w:rPr>
        <w:t xml:space="preserve">SECTION 9.05. </w:t>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19"/>
          <w:szCs w:val="19"/>
          <w:u w:val="single" w:color="auto"/>
          <w:color w:val="auto"/>
        </w:rPr>
        <w:t>Sections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9.06. </w:t>
      </w:r>
      <w:r>
        <w:rPr>
          <w:rFonts w:ascii="Times New Roman" w:cs="Times New Roman" w:eastAsia="Times New Roman" w:hAnsi="Times New Roman"/>
          <w:sz w:val="19"/>
          <w:szCs w:val="19"/>
          <w:u w:val="single" w:color="auto"/>
          <w:color w:val="auto"/>
        </w:rPr>
        <w:t>Counterparts; Integration; Effectiveness; Electronic Execution</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410"/>
        <w:spacing w:after="0" w:line="254" w:lineRule="auto"/>
        <w:tabs>
          <w:tab w:leader="none" w:pos="1668"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 Integration; Effectiveness</w:t>
      </w:r>
      <w:r>
        <w:rPr>
          <w:rFonts w:ascii="Times New Roman" w:cs="Times New Roman" w:eastAsia="Times New Roman" w:hAnsi="Times New Roman"/>
          <w:sz w:val="19"/>
          <w:szCs w:val="19"/>
          <w:color w:val="auto"/>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or electronically (e.g. pdf) shall be effective as delivery of a manually executed counterpart of this Agreement.</w:t>
      </w:r>
    </w:p>
    <w:p>
      <w:pPr>
        <w:spacing w:after="0" w:line="160" w:lineRule="exact"/>
        <w:rPr>
          <w:rFonts w:ascii="Times New Roman" w:cs="Times New Roman" w:eastAsia="Times New Roman" w:hAnsi="Times New Roman"/>
          <w:sz w:val="19"/>
          <w:szCs w:val="19"/>
          <w:color w:val="auto"/>
        </w:rPr>
      </w:pPr>
    </w:p>
    <w:p>
      <w:pPr>
        <w:ind w:right="80" w:firstLine="1410"/>
        <w:spacing w:after="0" w:line="257" w:lineRule="auto"/>
        <w:tabs>
          <w:tab w:leader="none" w:pos="1680"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Execution of Assignments</w:t>
      </w:r>
      <w:r>
        <w:rPr>
          <w:rFonts w:ascii="Times New Roman" w:cs="Times New Roman" w:eastAsia="Times New Roman" w:hAnsi="Times New Roman"/>
          <w:sz w:val="19"/>
          <w:szCs w:val="19"/>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7" w:lineRule="exact"/>
        <w:rPr>
          <w:sz w:val="20"/>
          <w:szCs w:val="20"/>
          <w:color w:val="auto"/>
        </w:rPr>
      </w:pPr>
    </w:p>
    <w:p>
      <w:pPr>
        <w:ind w:right="20" w:firstLine="1404"/>
        <w:spacing w:after="0" w:line="268" w:lineRule="auto"/>
        <w:rPr>
          <w:sz w:val="20"/>
          <w:szCs w:val="20"/>
          <w:color w:val="auto"/>
        </w:rPr>
      </w:pPr>
      <w:r>
        <w:rPr>
          <w:rFonts w:ascii="Times New Roman" w:cs="Times New Roman" w:eastAsia="Times New Roman" w:hAnsi="Times New Roman"/>
          <w:sz w:val="19"/>
          <w:szCs w:val="19"/>
          <w:color w:val="auto"/>
        </w:rPr>
        <w:t xml:space="preserve">SECTION 9.07.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Any provision of this Agreement held to be invalid, illegal or unenforceable in any jurisdiction shall, as to such jurisdiction, be ineffective to the extent of such invalidity, illegality or unenforceability without affecting the validity, legality and</w:t>
      </w:r>
    </w:p>
    <w:p>
      <w:pPr>
        <w:spacing w:after="0" w:line="1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6" w:name="page237"/>
    <w:bookmarkEnd w:id="236"/>
    <w:p>
      <w:pPr>
        <w:spacing w:after="0" w:line="269"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9"/>
          <w:szCs w:val="19"/>
          <w:color w:val="auto"/>
        </w:rPr>
        <w:t>enforceability of the remaining provisions hereof; and the invalidity of a particular provision in a particular jurisdiction shall not invalidate such provision in any other jurisdiction.</w:t>
      </w:r>
    </w:p>
    <w:p>
      <w:pPr>
        <w:spacing w:after="0" w:line="127" w:lineRule="exact"/>
        <w:rPr>
          <w:sz w:val="20"/>
          <w:szCs w:val="20"/>
          <w:color w:val="auto"/>
        </w:rPr>
      </w:pPr>
    </w:p>
    <w:p>
      <w:pPr>
        <w:ind w:right="20" w:firstLine="1404"/>
        <w:spacing w:after="0" w:line="253" w:lineRule="auto"/>
        <w:rPr>
          <w:sz w:val="20"/>
          <w:szCs w:val="20"/>
          <w:color w:val="auto"/>
        </w:rPr>
      </w:pPr>
      <w:r>
        <w:rPr>
          <w:rFonts w:ascii="Times New Roman" w:cs="Times New Roman" w:eastAsia="Times New Roman" w:hAnsi="Times New Roman"/>
          <w:sz w:val="19"/>
          <w:szCs w:val="19"/>
          <w:color w:val="auto"/>
        </w:rPr>
        <w:t xml:space="preserve">SECTION 9.08. </w:t>
      </w:r>
      <w:r>
        <w:rPr>
          <w:rFonts w:ascii="Times New Roman" w:cs="Times New Roman" w:eastAsia="Times New Roman" w:hAnsi="Times New Roman"/>
          <w:sz w:val="19"/>
          <w:szCs w:val="19"/>
          <w:u w:val="single" w:color="auto"/>
          <w:color w:val="auto"/>
        </w:rPr>
        <w:t>Right of Setoff</w:t>
      </w:r>
      <w:r>
        <w:rPr>
          <w:rFonts w:ascii="Times New Roman" w:cs="Times New Roman" w:eastAsia="Times New Roman" w:hAnsi="Times New Roman"/>
          <w:sz w:val="19"/>
          <w:szCs w:val="19"/>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Times New Roman" w:cs="Times New Roman" w:eastAsia="Times New Roman" w:hAnsi="Times New Roman"/>
          <w:sz w:val="19"/>
          <w:szCs w:val="19"/>
          <w:u w:val="single" w:color="auto"/>
          <w:color w:val="auto"/>
        </w:rPr>
        <w:t>Sections 2.17(d)</w:t>
      </w:r>
      <w:r>
        <w:rPr>
          <w:rFonts w:ascii="Times New Roman" w:cs="Times New Roman" w:eastAsia="Times New Roman" w:hAnsi="Times New Roman"/>
          <w:sz w:val="19"/>
          <w:szCs w:val="19"/>
          <w:color w:val="auto"/>
        </w:rPr>
        <w:t xml:space="preserve"> and, pending such payment, shall be segregated by such Defaulting Lender from its other funds and deemed held in trust for the benefit of Administrative Agent, the Issuing Bank,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 the validity of such setoff and application.</w:t>
      </w:r>
    </w:p>
    <w:p>
      <w:pPr>
        <w:spacing w:after="0" w:line="16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9.09. </w:t>
      </w:r>
      <w:r>
        <w:rPr>
          <w:rFonts w:ascii="Times New Roman" w:cs="Times New Roman" w:eastAsia="Times New Roman" w:hAnsi="Times New Roman"/>
          <w:sz w:val="19"/>
          <w:szCs w:val="19"/>
          <w:u w:val="single" w:color="auto"/>
          <w:color w:val="auto"/>
        </w:rPr>
        <w:t>Governing Law; Jurisdiction; Etc</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shall be construed in accordance with and governed by the law of the State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w:t>
      </w:r>
    </w:p>
    <w:p>
      <w:pPr>
        <w:spacing w:after="0" w:line="180" w:lineRule="exact"/>
        <w:rPr>
          <w:sz w:val="20"/>
          <w:szCs w:val="20"/>
          <w:color w:val="auto"/>
        </w:rPr>
      </w:pPr>
    </w:p>
    <w:p>
      <w:pPr>
        <w:ind w:firstLine="1410"/>
        <w:spacing w:after="0" w:line="254" w:lineRule="auto"/>
        <w:tabs>
          <w:tab w:leader="none" w:pos="1680"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Submission to Jurisdiction</w:t>
      </w:r>
      <w:r>
        <w:rPr>
          <w:rFonts w:ascii="Times New Roman" w:cs="Times New Roman" w:eastAsia="Times New Roman" w:hAnsi="Times New Roman"/>
          <w:sz w:val="19"/>
          <w:szCs w:val="19"/>
          <w:color w:val="auto"/>
        </w:rPr>
        <w:t>. The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the Issuing Bank or any Lender may otherwise have to bring any action or proceeding relating to this Agreement against the Borrower or its properties in the courts of any jurisdiction.</w:t>
      </w:r>
    </w:p>
    <w:p>
      <w:pPr>
        <w:spacing w:after="0" w:line="160" w:lineRule="exact"/>
        <w:rPr>
          <w:rFonts w:ascii="Times New Roman" w:cs="Times New Roman" w:eastAsia="Times New Roman" w:hAnsi="Times New Roman"/>
          <w:sz w:val="19"/>
          <w:szCs w:val="19"/>
          <w:color w:val="auto"/>
        </w:rPr>
      </w:pPr>
    </w:p>
    <w:p>
      <w:pPr>
        <w:ind w:right="40" w:firstLine="1410"/>
        <w:spacing w:after="0" w:line="268" w:lineRule="auto"/>
        <w:tabs>
          <w:tab w:leader="none" w:pos="1668"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Venue</w:t>
      </w:r>
      <w:r>
        <w:rPr>
          <w:rFonts w:ascii="Times New Roman" w:cs="Times New Roman" w:eastAsia="Times New Roman" w:hAnsi="Times New Roman"/>
          <w:sz w:val="19"/>
          <w:szCs w:val="19"/>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Each of the parties</w:t>
      </w:r>
    </w:p>
    <w:p>
      <w:pPr>
        <w:spacing w:after="0" w:line="1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37" w:name="page238"/>
    <w:bookmarkEnd w:id="237"/>
    <w:p>
      <w:pPr>
        <w:spacing w:after="0" w:line="26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hereto hereby irrevocably waives, to the fullest extent permitted by law, the defense of an inconvenient forum to the maintenance of such action or proceeding in any such court.</w:t>
      </w:r>
    </w:p>
    <w:p>
      <w:pPr>
        <w:spacing w:after="0" w:line="127" w:lineRule="exact"/>
        <w:rPr>
          <w:sz w:val="20"/>
          <w:szCs w:val="20"/>
          <w:color w:val="auto"/>
        </w:rPr>
      </w:pPr>
    </w:p>
    <w:p>
      <w:pPr>
        <w:ind w:right="180" w:firstLine="1410"/>
        <w:spacing w:after="0" w:line="259" w:lineRule="auto"/>
        <w:tabs>
          <w:tab w:leader="none" w:pos="1680"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Service of Process</w:t>
      </w:r>
      <w:r>
        <w:rPr>
          <w:rFonts w:ascii="Times New Roman" w:cs="Times New Roman" w:eastAsia="Times New Roman" w:hAnsi="Times New Roman"/>
          <w:sz w:val="19"/>
          <w:szCs w:val="19"/>
          <w:color w:val="auto"/>
        </w:rPr>
        <w:t xml:space="preserve">. Each party to this Agreement (i) irrevocably consents to service of process in the manner provided for notices in </w:t>
      </w:r>
      <w:r>
        <w:rPr>
          <w:rFonts w:ascii="Times New Roman" w:cs="Times New Roman" w:eastAsia="Times New Roman" w:hAnsi="Times New Roman"/>
          <w:sz w:val="19"/>
          <w:szCs w:val="19"/>
          <w:u w:val="single" w:color="auto"/>
          <w:color w:val="auto"/>
        </w:rPr>
        <w:t>Section 9.01</w:t>
      </w:r>
      <w:r>
        <w:rPr>
          <w:rFonts w:ascii="Times New Roman" w:cs="Times New Roman" w:eastAsia="Times New Roman" w:hAnsi="Times New Roman"/>
          <w:sz w:val="19"/>
          <w:szCs w:val="19"/>
          <w:color w:val="auto"/>
        </w:rPr>
        <w:t xml:space="preserve"> and (ii) agrees that service as provided in the manner provided for notices in </w:t>
      </w:r>
      <w:r>
        <w:rPr>
          <w:rFonts w:ascii="Times New Roman" w:cs="Times New Roman" w:eastAsia="Times New Roman" w:hAnsi="Times New Roman"/>
          <w:sz w:val="19"/>
          <w:szCs w:val="19"/>
          <w:u w:val="single" w:color="auto"/>
          <w:color w:val="auto"/>
        </w:rPr>
        <w:t>Section 9.01</w:t>
      </w:r>
      <w:r>
        <w:rPr>
          <w:rFonts w:ascii="Times New Roman" w:cs="Times New Roman" w:eastAsia="Times New Roman" w:hAnsi="Times New Roman"/>
          <w:sz w:val="19"/>
          <w:szCs w:val="19"/>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54" w:lineRule="exact"/>
        <w:rPr>
          <w:sz w:val="20"/>
          <w:szCs w:val="20"/>
          <w:color w:val="auto"/>
        </w:rPr>
      </w:pPr>
    </w:p>
    <w:p>
      <w:pPr>
        <w:ind w:right="20" w:firstLine="1404"/>
        <w:spacing w:after="0" w:line="255" w:lineRule="auto"/>
        <w:rPr>
          <w:sz w:val="20"/>
          <w:szCs w:val="20"/>
          <w:color w:val="auto"/>
        </w:rPr>
      </w:pPr>
      <w:r>
        <w:rPr>
          <w:rFonts w:ascii="Times New Roman" w:cs="Times New Roman" w:eastAsia="Times New Roman" w:hAnsi="Times New Roman"/>
          <w:sz w:val="19"/>
          <w:szCs w:val="19"/>
          <w:color w:val="auto"/>
        </w:rPr>
        <w:t xml:space="preserve">SECTION 9.10. </w:t>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55" w:lineRule="exact"/>
        <w:rPr>
          <w:sz w:val="20"/>
          <w:szCs w:val="20"/>
          <w:color w:val="auto"/>
        </w:rPr>
      </w:pPr>
    </w:p>
    <w:p>
      <w:pPr>
        <w:ind w:right="40" w:firstLine="1404"/>
        <w:spacing w:after="0" w:line="252" w:lineRule="auto"/>
        <w:rPr>
          <w:sz w:val="20"/>
          <w:szCs w:val="20"/>
          <w:color w:val="auto"/>
        </w:rPr>
      </w:pPr>
      <w:r>
        <w:rPr>
          <w:rFonts w:ascii="Times New Roman" w:cs="Times New Roman" w:eastAsia="Times New Roman" w:hAnsi="Times New Roman"/>
          <w:sz w:val="19"/>
          <w:szCs w:val="19"/>
          <w:color w:val="auto"/>
        </w:rPr>
        <w:t xml:space="preserve">SECTION 9.11. </w:t>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 This is an international loan transaction in which the specification of Dollars or any Foreign Currency, as the case may be (the “</w:t>
      </w:r>
      <w:r>
        <w:rPr>
          <w:rFonts w:ascii="Times New Roman" w:cs="Times New Roman" w:eastAsia="Times New Roman" w:hAnsi="Times New Roman"/>
          <w:sz w:val="19"/>
          <w:szCs w:val="19"/>
          <w:u w:val="single" w:color="auto"/>
          <w:color w:val="auto"/>
        </w:rPr>
        <w:t>Specified Currency</w:t>
      </w:r>
      <w:r>
        <w:rPr>
          <w:rFonts w:ascii="Times New Roman" w:cs="Times New Roman" w:eastAsia="Times New Roman" w:hAnsi="Times New Roman"/>
          <w:sz w:val="19"/>
          <w:szCs w:val="19"/>
          <w:color w:val="auto"/>
        </w:rPr>
        <w:t>”), and payment in New York City or the country of the Specified Currency, as the case may be (the “</w:t>
      </w:r>
      <w:r>
        <w:rPr>
          <w:rFonts w:ascii="Times New Roman" w:cs="Times New Roman" w:eastAsia="Times New Roman" w:hAnsi="Times New Roman"/>
          <w:sz w:val="19"/>
          <w:szCs w:val="19"/>
          <w:u w:val="single" w:color="auto"/>
          <w:color w:val="auto"/>
        </w:rPr>
        <w:t>Specified Place</w:t>
      </w:r>
      <w:r>
        <w:rPr>
          <w:rFonts w:ascii="Times New Roman" w:cs="Times New Roman" w:eastAsia="Times New Roman" w:hAnsi="Times New Roman"/>
          <w:sz w:val="19"/>
          <w:szCs w:val="19"/>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Currency</w:t>
      </w:r>
      <w:r>
        <w:rPr>
          <w:rFonts w:ascii="Times New Roman" w:cs="Times New Roman" w:eastAsia="Times New Roman" w:hAnsi="Times New Roman"/>
          <w:sz w:val="19"/>
          <w:szCs w:val="19"/>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Times New Roman" w:cs="Times New Roman" w:eastAsia="Times New Roman" w:hAnsi="Times New Roman"/>
          <w:sz w:val="19"/>
          <w:szCs w:val="19"/>
          <w:u w:val="single" w:color="auto"/>
          <w:color w:val="auto"/>
        </w:rPr>
        <w:t>Entitled Person</w:t>
      </w:r>
      <w:r>
        <w:rPr>
          <w:rFonts w:ascii="Times New Roman" w:cs="Times New Roman" w:eastAsia="Times New Roman" w:hAnsi="Times New Roman"/>
          <w:sz w:val="19"/>
          <w:szCs w:val="19"/>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w:t>
      </w:r>
    </w:p>
    <w:p>
      <w:pPr>
        <w:spacing w:after="0" w:line="16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8" w:name="page239"/>
    <w:bookmarkEnd w:id="238"/>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Entitled Person in the Specified Currency hereunder exceeds the amount of the Specified Currency so purchased and transferred.</w:t>
      </w:r>
    </w:p>
    <w:p>
      <w:pPr>
        <w:spacing w:after="0" w:line="202"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 xml:space="preserve">SECTION 9.12.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SECTION 9.13. </w:t>
      </w:r>
      <w:r>
        <w:rPr>
          <w:rFonts w:ascii="Times New Roman" w:cs="Times New Roman" w:eastAsia="Times New Roman" w:hAnsi="Times New Roman"/>
          <w:sz w:val="19"/>
          <w:szCs w:val="19"/>
          <w:u w:val="single" w:color="auto"/>
          <w:color w:val="auto"/>
        </w:rPr>
        <w:t>Treatment of Certain Information; No Fiduciary Duty; Confidentiality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410"/>
        <w:spacing w:after="0" w:line="251" w:lineRule="auto"/>
        <w:tabs>
          <w:tab w:leader="none" w:pos="1668"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Treatment of Certain Information</w:t>
      </w:r>
      <w:r>
        <w:rPr>
          <w:rFonts w:ascii="Times New Roman" w:cs="Times New Roman" w:eastAsia="Times New Roman" w:hAnsi="Times New Roman"/>
          <w:sz w:val="19"/>
          <w:szCs w:val="19"/>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w:t>
      </w:r>
    </w:p>
    <w:p>
      <w:pPr>
        <w:spacing w:after="0" w:line="1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9" w:name="page240"/>
    <w:bookmarkEnd w:id="239"/>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similar duty to the Borrower or any of its Subsidiaries, in connection with such transaction or the process leading thereto.</w:t>
      </w:r>
    </w:p>
    <w:p>
      <w:pPr>
        <w:spacing w:after="0" w:line="202" w:lineRule="exact"/>
        <w:rPr>
          <w:sz w:val="20"/>
          <w:szCs w:val="20"/>
          <w:color w:val="auto"/>
        </w:rPr>
      </w:pPr>
    </w:p>
    <w:p>
      <w:pPr>
        <w:ind w:right="40" w:firstLine="1410"/>
        <w:spacing w:after="0" w:line="254" w:lineRule="auto"/>
        <w:tabs>
          <w:tab w:leader="none" w:pos="1680" w:val="left"/>
        </w:tabs>
        <w:numPr>
          <w:ilvl w:val="1"/>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Each of the Administrative Agent, the Lenders, the Swingline Lender and the Issuing Bank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w:t>
      </w:r>
    </w:p>
    <w:p>
      <w:pPr>
        <w:spacing w:after="0" w:line="3" w:lineRule="exact"/>
        <w:rPr>
          <w:rFonts w:ascii="Times New Roman" w:cs="Times New Roman" w:eastAsia="Times New Roman" w:hAnsi="Times New Roman"/>
          <w:sz w:val="19"/>
          <w:szCs w:val="19"/>
          <w:color w:val="auto"/>
        </w:rPr>
      </w:pPr>
    </w:p>
    <w:p>
      <w:pPr>
        <w:ind w:firstLine="6"/>
        <w:spacing w:after="0" w:line="251" w:lineRule="auto"/>
        <w:tabs>
          <w:tab w:leader="none" w:pos="325"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any other party hereto, (v) in connection with the exercise of any remedies hereunder or under any other Loan Document or any action or proceeding relating to this Agreement or any other Loan Document or the enforcement of rights hereunder or thereunder, (vi) other than to any Person listed in the Prohibited Assignees and Participants Side Letter,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to any rating agencies and market data collectors on a confidential basis, (viii) with the consent of the Borrower or (ix) to the extent such Information (x) becomes publicly available other than as a result of a breach of this Section or (y) becomes available to the Administrative Agent, any Lender, the Issuing Bank or any of their respective Affiliates on a nonconfidential basis from a source other than the Borrower.</w:t>
      </w:r>
    </w:p>
    <w:p>
      <w:pPr>
        <w:spacing w:after="0" w:line="166" w:lineRule="exact"/>
        <w:rPr>
          <w:sz w:val="20"/>
          <w:szCs w:val="20"/>
          <w:color w:val="auto"/>
        </w:rPr>
      </w:pPr>
    </w:p>
    <w:p>
      <w:pPr>
        <w:ind w:right="40" w:firstLine="1404"/>
        <w:spacing w:after="0" w:line="255" w:lineRule="auto"/>
        <w:rPr>
          <w:sz w:val="20"/>
          <w:szCs w:val="20"/>
          <w:color w:val="auto"/>
        </w:rPr>
      </w:pPr>
      <w:r>
        <w:rPr>
          <w:rFonts w:ascii="Times New Roman" w:cs="Times New Roman" w:eastAsia="Times New Roman" w:hAnsi="Times New Roman"/>
          <w:sz w:val="19"/>
          <w:szCs w:val="19"/>
          <w:color w:val="auto"/>
        </w:rPr>
        <w:t>For purposes of this Section,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the Issuing Bank on a nonconfidential basis prior to disclosure by the Borrower or any of its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92" w:lineRule="exact"/>
        <w:rPr>
          <w:sz w:val="20"/>
          <w:szCs w:val="20"/>
          <w:color w:val="auto"/>
        </w:rPr>
      </w:pPr>
    </w:p>
    <w:p>
      <w:pPr>
        <w:ind w:right="40" w:firstLine="1404"/>
        <w:spacing w:after="0" w:line="233" w:lineRule="exact"/>
        <w:rPr>
          <w:sz w:val="20"/>
          <w:szCs w:val="20"/>
          <w:color w:val="auto"/>
        </w:rPr>
      </w:pPr>
      <w:r>
        <w:rPr>
          <w:rFonts w:ascii="Times New Roman" w:cs="Times New Roman" w:eastAsia="Times New Roman" w:hAnsi="Times New Roman"/>
          <w:sz w:val="19"/>
          <w:szCs w:val="19"/>
          <w:color w:val="auto"/>
        </w:rPr>
        <w:t xml:space="preserve">SECTION 9.14. </w:t>
      </w:r>
      <w:r>
        <w:rPr>
          <w:rFonts w:ascii="Times New Roman" w:cs="Times New Roman" w:eastAsia="Times New Roman" w:hAnsi="Times New Roman"/>
          <w:sz w:val="19"/>
          <w:szCs w:val="19"/>
          <w:u w:val="single" w:color="auto"/>
          <w:color w:val="auto"/>
        </w:rPr>
        <w:t>USA PATRIOT Act</w:t>
      </w:r>
      <w:r>
        <w:rPr>
          <w:rFonts w:ascii="Times New Roman" w:cs="Times New Roman" w:eastAsia="Times New Roman" w:hAnsi="Times New Roman"/>
          <w:sz w:val="19"/>
          <w:szCs w:val="19"/>
          <w:color w:val="auto"/>
        </w:rPr>
        <w:t>. Each Lender hereby notifies the Borrower that pursuant to the requirements of the USA PATRIOT Act (Title III of Pub. L. 107</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56 (signed into law October 26, 2001)), it is required to obtain, verify and record information that identifies the Borrower and each other Obligor, which information includes the name and address of the Borrower and each other Obligor and other information that will allow such Lender to identify the Borrower and each other Obligor in accordance with said Act and the Beneficial Ownership Regulation.</w:t>
      </w:r>
    </w:p>
    <w:p>
      <w:pPr>
        <w:spacing w:after="0" w:line="172" w:lineRule="exact"/>
        <w:rPr>
          <w:sz w:val="20"/>
          <w:szCs w:val="20"/>
          <w:color w:val="auto"/>
        </w:rPr>
      </w:pPr>
    </w:p>
    <w:p>
      <w:pPr>
        <w:ind w:right="600" w:firstLine="1404"/>
        <w:spacing w:after="0" w:line="268" w:lineRule="auto"/>
        <w:rPr>
          <w:sz w:val="20"/>
          <w:szCs w:val="20"/>
          <w:color w:val="auto"/>
        </w:rPr>
      </w:pPr>
      <w:r>
        <w:rPr>
          <w:rFonts w:ascii="Times New Roman" w:cs="Times New Roman" w:eastAsia="Times New Roman" w:hAnsi="Times New Roman"/>
          <w:sz w:val="19"/>
          <w:szCs w:val="19"/>
          <w:color w:val="auto"/>
        </w:rPr>
        <w:t xml:space="preserve">SECTION 9.15. </w:t>
      </w:r>
      <w:r>
        <w:rPr>
          <w:rFonts w:ascii="Times New Roman" w:cs="Times New Roman" w:eastAsia="Times New Roman" w:hAnsi="Times New Roman"/>
          <w:sz w:val="19"/>
          <w:szCs w:val="19"/>
          <w:u w:val="single" w:color="auto"/>
          <w:color w:val="auto"/>
        </w:rPr>
        <w:t>Effect of Amendment and Restatement of the Existing Agreement</w:t>
      </w:r>
      <w:r>
        <w:rPr>
          <w:rFonts w:ascii="Times New Roman" w:cs="Times New Roman" w:eastAsia="Times New Roman" w:hAnsi="Times New Roman"/>
          <w:sz w:val="19"/>
          <w:szCs w:val="19"/>
          <w:color w:val="auto"/>
        </w:rPr>
        <w:t>. On the Effective Date, the Existing Credit Agreement shall be amended and restated in its entirety. The parties hereto acknowledge and agree that (a) this Agreement and the other Loan Documents,</w:t>
      </w:r>
    </w:p>
    <w:p>
      <w:pPr>
        <w:spacing w:after="0" w:line="1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0" w:name="page241"/>
    <w:bookmarkEnd w:id="240"/>
    <w:p>
      <w:pPr>
        <w:spacing w:after="0" w:line="26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9"/>
          <w:szCs w:val="19"/>
          <w:color w:val="auto"/>
        </w:rPr>
        <w:t>whether executed and delivered in connection herewith or otherwise, do not constitute a novation or termination of the obligations for principal, interest or fees of the Borrower under the Existing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157"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auto"/>
        </w:rPr>
        <w:t xml:space="preserve">SECTION 9.16. </w:t>
      </w:r>
      <w:r>
        <w:rPr>
          <w:rFonts w:ascii="Times New Roman" w:cs="Times New Roman" w:eastAsia="Times New Roman" w:hAnsi="Times New Roman"/>
          <w:sz w:val="19"/>
          <w:szCs w:val="19"/>
          <w:u w:val="single" w:color="auto"/>
          <w:color w:val="auto"/>
        </w:rPr>
        <w:t>Acknowledgement and Consent to Bail-In of Affected Financial Institutions</w:t>
      </w:r>
      <w:r>
        <w:rPr>
          <w:rFonts w:ascii="Times New Roman" w:cs="Times New Roman" w:eastAsia="Times New Roman" w:hAnsi="Times New Roman"/>
          <w:sz w:val="19"/>
          <w:szCs w:val="19"/>
          <w:color w:val="auto"/>
        </w:rPr>
        <w:t xml:space="preserve"> . Solely to the extent any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7" w:lineRule="exact"/>
        <w:rPr>
          <w:sz w:val="20"/>
          <w:szCs w:val="20"/>
          <w:color w:val="auto"/>
        </w:rPr>
      </w:pPr>
    </w:p>
    <w:p>
      <w:pPr>
        <w:ind w:right="380" w:firstLine="1410"/>
        <w:spacing w:after="0" w:line="286" w:lineRule="auto"/>
        <w:tabs>
          <w:tab w:leader="none" w:pos="1665"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27"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effects of any Bail-In Action on any such liability, including, if applicable:</w:t>
      </w:r>
    </w:p>
    <w:p>
      <w:pPr>
        <w:spacing w:after="0" w:line="201" w:lineRule="exact"/>
        <w:rPr>
          <w:rFonts w:ascii="Times New Roman" w:cs="Times New Roman" w:eastAsia="Times New Roman" w:hAnsi="Times New Roman"/>
          <w:sz w:val="19"/>
          <w:szCs w:val="19"/>
          <w:color w:val="auto"/>
        </w:rPr>
      </w:pPr>
    </w:p>
    <w:p>
      <w:pPr>
        <w:ind w:left="2440" w:hanging="225"/>
        <w:spacing w:after="0"/>
        <w:tabs>
          <w:tab w:leader="none" w:pos="2440" w:val="left"/>
        </w:tabs>
        <w:numPr>
          <w:ilvl w:val="1"/>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reduction in full or in part or cancellation of any such liability;</w:t>
      </w:r>
    </w:p>
    <w:p>
      <w:pPr>
        <w:spacing w:after="0" w:line="201" w:lineRule="exact"/>
        <w:rPr>
          <w:rFonts w:ascii="Times New Roman" w:cs="Times New Roman" w:eastAsia="Times New Roman" w:hAnsi="Times New Roman"/>
          <w:sz w:val="19"/>
          <w:szCs w:val="19"/>
          <w:color w:val="auto"/>
        </w:rPr>
      </w:pPr>
    </w:p>
    <w:p>
      <w:pPr>
        <w:ind w:left="1420" w:right="100" w:firstLine="795"/>
        <w:spacing w:after="0" w:line="262" w:lineRule="auto"/>
        <w:tabs>
          <w:tab w:leader="none" w:pos="2507" w:val="left"/>
        </w:tabs>
        <w:numPr>
          <w:ilvl w:val="1"/>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0" w:lineRule="exact"/>
        <w:rPr>
          <w:rFonts w:ascii="Times New Roman" w:cs="Times New Roman" w:eastAsia="Times New Roman" w:hAnsi="Times New Roman"/>
          <w:sz w:val="19"/>
          <w:szCs w:val="19"/>
          <w:color w:val="auto"/>
        </w:rPr>
      </w:pPr>
    </w:p>
    <w:p>
      <w:pPr>
        <w:ind w:left="1420" w:right="560" w:firstLine="795"/>
        <w:spacing w:after="0" w:line="286" w:lineRule="auto"/>
        <w:tabs>
          <w:tab w:leader="none" w:pos="2560" w:val="left"/>
        </w:tabs>
        <w:numPr>
          <w:ilvl w:val="1"/>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variation of the terms of such liability in connection with the exercise of the Write-Down and Conversion Powers of the applicable Resolution Authority.</w:t>
      </w:r>
    </w:p>
    <w:p>
      <w:pPr>
        <w:spacing w:after="0" w:line="127" w:lineRule="exact"/>
        <w:rPr>
          <w:sz w:val="20"/>
          <w:szCs w:val="20"/>
          <w:color w:val="auto"/>
        </w:rPr>
      </w:pPr>
    </w:p>
    <w:p>
      <w:pPr>
        <w:ind w:right="20" w:firstLine="1404"/>
        <w:spacing w:after="0" w:line="256" w:lineRule="auto"/>
        <w:rPr>
          <w:sz w:val="20"/>
          <w:szCs w:val="20"/>
          <w:color w:val="auto"/>
        </w:rPr>
      </w:pPr>
      <w:r>
        <w:rPr>
          <w:rFonts w:ascii="Times New Roman" w:cs="Times New Roman" w:eastAsia="Times New Roman" w:hAnsi="Times New Roman"/>
          <w:sz w:val="19"/>
          <w:szCs w:val="19"/>
          <w:color w:val="auto"/>
        </w:rPr>
        <w:t xml:space="preserve">SECTION 9.17. </w:t>
      </w:r>
      <w:r>
        <w:rPr>
          <w:rFonts w:ascii="Times New Roman" w:cs="Times New Roman" w:eastAsia="Times New Roman" w:hAnsi="Times New Roman"/>
          <w:sz w:val="19"/>
          <w:szCs w:val="19"/>
          <w:u w:val="single" w:color="auto"/>
          <w:color w:val="auto"/>
        </w:rPr>
        <w:t>Acknowledgement Regarding Any Supported QFCs</w:t>
      </w:r>
      <w:r>
        <w:rPr>
          <w:rFonts w:ascii="Times New Roman" w:cs="Times New Roman" w:eastAsia="Times New Roman" w:hAnsi="Times New Roman"/>
          <w:sz w:val="19"/>
          <w:szCs w:val="19"/>
          <w:color w:val="auto"/>
        </w:rPr>
        <w:t>. 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19"/>
          <w:szCs w:val="19"/>
          <w:u w:val="single" w:color="auto"/>
          <w:color w:val="auto"/>
        </w:rPr>
        <w:t>QFC 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xml:space="preserve"> ”),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u w:val="single" w:color="auto"/>
          <w:color w:val="auto"/>
        </w:rPr>
        <w:t>U.S. Special Resolution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 QFC may in fact be stated</w:t>
      </w:r>
    </w:p>
    <w:p>
      <w:pPr>
        <w:spacing w:after="0" w:line="1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1" w:name="page242"/>
    <w:bookmarkEnd w:id="241"/>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be governed by the laws of the State of New York and/or of the United States or any other state of the United States):</w:t>
      </w:r>
    </w:p>
    <w:p>
      <w:pPr>
        <w:spacing w:after="0" w:line="202" w:lineRule="exact"/>
        <w:rPr>
          <w:sz w:val="20"/>
          <w:szCs w:val="20"/>
          <w:color w:val="auto"/>
        </w:rPr>
      </w:pPr>
    </w:p>
    <w:p>
      <w:pPr>
        <w:ind w:right="20" w:firstLine="1410"/>
        <w:spacing w:after="0" w:line="253" w:lineRule="auto"/>
        <w:tabs>
          <w:tab w:leader="none" w:pos="1665" w:val="left"/>
        </w:tabs>
        <w:numPr>
          <w:ilvl w:val="1"/>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 Covered Entity that is party to a Supported QFC (each, a “</w:t>
      </w:r>
      <w:r>
        <w:rPr>
          <w:rFonts w:ascii="Times New Roman" w:cs="Times New Roman" w:eastAsia="Times New Roman" w:hAnsi="Times New Roman"/>
          <w:sz w:val="19"/>
          <w:szCs w:val="19"/>
          <w:u w:val="single" w:color="auto"/>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5"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1"/>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used in this </w:t>
      </w:r>
      <w:r>
        <w:rPr>
          <w:rFonts w:ascii="Times New Roman" w:cs="Times New Roman" w:eastAsia="Times New Roman" w:hAnsi="Times New Roman"/>
          <w:sz w:val="19"/>
          <w:szCs w:val="19"/>
          <w:u w:val="single" w:color="auto"/>
          <w:color w:val="auto"/>
        </w:rPr>
        <w:t>Section 9.17</w:t>
      </w:r>
      <w:r>
        <w:rPr>
          <w:rFonts w:ascii="Times New Roman" w:cs="Times New Roman" w:eastAsia="Times New Roman" w:hAnsi="Times New Roman"/>
          <w:sz w:val="19"/>
          <w:szCs w:val="19"/>
          <w:color w:val="auto"/>
        </w:rPr>
        <w:t>, the following terms have the following meanings:</w:t>
      </w:r>
    </w:p>
    <w:p>
      <w:pPr>
        <w:spacing w:after="0" w:line="201" w:lineRule="exact"/>
        <w:rPr>
          <w:rFonts w:ascii="Times New Roman" w:cs="Times New Roman" w:eastAsia="Times New Roman" w:hAnsi="Times New Roman"/>
          <w:sz w:val="19"/>
          <w:szCs w:val="19"/>
          <w:color w:val="auto"/>
        </w:rPr>
      </w:pPr>
    </w:p>
    <w:p>
      <w:pPr>
        <w:ind w:left="700" w:right="220" w:firstLine="746"/>
        <w:spacing w:after="0" w:line="286" w:lineRule="auto"/>
        <w:tabs>
          <w:tab w:leader="none" w:pos="1673" w:val="left"/>
        </w:tabs>
        <w:numPr>
          <w:ilvl w:val="2"/>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BHC Act Affiliate</w:t>
      </w:r>
      <w:r>
        <w:rPr>
          <w:rFonts w:ascii="Times New Roman" w:cs="Times New Roman" w:eastAsia="Times New Roman" w:hAnsi="Times New Roman"/>
          <w:sz w:val="19"/>
          <w:szCs w:val="19"/>
          <w:color w:val="auto"/>
        </w:rPr>
        <w:t>” of a party means an “affiliate” (as such term is defined under, and interpreted in accordance with, 12 U.S.C. 1841(k)) of such party.</w:t>
      </w:r>
    </w:p>
    <w:p>
      <w:pPr>
        <w:spacing w:after="0" w:line="127" w:lineRule="exact"/>
        <w:rPr>
          <w:rFonts w:ascii="Times New Roman" w:cs="Times New Roman" w:eastAsia="Times New Roman" w:hAnsi="Times New Roman"/>
          <w:sz w:val="19"/>
          <w:szCs w:val="19"/>
          <w:color w:val="auto"/>
        </w:rPr>
      </w:pPr>
    </w:p>
    <w:p>
      <w:pPr>
        <w:ind w:left="1720" w:hanging="274"/>
        <w:spacing w:after="0"/>
        <w:tabs>
          <w:tab w:leader="none" w:pos="1720" w:val="left"/>
        </w:tabs>
        <w:numPr>
          <w:ilvl w:val="2"/>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Entity</w:t>
      </w:r>
      <w:r>
        <w:rPr>
          <w:rFonts w:ascii="Times New Roman" w:cs="Times New Roman" w:eastAsia="Times New Roman" w:hAnsi="Times New Roman"/>
          <w:sz w:val="19"/>
          <w:szCs w:val="19"/>
          <w:color w:val="auto"/>
        </w:rPr>
        <w:t>” means any of the following:</w:t>
      </w:r>
    </w:p>
    <w:p>
      <w:pPr>
        <w:spacing w:after="0" w:line="201" w:lineRule="exact"/>
        <w:rPr>
          <w:rFonts w:ascii="Times New Roman" w:cs="Times New Roman" w:eastAsia="Times New Roman" w:hAnsi="Times New Roman"/>
          <w:sz w:val="19"/>
          <w:szCs w:val="19"/>
          <w:color w:val="auto"/>
        </w:rPr>
      </w:pPr>
    </w:p>
    <w:p>
      <w:pPr>
        <w:ind w:left="2520" w:hanging="305"/>
        <w:spacing w:after="0"/>
        <w:tabs>
          <w:tab w:leader="none" w:pos="2520" w:val="left"/>
        </w:tabs>
        <w:numPr>
          <w:ilvl w:val="3"/>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entity” as that term is defined in, and interpreted in accordance with, 12 C.F.R. § 252.82(b);</w:t>
      </w:r>
    </w:p>
    <w:p>
      <w:pPr>
        <w:spacing w:after="0" w:line="201" w:lineRule="exact"/>
        <w:rPr>
          <w:rFonts w:ascii="Times New Roman" w:cs="Times New Roman" w:eastAsia="Times New Roman" w:hAnsi="Times New Roman"/>
          <w:sz w:val="19"/>
          <w:szCs w:val="19"/>
          <w:color w:val="auto"/>
        </w:rPr>
      </w:pPr>
    </w:p>
    <w:p>
      <w:pPr>
        <w:ind w:left="2520" w:hanging="305"/>
        <w:spacing w:after="0"/>
        <w:tabs>
          <w:tab w:leader="none" w:pos="2520" w:val="left"/>
        </w:tabs>
        <w:numPr>
          <w:ilvl w:val="3"/>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bank” as that term is defined in, and interpreted in accordance with, 12 C.F.R. § 47.3(b); or</w:t>
      </w:r>
    </w:p>
    <w:p>
      <w:pPr>
        <w:spacing w:after="0" w:line="201" w:lineRule="exact"/>
        <w:rPr>
          <w:rFonts w:ascii="Times New Roman" w:cs="Times New Roman" w:eastAsia="Times New Roman" w:hAnsi="Times New Roman"/>
          <w:sz w:val="19"/>
          <w:szCs w:val="19"/>
          <w:color w:val="auto"/>
        </w:rPr>
      </w:pPr>
    </w:p>
    <w:p>
      <w:pPr>
        <w:ind w:left="2520" w:hanging="305"/>
        <w:spacing w:after="0"/>
        <w:tabs>
          <w:tab w:leader="none" w:pos="2520" w:val="left"/>
        </w:tabs>
        <w:numPr>
          <w:ilvl w:val="3"/>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FSI” as that term is defined in, and interpreted in accordance with, 12 C.F.R. § 382.2(b).</w:t>
      </w:r>
    </w:p>
    <w:p>
      <w:pPr>
        <w:spacing w:after="0" w:line="201" w:lineRule="exact"/>
        <w:rPr>
          <w:rFonts w:ascii="Times New Roman" w:cs="Times New Roman" w:eastAsia="Times New Roman" w:hAnsi="Times New Roman"/>
          <w:sz w:val="19"/>
          <w:szCs w:val="19"/>
          <w:color w:val="auto"/>
        </w:rPr>
      </w:pPr>
    </w:p>
    <w:p>
      <w:pPr>
        <w:ind w:left="1780" w:hanging="334"/>
        <w:spacing w:after="0"/>
        <w:tabs>
          <w:tab w:leader="none" w:pos="1780" w:val="left"/>
        </w:tabs>
        <w:numPr>
          <w:ilvl w:val="2"/>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 Right</w:t>
      </w:r>
      <w:r>
        <w:rPr>
          <w:rFonts w:ascii="Times New Roman" w:cs="Times New Roman" w:eastAsia="Times New Roman" w:hAnsi="Times New Roman"/>
          <w:sz w:val="19"/>
          <w:szCs w:val="19"/>
          <w:color w:val="auto"/>
        </w:rPr>
        <w:t>” has the meaning assigned to that term in, and shall be interpreted in accordance with, 12 C.F.R.</w:t>
      </w:r>
    </w:p>
    <w:p>
      <w:pPr>
        <w:spacing w:after="0" w:line="31" w:lineRule="exact"/>
        <w:rPr>
          <w:rFonts w:ascii="Times New Roman" w:cs="Times New Roman" w:eastAsia="Times New Roman" w:hAnsi="Times New Roman"/>
          <w:sz w:val="19"/>
          <w:szCs w:val="19"/>
          <w:color w:val="auto"/>
        </w:rPr>
      </w:pPr>
    </w:p>
    <w:p>
      <w:pPr>
        <w:ind w:left="940" w:hanging="238"/>
        <w:spacing w:after="0"/>
        <w:tabs>
          <w:tab w:leader="none" w:pos="940"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252.81, 47.2 or 382.1, as applicable.</w:t>
      </w:r>
    </w:p>
    <w:p>
      <w:pPr>
        <w:spacing w:after="0" w:line="179" w:lineRule="exact"/>
        <w:rPr>
          <w:rFonts w:ascii="Times New Roman" w:cs="Times New Roman" w:eastAsia="Times New Roman" w:hAnsi="Times New Roman"/>
          <w:sz w:val="19"/>
          <w:szCs w:val="19"/>
          <w:color w:val="auto"/>
        </w:rPr>
      </w:pPr>
    </w:p>
    <w:p>
      <w:pPr>
        <w:ind w:left="700" w:right="800" w:firstLine="746"/>
        <w:spacing w:after="0" w:line="286" w:lineRule="auto"/>
        <w:tabs>
          <w:tab w:leader="none" w:pos="1769" w:val="left"/>
        </w:tabs>
        <w:numPr>
          <w:ilvl w:val="2"/>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2" w:name="page243"/>
    <w:bookmarkEnd w:id="242"/>
    <w:p>
      <w:pPr>
        <w:spacing w:after="0" w:line="269" w:lineRule="exact"/>
        <w:rPr>
          <w:sz w:val="20"/>
          <w:szCs w:val="20"/>
          <w:color w:val="auto"/>
        </w:rPr>
      </w:pPr>
    </w:p>
    <w:p>
      <w:pPr>
        <w:ind w:right="300" w:firstLine="696"/>
        <w:spacing w:after="0" w:line="286" w:lineRule="auto"/>
        <w:rPr>
          <w:sz w:val="20"/>
          <w:szCs w:val="20"/>
          <w:color w:val="auto"/>
        </w:rPr>
      </w:pPr>
      <w:r>
        <w:rPr>
          <w:rFonts w:ascii="Times New Roman" w:cs="Times New Roman" w:eastAsia="Times New Roman" w:hAnsi="Times New Roman"/>
          <w:sz w:val="19"/>
          <w:szCs w:val="19"/>
          <w:color w:val="auto"/>
        </w:rPr>
        <w:t>IN WITNESS WHEREOF, the parties hereto have caused this Agreement to be duly executed by their respective authorized officers as of the day and year first above written.</w:t>
      </w:r>
    </w:p>
    <w:p>
      <w:pPr>
        <w:spacing w:after="0" w:line="1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PENNANTPARK INVESTMENT CORPORATION</w:t>
      </w:r>
    </w:p>
    <w:p>
      <w:pPr>
        <w:spacing w:after="0" w:line="20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Title:</w:t>
      </w:r>
    </w:p>
    <w:p>
      <w:pPr>
        <w:spacing w:after="0" w:line="35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3" w:name="page244"/>
    <w:bookmarkEnd w:id="243"/>
    <w:p>
      <w:pPr>
        <w:spacing w:after="0" w:line="269" w:lineRule="exact"/>
        <w:rPr>
          <w:sz w:val="20"/>
          <w:szCs w:val="20"/>
          <w:color w:val="auto"/>
        </w:rPr>
      </w:pPr>
    </w:p>
    <w:p>
      <w:pPr>
        <w:ind w:left="3460" w:right="60"/>
        <w:spacing w:after="0" w:line="286" w:lineRule="auto"/>
        <w:rPr>
          <w:sz w:val="20"/>
          <w:szCs w:val="20"/>
          <w:color w:val="auto"/>
        </w:rPr>
      </w:pPr>
      <w:r>
        <w:rPr>
          <w:rFonts w:ascii="Times New Roman" w:cs="Times New Roman" w:eastAsia="Times New Roman" w:hAnsi="Times New Roman"/>
          <w:sz w:val="19"/>
          <w:szCs w:val="19"/>
          <w:color w:val="auto"/>
        </w:rPr>
        <w:t>TRUIST BANK, as Administrative Agent, Swingline Lender, Issuing Bank and a Lender</w:t>
      </w:r>
    </w:p>
    <w:p>
      <w:pPr>
        <w:spacing w:after="0" w:line="1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35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545465</wp:posOffset>
            </wp:positionV>
            <wp:extent cx="6732905" cy="406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244" w:name="page245"/>
    <w:bookmarkEnd w:id="244"/>
    <w:p>
      <w:pPr>
        <w:spacing w:after="0" w:line="26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JPMORGAN CHASE BANK, N.A., as a Lender</w:t>
      </w:r>
    </w:p>
    <w:p>
      <w:pPr>
        <w:spacing w:after="0" w:line="20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Second Amended and Restated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545465</wp:posOffset>
            </wp:positionV>
            <wp:extent cx="6732905" cy="406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6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2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CHIEF EXECUTIVE OFFICER CERTIFICATION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Arthur H. Penn, Chief Executive Officer of PennantPark Investment Corporation, certify that:</w:t>
      </w:r>
    </w:p>
    <w:p>
      <w:pPr>
        <w:spacing w:after="0" w:line="163" w:lineRule="exact"/>
        <w:rPr>
          <w:sz w:val="20"/>
          <w:szCs w:val="20"/>
          <w:color w:val="auto"/>
        </w:rPr>
      </w:pPr>
    </w:p>
    <w:p>
      <w:pPr>
        <w:ind w:left="580" w:hanging="142"/>
        <w:spacing w:after="0"/>
        <w:tabs>
          <w:tab w:leader="none" w:pos="580"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PennantPark Investment Corporation;</w:t>
      </w:r>
    </w:p>
    <w:p>
      <w:pPr>
        <w:spacing w:after="0" w:line="162" w:lineRule="exact"/>
        <w:rPr>
          <w:rFonts w:ascii="Times New Roman" w:cs="Times New Roman" w:eastAsia="Times New Roman" w:hAnsi="Times New Roman"/>
          <w:sz w:val="13"/>
          <w:szCs w:val="13"/>
          <w:color w:val="auto"/>
        </w:rPr>
      </w:pPr>
    </w:p>
    <w:p>
      <w:pPr>
        <w:ind w:right="580" w:firstLine="450"/>
        <w:spacing w:after="0" w:line="286" w:lineRule="auto"/>
        <w:tabs>
          <w:tab w:leader="none" w:pos="576" w:val="left"/>
        </w:tabs>
        <w:numPr>
          <w:ilvl w:val="1"/>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3"/>
          <w:szCs w:val="13"/>
          <w:color w:val="auto"/>
        </w:rPr>
      </w:pPr>
    </w:p>
    <w:p>
      <w:pPr>
        <w:ind w:right="660" w:firstLine="450"/>
        <w:spacing w:after="0" w:line="286" w:lineRule="auto"/>
        <w:tabs>
          <w:tab w:leader="none" w:pos="576" w:val="left"/>
        </w:tabs>
        <w:numPr>
          <w:ilvl w:val="1"/>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sz w:val="20"/>
          <w:szCs w:val="20"/>
          <w:color w:val="auto"/>
        </w:rPr>
      </w:pPr>
    </w:p>
    <w:p>
      <w:pPr>
        <w:ind w:right="300" w:firstLine="438"/>
        <w:spacing w:after="0" w:line="286" w:lineRule="auto"/>
        <w:tabs>
          <w:tab w:leader="none" w:pos="564"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3"/>
          <w:szCs w:val="13"/>
          <w:color w:val="auto"/>
        </w:rPr>
      </w:pPr>
    </w:p>
    <w:p>
      <w:pPr>
        <w:ind w:right="480" w:firstLine="738"/>
        <w:spacing w:after="0" w:line="286" w:lineRule="auto"/>
        <w:tabs>
          <w:tab w:leader="none" w:pos="868" w:val="left"/>
        </w:tabs>
        <w:numPr>
          <w:ilvl w:val="3"/>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3"/>
          <w:szCs w:val="13"/>
          <w:color w:val="auto"/>
        </w:rPr>
      </w:pPr>
    </w:p>
    <w:p>
      <w:pPr>
        <w:ind w:right="640" w:firstLine="738"/>
        <w:spacing w:after="0" w:line="286" w:lineRule="auto"/>
        <w:tabs>
          <w:tab w:leader="none" w:pos="875" w:val="left"/>
        </w:tabs>
        <w:numPr>
          <w:ilvl w:val="3"/>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3"/>
          <w:szCs w:val="13"/>
          <w:color w:val="auto"/>
        </w:rPr>
      </w:pPr>
    </w:p>
    <w:p>
      <w:pPr>
        <w:ind w:right="240" w:firstLine="714"/>
        <w:spacing w:after="0" w:line="286" w:lineRule="auto"/>
        <w:tabs>
          <w:tab w:leader="none" w:pos="844" w:val="left"/>
        </w:tabs>
        <w:numPr>
          <w:ilvl w:val="2"/>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3"/>
          <w:szCs w:val="13"/>
          <w:color w:val="auto"/>
        </w:rPr>
      </w:pPr>
    </w:p>
    <w:p>
      <w:pPr>
        <w:ind w:right="560" w:firstLine="726"/>
        <w:spacing w:after="0" w:line="286" w:lineRule="auto"/>
        <w:tabs>
          <w:tab w:leader="none" w:pos="863" w:val="left"/>
        </w:tabs>
        <w:numPr>
          <w:ilvl w:val="3"/>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3"/>
          <w:szCs w:val="13"/>
          <w:color w:val="auto"/>
        </w:rPr>
      </w:pPr>
    </w:p>
    <w:p>
      <w:pPr>
        <w:ind w:right="420" w:firstLine="450"/>
        <w:spacing w:after="0" w:line="286" w:lineRule="auto"/>
        <w:tabs>
          <w:tab w:leader="none" w:pos="576" w:val="left"/>
        </w:tabs>
        <w:numPr>
          <w:ilvl w:val="1"/>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3"/>
          <w:szCs w:val="13"/>
          <w:color w:val="auto"/>
        </w:rPr>
      </w:pPr>
    </w:p>
    <w:p>
      <w:pPr>
        <w:ind w:right="620" w:firstLine="714"/>
        <w:spacing w:after="0" w:line="286" w:lineRule="auto"/>
        <w:tabs>
          <w:tab w:leader="none" w:pos="844" w:val="left"/>
        </w:tabs>
        <w:numPr>
          <w:ilvl w:val="2"/>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3"/>
          <w:szCs w:val="13"/>
          <w:color w:val="auto"/>
        </w:rPr>
      </w:pPr>
    </w:p>
    <w:p>
      <w:pPr>
        <w:ind w:left="860" w:hanging="134"/>
        <w:spacing w:after="0"/>
        <w:tabs>
          <w:tab w:leader="none" w:pos="860" w:val="left"/>
        </w:tabs>
        <w:numPr>
          <w:ilvl w:val="3"/>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August 7, 2024</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Arthur H. Penn</w:t>
      </w:r>
    </w:p>
    <w:p>
      <w:pPr>
        <w:spacing w:after="0" w:line="31"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3"/>
          <w:szCs w:val="13"/>
          <w:color w:val="auto"/>
        </w:rPr>
        <w:t>Name:</w:t>
        <w:tab/>
        <w:t>Arthur H. Penn</w:t>
      </w:r>
    </w:p>
    <w:p>
      <w:pPr>
        <w:spacing w:after="0" w:line="31"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3"/>
          <w:szCs w:val="13"/>
          <w:color w:val="auto"/>
        </w:rPr>
        <w:t>Title:</w:t>
      </w:r>
      <w:r>
        <w:rPr>
          <w:sz w:val="20"/>
          <w:szCs w:val="20"/>
          <w:color w:val="auto"/>
        </w:rPr>
        <w:tab/>
      </w:r>
      <w:r>
        <w:rPr>
          <w:rFonts w:ascii="Times New Roman" w:cs="Times New Roman" w:eastAsia="Times New Roman" w:hAnsi="Times New Roman"/>
          <w:sz w:val="13"/>
          <w:szCs w:val="13"/>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760730</wp:posOffset>
            </wp:positionV>
            <wp:extent cx="6732905" cy="406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6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2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CHIEF FINANCIAL OFFICER CERTIFICATION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Richard T. Allorto, Jr., Chief Financial Officer of PennantPark Investment Corporation, certify that:</w:t>
      </w:r>
    </w:p>
    <w:p>
      <w:pPr>
        <w:spacing w:after="0" w:line="163" w:lineRule="exact"/>
        <w:rPr>
          <w:sz w:val="20"/>
          <w:szCs w:val="20"/>
          <w:color w:val="auto"/>
        </w:rPr>
      </w:pPr>
    </w:p>
    <w:p>
      <w:pPr>
        <w:ind w:left="580" w:hanging="142"/>
        <w:spacing w:after="0"/>
        <w:tabs>
          <w:tab w:leader="none" w:pos="580"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PennantPark Investment Corporation;</w:t>
      </w:r>
    </w:p>
    <w:p>
      <w:pPr>
        <w:spacing w:after="0" w:line="162" w:lineRule="exact"/>
        <w:rPr>
          <w:rFonts w:ascii="Times New Roman" w:cs="Times New Roman" w:eastAsia="Times New Roman" w:hAnsi="Times New Roman"/>
          <w:sz w:val="13"/>
          <w:szCs w:val="13"/>
          <w:color w:val="auto"/>
        </w:rPr>
      </w:pPr>
    </w:p>
    <w:p>
      <w:pPr>
        <w:ind w:right="580" w:firstLine="450"/>
        <w:spacing w:after="0" w:line="286" w:lineRule="auto"/>
        <w:tabs>
          <w:tab w:leader="none" w:pos="576" w:val="left"/>
        </w:tabs>
        <w:numPr>
          <w:ilvl w:val="1"/>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3"/>
          <w:szCs w:val="13"/>
          <w:color w:val="auto"/>
        </w:rPr>
      </w:pPr>
    </w:p>
    <w:p>
      <w:pPr>
        <w:ind w:right="660" w:firstLine="450"/>
        <w:spacing w:after="0" w:line="286" w:lineRule="auto"/>
        <w:tabs>
          <w:tab w:leader="none" w:pos="576" w:val="left"/>
        </w:tabs>
        <w:numPr>
          <w:ilvl w:val="1"/>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3"/>
          <w:szCs w:val="13"/>
          <w:color w:val="auto"/>
        </w:rPr>
      </w:pPr>
    </w:p>
    <w:p>
      <w:pPr>
        <w:ind w:left="580" w:hanging="130"/>
        <w:spacing w:after="0"/>
        <w:tabs>
          <w:tab w:leader="none" w:pos="580" w:val="left"/>
        </w:tabs>
        <w:numPr>
          <w:ilvl w:val="1"/>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w:t>
      </w:r>
    </w:p>
    <w:p>
      <w:pPr>
        <w:spacing w:after="0" w:line="20"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3"/>
          <w:szCs w:val="13"/>
          <w:color w:val="auto"/>
        </w:rPr>
      </w:pPr>
    </w:p>
    <w:p>
      <w:pPr>
        <w:ind w:right="480" w:firstLine="738"/>
        <w:spacing w:after="0" w:line="286" w:lineRule="auto"/>
        <w:tabs>
          <w:tab w:leader="none" w:pos="868" w:val="left"/>
        </w:tabs>
        <w:numPr>
          <w:ilvl w:val="3"/>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3"/>
          <w:szCs w:val="13"/>
          <w:color w:val="auto"/>
        </w:rPr>
      </w:pPr>
    </w:p>
    <w:p>
      <w:pPr>
        <w:ind w:right="640" w:firstLine="738"/>
        <w:spacing w:after="0" w:line="286" w:lineRule="auto"/>
        <w:tabs>
          <w:tab w:leader="none" w:pos="875" w:val="left"/>
        </w:tabs>
        <w:numPr>
          <w:ilvl w:val="3"/>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3"/>
          <w:szCs w:val="13"/>
          <w:color w:val="auto"/>
        </w:rPr>
      </w:pPr>
    </w:p>
    <w:p>
      <w:pPr>
        <w:ind w:right="240" w:firstLine="714"/>
        <w:spacing w:after="0" w:line="286" w:lineRule="auto"/>
        <w:tabs>
          <w:tab w:leader="none" w:pos="844" w:val="left"/>
        </w:tabs>
        <w:numPr>
          <w:ilvl w:val="2"/>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3"/>
          <w:szCs w:val="13"/>
          <w:color w:val="auto"/>
        </w:rPr>
      </w:pPr>
    </w:p>
    <w:p>
      <w:pPr>
        <w:ind w:right="560" w:firstLine="726"/>
        <w:spacing w:after="0" w:line="286" w:lineRule="auto"/>
        <w:tabs>
          <w:tab w:leader="none" w:pos="863" w:val="left"/>
        </w:tabs>
        <w:numPr>
          <w:ilvl w:val="3"/>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3"/>
          <w:szCs w:val="13"/>
          <w:color w:val="auto"/>
        </w:rPr>
      </w:pPr>
    </w:p>
    <w:p>
      <w:pPr>
        <w:ind w:right="420" w:firstLine="450"/>
        <w:spacing w:after="0" w:line="286" w:lineRule="auto"/>
        <w:tabs>
          <w:tab w:leader="none" w:pos="576" w:val="left"/>
        </w:tabs>
        <w:numPr>
          <w:ilvl w:val="1"/>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3"/>
          <w:szCs w:val="13"/>
          <w:color w:val="auto"/>
        </w:rPr>
      </w:pPr>
    </w:p>
    <w:p>
      <w:pPr>
        <w:ind w:right="620" w:firstLine="714"/>
        <w:spacing w:after="0" w:line="286" w:lineRule="auto"/>
        <w:tabs>
          <w:tab w:leader="none" w:pos="844" w:val="left"/>
        </w:tabs>
        <w:numPr>
          <w:ilvl w:val="2"/>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3"/>
          <w:szCs w:val="13"/>
          <w:color w:val="auto"/>
        </w:rPr>
      </w:pPr>
    </w:p>
    <w:p>
      <w:pPr>
        <w:ind w:left="860" w:hanging="134"/>
        <w:spacing w:after="0"/>
        <w:tabs>
          <w:tab w:leader="none" w:pos="860" w:val="left"/>
        </w:tabs>
        <w:numPr>
          <w:ilvl w:val="3"/>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August 7, 2024</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31"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3"/>
          <w:szCs w:val="13"/>
          <w:color w:val="auto"/>
        </w:rPr>
        <w:t>Name:</w:t>
        <w:tab/>
        <w:t>Richard T. Allorto, Jr.</w:t>
      </w:r>
    </w:p>
    <w:p>
      <w:pPr>
        <w:spacing w:after="0" w:line="31"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3"/>
          <w:szCs w:val="13"/>
          <w:color w:val="auto"/>
        </w:rPr>
        <w:t>Title:</w:t>
      </w:r>
      <w:r>
        <w:rPr>
          <w:sz w:val="20"/>
          <w:szCs w:val="20"/>
          <w:color w:val="auto"/>
        </w:rPr>
        <w:tab/>
      </w:r>
      <w:r>
        <w:rPr>
          <w:rFonts w:ascii="Times New Roman" w:cs="Times New Roman" w:eastAsia="Times New Roman" w:hAnsi="Times New Roman"/>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646430</wp:posOffset>
            </wp:positionV>
            <wp:extent cx="6732905" cy="406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47" w:name="page248"/>
    <w:bookmarkEnd w:id="247"/>
    <w:p>
      <w:pPr>
        <w:ind w:left="9740"/>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EXECUTIVE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1350)</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 connection with this Report on Form 10-Q for the three and nine months ended June 30, 2024 (the “Report”) of PennantPark Investment Corporation (the “Registrant”), as filed with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 and Exchange Commission on the date hereof, I, Arthur H. Penn, Chief Executive Officer of the Registrant, hereby certify, to the best of my knowledge, that:</w:t>
      </w:r>
    </w:p>
    <w:p>
      <w:pPr>
        <w:spacing w:after="0" w:line="113" w:lineRule="exact"/>
        <w:rPr>
          <w:sz w:val="20"/>
          <w:szCs w:val="20"/>
          <w:color w:val="auto"/>
        </w:rPr>
      </w:pPr>
    </w:p>
    <w:p>
      <w:pPr>
        <w:ind w:left="720" w:hanging="258"/>
        <w:spacing w:after="0"/>
        <w:tabs>
          <w:tab w:leader="none" w:pos="720"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as amended; and</w:t>
      </w:r>
    </w:p>
    <w:p>
      <w:pPr>
        <w:spacing w:after="0" w:line="126" w:lineRule="exact"/>
        <w:rPr>
          <w:rFonts w:ascii="Times New Roman" w:cs="Times New Roman" w:eastAsia="Times New Roman" w:hAnsi="Times New Roman"/>
          <w:sz w:val="13"/>
          <w:szCs w:val="13"/>
          <w:color w:val="auto"/>
        </w:rPr>
      </w:pPr>
    </w:p>
    <w:p>
      <w:pPr>
        <w:ind w:left="720" w:hanging="258"/>
        <w:spacing w:after="0"/>
        <w:tabs>
          <w:tab w:leader="none" w:pos="720"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Arthur H. Penn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Arthur H. Penn</w:t>
            </w:r>
          </w:p>
        </w:tc>
      </w:tr>
      <w:tr>
        <w:trPr>
          <w:trHeight w:val="180"/>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180"/>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August 7, 2024</w:t>
            </w:r>
          </w:p>
        </w:tc>
      </w:tr>
      <w:tr>
        <w:trPr>
          <w:trHeight w:val="1028"/>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48" w:name="page249"/>
    <w:bookmarkEnd w:id="248"/>
    <w:p>
      <w:pPr>
        <w:ind w:left="9740"/>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FINANCIAL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1350)</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 connection with this Report on Form 10-Q for the three and nine months ended June 30, 2024 (the “Report”) of PennantPark Investment Corporation (the “Registrant”), as filed with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 and Exchange Commission on the date hereof, I, Richard T. Allorto, Jr., Chief Financial Officer of the Registrant, hereby certify, to the best of my knowledge, that:</w:t>
      </w:r>
    </w:p>
    <w:p>
      <w:pPr>
        <w:spacing w:after="0" w:line="113" w:lineRule="exact"/>
        <w:rPr>
          <w:sz w:val="20"/>
          <w:szCs w:val="20"/>
          <w:color w:val="auto"/>
        </w:rPr>
      </w:pPr>
    </w:p>
    <w:p>
      <w:pPr>
        <w:ind w:left="720" w:hanging="258"/>
        <w:spacing w:after="0"/>
        <w:tabs>
          <w:tab w:leader="none" w:pos="720"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as amended; and</w:t>
      </w:r>
    </w:p>
    <w:p>
      <w:pPr>
        <w:spacing w:after="0" w:line="126" w:lineRule="exact"/>
        <w:rPr>
          <w:rFonts w:ascii="Times New Roman" w:cs="Times New Roman" w:eastAsia="Times New Roman" w:hAnsi="Times New Roman"/>
          <w:sz w:val="13"/>
          <w:szCs w:val="13"/>
          <w:color w:val="auto"/>
        </w:rPr>
      </w:pPr>
    </w:p>
    <w:p>
      <w:pPr>
        <w:ind w:left="720" w:hanging="258"/>
        <w:spacing w:after="0"/>
        <w:tabs>
          <w:tab w:leader="none" w:pos="720"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Richard T. Allorto, Jr.</w:t>
            </w:r>
          </w:p>
        </w:tc>
      </w:tr>
      <w:tr>
        <w:trPr>
          <w:trHeight w:val="180"/>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80"/>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August 7, 2024</w:t>
            </w:r>
          </w:p>
        </w:tc>
      </w:tr>
      <w:tr>
        <w:trPr>
          <w:trHeight w:val="1028"/>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49" w:name="page250"/>
    <w:bookmarkEnd w:id="249"/>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A0C5FA"/>
    <w:multiLevelType w:val="hybridMultilevel"/>
    <w:lvl w:ilvl="0">
      <w:lvlJc w:val="left"/>
      <w:lvlText w:val="☒"/>
      <w:numFmt w:val="bullet"/>
      <w:start w:val="1"/>
    </w:lvl>
  </w:abstractNum>
  <w:abstractNum w:abstractNumId="1">
    <w:nsid w:val="53584BCB"/>
    <w:multiLevelType w:val="hybridMultilevel"/>
    <w:lvl w:ilvl="0">
      <w:lvlJc w:val="left"/>
      <w:lvlText w:val="☐"/>
      <w:numFmt w:val="bullet"/>
      <w:start w:val="1"/>
    </w:lvl>
  </w:abstractNum>
  <w:abstractNum w:abstractNumId="2">
    <w:nsid w:val="415E286C"/>
    <w:multiLevelType w:val="hybridMultilevel"/>
    <w:lvl w:ilvl="0">
      <w:lvlJc w:val="left"/>
      <w:lvlText w:val="(%1)"/>
      <w:numFmt w:val="lowerLetter"/>
      <w:start w:val="8"/>
    </w:lvl>
  </w:abstractNum>
  <w:abstractNum w:abstractNumId="3">
    <w:nsid w:val="7C58FD05"/>
    <w:multiLevelType w:val="hybridMultilevel"/>
    <w:lvl w:ilvl="0">
      <w:lvlJc w:val="left"/>
      <w:lvlText w:val="%1."/>
      <w:numFmt w:val="decimal"/>
      <w:start w:val="3"/>
    </w:lvl>
    <w:lvl w:ilvl="1">
      <w:lvlJc w:val="left"/>
      <w:lvlText w:val="(%2)"/>
      <w:numFmt w:val="lowerLetter"/>
      <w:start w:val="1"/>
    </w:lvl>
  </w:abstractNum>
  <w:abstractNum w:abstractNumId="4">
    <w:nsid w:val="23D86AAC"/>
    <w:multiLevelType w:val="hybridMultilevel"/>
    <w:lvl w:ilvl="0">
      <w:lvlJc w:val="left"/>
      <w:lvlText w:val="$"/>
      <w:numFmt w:val="bullet"/>
      <w:start w:val="1"/>
    </w:lvl>
  </w:abstractNum>
  <w:abstractNum w:abstractNumId="5">
    <w:nsid w:val="45E6D486"/>
    <w:multiLevelType w:val="hybridMultilevel"/>
    <w:lvl w:ilvl="0">
      <w:lvlJc w:val="left"/>
      <w:lvlText w:val="$"/>
      <w:numFmt w:val="bullet"/>
      <w:start w:val="1"/>
    </w:lvl>
  </w:abstractNum>
  <w:abstractNum w:abstractNumId="6">
    <w:nsid w:val="5C10FE21"/>
    <w:multiLevelType w:val="hybridMultilevel"/>
    <w:lvl w:ilvl="0">
      <w:lvlJc w:val="left"/>
      <w:lvlText w:val="(%1)"/>
      <w:numFmt w:val="decimal"/>
      <w:start w:val="1"/>
    </w:lvl>
  </w:abstractNum>
  <w:abstractNum w:abstractNumId="7">
    <w:nsid w:val="E7FFA2B"/>
    <w:multiLevelType w:val="hybridMultilevel"/>
    <w:lvl w:ilvl="0">
      <w:lvlJc w:val="left"/>
      <w:lvlText w:val="*"/>
      <w:numFmt w:val="bullet"/>
      <w:start w:val="1"/>
    </w:lvl>
  </w:abstractNum>
  <w:abstractNum w:abstractNumId="8">
    <w:nsid w:val="3C5991AA"/>
    <w:multiLevelType w:val="hybridMultilevel"/>
    <w:lvl w:ilvl="0">
      <w:lvlJc w:val="left"/>
      <w:lvlText w:val="$"/>
      <w:numFmt w:val="bullet"/>
      <w:start w:val="1"/>
    </w:lvl>
  </w:abstractNum>
  <w:abstractNum w:abstractNumId="9">
    <w:nsid w:val="4BD8591A"/>
    <w:multiLevelType w:val="hybridMultilevel"/>
    <w:lvl w:ilvl="0">
      <w:lvlJc w:val="left"/>
      <w:lvlText w:val="(%1)"/>
      <w:numFmt w:val="decimal"/>
      <w:start w:val="1"/>
    </w:lvl>
  </w:abstractNum>
  <w:abstractNum w:abstractNumId="10">
    <w:nsid w:val="78DF6A55"/>
    <w:multiLevelType w:val="hybridMultilevel"/>
    <w:lvl w:ilvl="0">
      <w:lvlJc w:val="left"/>
      <w:lvlText w:val="(%1)"/>
      <w:numFmt w:val="decimal"/>
      <w:start w:val="1"/>
    </w:lvl>
  </w:abstractNum>
  <w:abstractNum w:abstractNumId="11">
    <w:nsid w:val="39B7AAA2"/>
    <w:multiLevelType w:val="hybridMultilevel"/>
    <w:lvl w:ilvl="0">
      <w:lvlJc w:val="left"/>
      <w:lvlText w:val="*"/>
      <w:numFmt w:val="bullet"/>
      <w:start w:val="1"/>
    </w:lvl>
    <w:lvl w:ilvl="1">
      <w:lvlJc w:val="left"/>
      <w:lvlText w:val="%2"/>
      <w:numFmt w:val="decimal"/>
      <w:start w:val="104"/>
    </w:lvl>
  </w:abstractNum>
  <w:abstractNum w:abstractNumId="12">
    <w:nsid w:val="2B0D8DBE"/>
    <w:multiLevelType w:val="hybridMultilevel"/>
    <w:lvl w:ilvl="0">
      <w:lvlJc w:val="left"/>
      <w:lvlText w:val="%1."/>
      <w:numFmt w:val="decimal"/>
      <w:start w:val="1"/>
    </w:lvl>
  </w:abstractNum>
  <w:abstractNum w:abstractNumId="13">
    <w:nsid w:val="6C80EC70"/>
    <w:multiLevelType w:val="hybridMultilevel"/>
    <w:lvl w:ilvl="0">
      <w:lvlJc w:val="left"/>
      <w:lvlText w:val="(%1)"/>
      <w:numFmt w:val="lowerLetter"/>
      <w:start w:val="1"/>
    </w:lvl>
  </w:abstractNum>
  <w:abstractNum w:abstractNumId="14">
    <w:nsid w:val="379E21B5"/>
    <w:multiLevelType w:val="hybridMultilevel"/>
    <w:lvl w:ilvl="0">
      <w:lvlJc w:val="left"/>
      <w:lvlText w:val="(%1)"/>
      <w:numFmt w:val="lowerLetter"/>
      <w:start w:val="2"/>
    </w:lvl>
  </w:abstractNum>
  <w:abstractNum w:abstractNumId="15">
    <w:nsid w:val="69E373"/>
    <w:multiLevelType w:val="hybridMultilevel"/>
    <w:lvl w:ilvl="0">
      <w:lvlJc w:val="left"/>
      <w:lvlText w:val="%1."/>
      <w:numFmt w:val="decimal"/>
      <w:start w:val="2"/>
    </w:lvl>
  </w:abstractNum>
  <w:abstractNum w:abstractNumId="16">
    <w:nsid w:val="2C27173B"/>
    <w:multiLevelType w:val="hybridMultilevel"/>
    <w:lvl w:ilvl="0">
      <w:lvlJc w:val="left"/>
      <w:lvlText w:val="%1."/>
      <w:numFmt w:val="decimal"/>
      <w:start w:val="3"/>
    </w:lvl>
  </w:abstractNum>
  <w:abstractNum w:abstractNumId="17">
    <w:nsid w:val="4C9B0904"/>
    <w:multiLevelType w:val="hybridMultilevel"/>
    <w:lvl w:ilvl="0">
      <w:lvlJc w:val="left"/>
      <w:lvlText w:val="(%1)"/>
      <w:numFmt w:val="lowerLetter"/>
      <w:start w:val="1"/>
    </w:lvl>
    <w:lvl w:ilvl="1">
      <w:lvlJc w:val="left"/>
      <w:lvlText w:val="(%2)"/>
      <w:numFmt w:val="lowerLetter"/>
      <w:start w:val="9"/>
    </w:lvl>
  </w:abstractNum>
  <w:abstractNum w:abstractNumId="18">
    <w:nsid w:val="6AA7B75C"/>
    <w:multiLevelType w:val="hybridMultilevel"/>
    <w:lvl w:ilvl="0">
      <w:lvlJc w:val="left"/>
      <w:lvlText w:val="%1"/>
      <w:numFmt w:val="decimal"/>
      <w:start w:val="1"/>
    </w:lvl>
    <w:lvl w:ilvl="1">
      <w:lvlJc w:val="left"/>
      <w:lvlText w:val="(%2)"/>
      <w:numFmt w:val="lowerRoman"/>
      <w:start w:val="2"/>
    </w:lvl>
  </w:abstractNum>
  <w:abstractNum w:abstractNumId="19">
    <w:nsid w:val="1DF029D3"/>
    <w:multiLevelType w:val="hybridMultilevel"/>
    <w:lvl w:ilvl="0">
      <w:lvlJc w:val="left"/>
      <w:lvlText w:val="%1."/>
      <w:numFmt w:val="decimal"/>
      <w:start w:val="4"/>
    </w:lvl>
    <w:lvl w:ilvl="1">
      <w:lvlJc w:val="left"/>
      <w:lvlText w:val="%2"/>
      <w:numFmt w:val="lowerRoman"/>
      <w:start w:val="1"/>
    </w:lvl>
  </w:abstractNum>
  <w:abstractNum w:abstractNumId="20">
    <w:nsid w:val="5675FF36"/>
    <w:multiLevelType w:val="hybridMultilevel"/>
    <w:lvl w:ilvl="0">
      <w:lvlJc w:val="left"/>
      <w:lvlText w:val="%1."/>
      <w:numFmt w:val="decimal"/>
      <w:start w:val="7"/>
    </w:lvl>
  </w:abstractNum>
  <w:abstractNum w:abstractNumId="21">
    <w:nsid w:val="3DD15094"/>
    <w:multiLevelType w:val="hybridMultilevel"/>
    <w:lvl w:ilvl="0">
      <w:lvlJc w:val="left"/>
      <w:lvlText w:val="%1."/>
      <w:numFmt w:val="decimal"/>
      <w:start w:val="10"/>
    </w:lvl>
  </w:abstractNum>
  <w:abstractNum w:abstractNumId="22">
    <w:nsid w:val="3DB012B3"/>
    <w:multiLevelType w:val="hybridMultilevel"/>
    <w:lvl w:ilvl="0">
      <w:lvlJc w:val="left"/>
      <w:lvlText w:val="%1."/>
      <w:numFmt w:val="decimal"/>
      <w:start w:val="1"/>
    </w:lvl>
  </w:abstractNum>
  <w:abstractNum w:abstractNumId="23">
    <w:nsid w:val="2708C9AF"/>
    <w:multiLevelType w:val="hybridMultilevel"/>
    <w:lvl w:ilvl="0">
      <w:lvlJc w:val="left"/>
      <w:lvlText w:val="(%1)"/>
      <w:numFmt w:val="lowerLetter"/>
      <w:start w:val="1"/>
    </w:lvl>
  </w:abstractNum>
  <w:abstractNum w:abstractNumId="24">
    <w:nsid w:val="5B25ACE2"/>
    <w:multiLevelType w:val="hybridMultilevel"/>
    <w:lvl w:ilvl="0">
      <w:lvlJc w:val="left"/>
      <w:lvlText w:val="%1."/>
      <w:numFmt w:val="decimal"/>
      <w:start w:val="2"/>
    </w:lvl>
  </w:abstractNum>
  <w:abstractNum w:abstractNumId="25">
    <w:nsid w:val="175DFCF0"/>
    <w:multiLevelType w:val="hybridMultilevel"/>
    <w:lvl w:ilvl="0">
      <w:lvlJc w:val="left"/>
      <w:lvlText w:val="%1."/>
      <w:numFmt w:val="decimal"/>
      <w:start w:val="3"/>
    </w:lvl>
  </w:abstractNum>
  <w:abstractNum w:abstractNumId="26">
    <w:nsid w:val="4F97E3E4"/>
    <w:multiLevelType w:val="hybridMultilevel"/>
    <w:lvl w:ilvl="0">
      <w:lvlJc w:val="left"/>
      <w:lvlText w:val="%1."/>
      <w:numFmt w:val="decimal"/>
      <w:start w:val="4"/>
    </w:lvl>
  </w:abstractNum>
  <w:abstractNum w:abstractNumId="27">
    <w:nsid w:val="53B0A9E"/>
    <w:multiLevelType w:val="hybridMultilevel"/>
    <w:lvl w:ilvl="0">
      <w:lvlJc w:val="left"/>
      <w:lvlText w:val="%1."/>
      <w:numFmt w:val="decimal"/>
      <w:start w:val="5"/>
    </w:lvl>
  </w:abstractNum>
  <w:abstractNum w:abstractNumId="28">
    <w:nsid w:val="34FD6B4F"/>
    <w:multiLevelType w:val="hybridMultilevel"/>
    <w:lvl w:ilvl="0">
      <w:lvlJc w:val="left"/>
      <w:lvlText w:val="%1."/>
      <w:numFmt w:val="decimal"/>
      <w:start w:val="6"/>
    </w:lvl>
  </w:abstractNum>
  <w:abstractNum w:abstractNumId="29">
    <w:nsid w:val="5915FF32"/>
    <w:multiLevelType w:val="hybridMultilevel"/>
    <w:lvl w:ilvl="0">
      <w:lvlJc w:val="left"/>
      <w:lvlText w:val="%1."/>
      <w:numFmt w:val="decimal"/>
      <w:start w:val="7"/>
    </w:lvl>
  </w:abstractNum>
  <w:abstractNum w:abstractNumId="30">
    <w:nsid w:val="56438D15"/>
    <w:multiLevelType w:val="hybridMultilevel"/>
    <w:lvl w:ilvl="0">
      <w:lvlJc w:val="left"/>
      <w:lvlText w:val="%1."/>
      <w:numFmt w:val="decimal"/>
      <w:start w:val="8"/>
    </w:lvl>
  </w:abstractNum>
  <w:abstractNum w:abstractNumId="31">
    <w:nsid w:val="519E3149"/>
    <w:multiLevelType w:val="hybridMultilevel"/>
    <w:lvl w:ilvl="0">
      <w:lvlJc w:val="left"/>
      <w:lvlText w:val="%1."/>
      <w:numFmt w:val="decimal"/>
      <w:start w:val="9"/>
    </w:lvl>
  </w:abstractNum>
  <w:abstractNum w:abstractNumId="32">
    <w:nsid w:val="2C6E4AFD"/>
    <w:multiLevelType w:val="hybridMultilevel"/>
    <w:lvl w:ilvl="0">
      <w:lvlJc w:val="left"/>
      <w:lvlText w:val="%1."/>
      <w:numFmt w:val="decimal"/>
      <w:start w:val="10"/>
    </w:lvl>
  </w:abstractNum>
  <w:abstractNum w:abstractNumId="33">
    <w:nsid w:val="17A1B582"/>
    <w:multiLevelType w:val="hybridMultilevel"/>
    <w:lvl w:ilvl="0">
      <w:lvlJc w:val="left"/>
      <w:lvlText w:val="%1."/>
      <w:numFmt w:val="decimal"/>
      <w:start w:val="11"/>
    </w:lvl>
  </w:abstractNum>
  <w:abstractNum w:abstractNumId="34">
    <w:nsid w:val="4DF72E4E"/>
    <w:multiLevelType w:val="hybridMultilevel"/>
    <w:lvl w:ilvl="0">
      <w:lvlJc w:val="left"/>
      <w:lvlText w:val="(%1)"/>
      <w:numFmt w:val="lowerLetter"/>
      <w:start w:val="2"/>
    </w:lvl>
  </w:abstractNum>
  <w:abstractNum w:abstractNumId="35">
    <w:nsid w:val="5046B5A9"/>
    <w:multiLevelType w:val="hybridMultilevel"/>
    <w:lvl w:ilvl="0">
      <w:lvlJc w:val="left"/>
      <w:lvlText w:val="%1"/>
      <w:numFmt w:val="lowerRoman"/>
      <w:start w:val="1"/>
    </w:lvl>
    <w:lvl w:ilvl="1">
      <w:lvlJc w:val="left"/>
      <w:lvlText w:val="(%2)"/>
      <w:numFmt w:val="decimal"/>
      <w:start w:val="1"/>
    </w:lvl>
  </w:abstractNum>
  <w:abstractNum w:abstractNumId="36">
    <w:nsid w:val="5D888A08"/>
    <w:multiLevelType w:val="hybridMultilevel"/>
    <w:lvl w:ilvl="0">
      <w:lvlJc w:val="left"/>
      <w:lvlText w:val="(%1)"/>
      <w:numFmt w:val="lowerRoman"/>
      <w:start w:val="2"/>
    </w:lvl>
    <w:lvl w:ilvl="1">
      <w:lvlJc w:val="left"/>
      <w:lvlText w:val="%2"/>
      <w:numFmt w:val="decimal"/>
      <w:start w:val="1"/>
    </w:lvl>
  </w:abstractNum>
  <w:abstractNum w:abstractNumId="37">
    <w:nsid w:val="2A082C70"/>
    <w:multiLevelType w:val="hybridMultilevel"/>
    <w:lvl w:ilvl="0">
      <w:lvlJc w:val="left"/>
      <w:lvlText w:val="(%1)"/>
      <w:numFmt w:val="decimal"/>
      <w:start w:val="1"/>
    </w:lvl>
  </w:abstractNum>
  <w:abstractNum w:abstractNumId="38">
    <w:nsid w:val="5EC6AFD4"/>
    <w:multiLevelType w:val="hybridMultilevel"/>
    <w:lvl w:ilvl="0">
      <w:lvlJc w:val="left"/>
      <w:lvlText w:val="(%1)"/>
      <w:numFmt w:val="decimal"/>
      <w:start w:val="1"/>
    </w:lvl>
  </w:abstractNum>
  <w:abstractNum w:abstractNumId="39">
    <w:nsid w:val="19E21BB2"/>
    <w:multiLevelType w:val="hybridMultilevel"/>
    <w:lvl w:ilvl="0">
      <w:lvlJc w:val="left"/>
      <w:lvlText w:val="(%1)"/>
      <w:numFmt w:val="decimal"/>
      <w:start w:val="1"/>
    </w:lvl>
  </w:abstractNum>
  <w:abstractNum w:abstractNumId="40">
    <w:nsid w:val="75E0858A"/>
    <w:multiLevelType w:val="hybridMultilevel"/>
    <w:lvl w:ilvl="0">
      <w:lvlJc w:val="left"/>
      <w:lvlText w:val="(%1)"/>
      <w:numFmt w:val="lowerLetter"/>
      <w:start w:val="2"/>
    </w:lvl>
  </w:abstractNum>
  <w:abstractNum w:abstractNumId="41">
    <w:nsid w:val="57A61A29"/>
    <w:multiLevelType w:val="hybridMultilevel"/>
    <w:lvl w:ilvl="0">
      <w:lvlJc w:val="left"/>
      <w:lvlText w:val="(%1)"/>
      <w:numFmt w:val="lowerLetter"/>
      <w:start w:val="2"/>
    </w:lvl>
  </w:abstractNum>
  <w:abstractNum w:abstractNumId="42">
    <w:nsid w:val="5399C654"/>
    <w:multiLevelType w:val="hybridMultilevel"/>
    <w:lvl w:ilvl="0">
      <w:lvlJc w:val="left"/>
      <w:lvlText w:val="(%1)"/>
      <w:numFmt w:val="lowerLetter"/>
      <w:start w:val="2"/>
    </w:lvl>
  </w:abstractNum>
  <w:abstractNum w:abstractNumId="43">
    <w:nsid w:val="20EE1348"/>
    <w:multiLevelType w:val="hybridMultilevel"/>
    <w:lvl w:ilvl="0">
      <w:lvlJc w:val="left"/>
      <w:lvlText w:val="(%1)"/>
      <w:numFmt w:val="lowerLetter"/>
      <w:start w:val="1"/>
    </w:lvl>
  </w:abstractNum>
  <w:abstractNum w:abstractNumId="44">
    <w:nsid w:val="4427069A"/>
    <w:multiLevelType w:val="hybridMultilevel"/>
    <w:lvl w:ilvl="0">
      <w:lvlJc w:val="left"/>
      <w:lvlText w:val="(%1)"/>
      <w:numFmt w:val="upperLetter"/>
      <w:start w:val="1"/>
    </w:lvl>
  </w:abstractNum>
  <w:abstractNum w:abstractNumId="45">
    <w:nsid w:val="B37E80A"/>
    <w:multiLevelType w:val="hybridMultilevel"/>
    <w:lvl w:ilvl="0">
      <w:lvlJc w:val="left"/>
      <w:lvlText w:val="(%1)"/>
      <w:numFmt w:val="lowerRoman"/>
      <w:start w:val="2"/>
    </w:lvl>
  </w:abstractNum>
  <w:abstractNum w:abstractNumId="46">
    <w:nsid w:val="2157F6BC"/>
    <w:multiLevelType w:val="hybridMultilevel"/>
    <w:lvl w:ilvl="0">
      <w:lvlJc w:val="left"/>
      <w:lvlText w:val="(%1)"/>
      <w:numFmt w:val="lowerRoman"/>
      <w:start w:val="2"/>
    </w:lvl>
  </w:abstractNum>
  <w:abstractNum w:abstractNumId="47">
    <w:nsid w:val="704E1DD5"/>
    <w:multiLevelType w:val="hybridMultilevel"/>
    <w:lvl w:ilvl="0">
      <w:lvlJc w:val="left"/>
      <w:lvlText w:val="(%1)"/>
      <w:numFmt w:val="lowerLetter"/>
      <w:start w:val="1"/>
    </w:lvl>
  </w:abstractNum>
  <w:abstractNum w:abstractNumId="48">
    <w:nsid w:val="57D2F10E"/>
    <w:multiLevelType w:val="hybridMultilevel"/>
    <w:lvl w:ilvl="0">
      <w:lvlJc w:val="left"/>
      <w:lvlText w:val="(%1)"/>
      <w:numFmt w:val="lowerLetter"/>
      <w:start w:val="3"/>
    </w:lvl>
  </w:abstractNum>
  <w:abstractNum w:abstractNumId="49">
    <w:nsid w:val="BFFAE18"/>
    <w:multiLevelType w:val="hybridMultilevel"/>
    <w:lvl w:ilvl="0">
      <w:lvlJc w:val="left"/>
      <w:lvlText w:val="(%1)"/>
      <w:numFmt w:val="lowerLetter"/>
      <w:start w:val="1"/>
    </w:lvl>
  </w:abstractNum>
  <w:abstractNum w:abstractNumId="50">
    <w:nsid w:val="E3E47A8"/>
    <w:multiLevelType w:val="hybridMultilevel"/>
    <w:lvl w:ilvl="0">
      <w:lvlJc w:val="left"/>
      <w:lvlText w:val="(%1)"/>
      <w:numFmt w:val="lowerLetter"/>
      <w:start w:val="1"/>
    </w:lvl>
  </w:abstractNum>
  <w:abstractNum w:abstractNumId="51">
    <w:nsid w:val="2E48F044"/>
    <w:multiLevelType w:val="hybridMultilevel"/>
    <w:lvl w:ilvl="0">
      <w:lvlJc w:val="left"/>
      <w:lvlText w:val="(%1)"/>
      <w:numFmt w:val="lowerLetter"/>
      <w:start w:val="1"/>
    </w:lvl>
  </w:abstractNum>
  <w:abstractNum w:abstractNumId="52">
    <w:nsid w:val="49D0FEAC"/>
    <w:multiLevelType w:val="hybridMultilevel"/>
    <w:lvl w:ilvl="0">
      <w:lvlJc w:val="left"/>
      <w:lvlText w:val="(%1)"/>
      <w:numFmt w:val="lowerLetter"/>
      <w:start w:val="4"/>
    </w:lvl>
  </w:abstractNum>
  <w:abstractNum w:abstractNumId="53">
    <w:nsid w:val="4BEE5A5B"/>
    <w:multiLevelType w:val="hybridMultilevel"/>
    <w:lvl w:ilvl="0">
      <w:lvlJc w:val="left"/>
      <w:lvlText w:val="(%1)"/>
      <w:numFmt w:val="lowerLetter"/>
      <w:start w:val="1"/>
    </w:lvl>
  </w:abstractNum>
  <w:abstractNum w:abstractNumId="54">
    <w:nsid w:val="5551B9F3"/>
    <w:multiLevelType w:val="hybridMultilevel"/>
    <w:lvl w:ilvl="0">
      <w:lvlJc w:val="left"/>
      <w:lvlText w:val="(%1)"/>
      <w:numFmt w:val="lowerLetter"/>
      <w:start w:val="2"/>
    </w:lvl>
  </w:abstractNum>
  <w:abstractNum w:abstractNumId="55">
    <w:nsid w:val="24F6AB8E"/>
    <w:multiLevelType w:val="hybridMultilevel"/>
    <w:lvl w:ilvl="0">
      <w:lvlJc w:val="left"/>
      <w:lvlText w:val="(%1)"/>
      <w:numFmt w:val="lowerLetter"/>
      <w:start w:val="1"/>
    </w:lvl>
  </w:abstractNum>
  <w:abstractNum w:abstractNumId="56">
    <w:nsid w:val="634C574C"/>
    <w:multiLevelType w:val="hybridMultilevel"/>
    <w:lvl w:ilvl="0">
      <w:lvlJc w:val="left"/>
      <w:lvlText w:val="(%1)"/>
      <w:numFmt w:val="lowerLetter"/>
      <w:start w:val="2"/>
    </w:lvl>
  </w:abstractNum>
  <w:abstractNum w:abstractNumId="57">
    <w:nsid w:val="24E99DD7"/>
    <w:multiLevelType w:val="hybridMultilevel"/>
    <w:lvl w:ilvl="0">
      <w:lvlJc w:val="left"/>
      <w:lvlText w:val="(%1)"/>
      <w:numFmt w:val="lowerLetter"/>
      <w:start w:val="1"/>
    </w:lvl>
  </w:abstractNum>
  <w:abstractNum w:abstractNumId="58">
    <w:nsid w:val="2A31B62D"/>
    <w:multiLevelType w:val="hybridMultilevel"/>
    <w:lvl w:ilvl="0">
      <w:lvlJc w:val="left"/>
      <w:lvlText w:val="%1"/>
      <w:numFmt w:val="lowerLetter"/>
      <w:start w:val="1"/>
    </w:lvl>
    <w:lvl w:ilvl="1">
      <w:lvlJc w:val="left"/>
      <w:lvlText w:val="(%2)"/>
      <w:numFmt w:val="lowerLetter"/>
      <w:start w:val="1"/>
    </w:lvl>
  </w:abstractNum>
  <w:abstractNum w:abstractNumId="59">
    <w:nsid w:val="1849C29B"/>
    <w:multiLevelType w:val="hybridMultilevel"/>
    <w:lvl w:ilvl="0">
      <w:lvlJc w:val="left"/>
      <w:lvlText w:val="(%1)"/>
      <w:numFmt w:val="lowerLetter"/>
      <w:start w:val="35"/>
    </w:lvl>
    <w:lvl w:ilvl="1">
      <w:lvlJc w:val="left"/>
      <w:lvlText w:val="%2"/>
      <w:numFmt w:val="lowerLetter"/>
      <w:start w:val="1"/>
    </w:lvl>
  </w:abstractNum>
  <w:abstractNum w:abstractNumId="60">
    <w:nsid w:val="7DFF9D09"/>
    <w:multiLevelType w:val="hybridMultilevel"/>
    <w:lvl w:ilvl="0">
      <w:lvlJc w:val="left"/>
      <w:lvlText w:val="(%1)"/>
      <w:numFmt w:val="lowerLetter"/>
      <w:start w:val="1"/>
    </w:lvl>
  </w:abstractNum>
  <w:abstractNum w:abstractNumId="61">
    <w:nsid w:val="754342"/>
    <w:multiLevelType w:val="hybridMultilevel"/>
    <w:lvl w:ilvl="0">
      <w:lvlJc w:val="left"/>
      <w:lvlText w:val="(%1)"/>
      <w:numFmt w:val="lowerLetter"/>
      <w:start w:val="4"/>
    </w:lvl>
  </w:abstractNum>
  <w:abstractNum w:abstractNumId="62">
    <w:nsid w:val="69E7F3E5"/>
    <w:multiLevelType w:val="hybridMultilevel"/>
    <w:lvl w:ilvl="0">
      <w:lvlJc w:val="left"/>
      <w:lvlText w:val="(%1)"/>
      <w:numFmt w:val="lowerLetter"/>
      <w:start w:val="1"/>
    </w:lvl>
    <w:lvl w:ilvl="1">
      <w:lvlJc w:val="left"/>
      <w:lvlText w:val="(%2)"/>
      <w:numFmt w:val="lowerRoman"/>
      <w:start w:val="1"/>
    </w:lvl>
  </w:abstractNum>
  <w:abstractNum w:abstractNumId="63">
    <w:nsid w:val="2A6DE806"/>
    <w:multiLevelType w:val="hybridMultilevel"/>
    <w:lvl w:ilvl="0">
      <w:lvlJc w:val="left"/>
      <w:lvlText w:val="%1"/>
      <w:numFmt w:val="lowerLetter"/>
      <w:start w:val="1"/>
    </w:lvl>
    <w:lvl w:ilvl="1">
      <w:lvlJc w:val="left"/>
      <w:lvlText w:val="(%2)"/>
      <w:numFmt w:val="lowerRoman"/>
      <w:start w:val="5"/>
    </w:lvl>
  </w:abstractNum>
  <w:abstractNum w:abstractNumId="64">
    <w:nsid w:val="1816F8C4"/>
    <w:multiLevelType w:val="hybridMultilevel"/>
    <w:lvl w:ilvl="0">
      <w:lvlJc w:val="left"/>
      <w:lvlText w:val="(%1)"/>
      <w:numFmt w:val="lowerLetter"/>
      <w:start w:val="3"/>
    </w:lvl>
    <w:lvl w:ilvl="1">
      <w:lvlJc w:val="left"/>
      <w:lvlText w:val="%2"/>
      <w:numFmt w:val="lowerRoman"/>
      <w:start w:val="1"/>
    </w:lvl>
  </w:abstractNum>
  <w:abstractNum w:abstractNumId="65">
    <w:nsid w:val="37DF2233"/>
    <w:multiLevelType w:val="hybridMultilevel"/>
    <w:lvl w:ilvl="0">
      <w:lvlJc w:val="left"/>
      <w:lvlText w:val="(%1)"/>
      <w:numFmt w:val="lowerLetter"/>
      <w:start w:val="1"/>
    </w:lvl>
  </w:abstractNum>
  <w:abstractNum w:abstractNumId="66">
    <w:nsid w:val="7AB49DAF"/>
    <w:multiLevelType w:val="hybridMultilevel"/>
    <w:lvl w:ilvl="0">
      <w:lvlJc w:val="left"/>
      <w:lvlText w:val="(%1)"/>
      <w:numFmt w:val="lowerLetter"/>
      <w:start w:val="2"/>
    </w:lvl>
  </w:abstractNum>
  <w:abstractNum w:abstractNumId="67">
    <w:nsid w:val="759F82CD"/>
    <w:multiLevelType w:val="hybridMultilevel"/>
    <w:lvl w:ilvl="0">
      <w:lvlJc w:val="left"/>
      <w:lvlText w:val="(%1)"/>
      <w:numFmt w:val="lowerLetter"/>
      <w:start w:val="4"/>
    </w:lvl>
  </w:abstractNum>
  <w:abstractNum w:abstractNumId="68">
    <w:nsid w:val="61E74EA3"/>
    <w:multiLevelType w:val="hybridMultilevel"/>
    <w:lvl w:ilvl="0">
      <w:lvlJc w:val="left"/>
      <w:lvlText w:val="(%1)"/>
      <w:numFmt w:val="lowerLetter"/>
      <w:start w:val="1"/>
    </w:lvl>
  </w:abstractNum>
  <w:abstractNum w:abstractNumId="69">
    <w:nsid w:val="597B4D84"/>
    <w:multiLevelType w:val="hybridMultilevel"/>
    <w:lvl w:ilvl="0">
      <w:lvlJc w:val="left"/>
      <w:lvlText w:val="(%1)"/>
      <w:numFmt w:val="lowerLetter"/>
      <w:start w:val="3"/>
    </w:lvl>
  </w:abstractNum>
  <w:abstractNum w:abstractNumId="70">
    <w:nsid w:val="F819E7F"/>
    <w:multiLevelType w:val="hybridMultilevel"/>
    <w:lvl w:ilvl="0">
      <w:lvlJc w:val="left"/>
      <w:lvlText w:val="(%1)"/>
      <w:numFmt w:val="lowerLetter"/>
      <w:start w:val="6"/>
    </w:lvl>
  </w:abstractNum>
  <w:abstractNum w:abstractNumId="71">
    <w:nsid w:val="57C7D42D"/>
    <w:multiLevelType w:val="hybridMultilevel"/>
    <w:lvl w:ilvl="0">
      <w:lvlJc w:val="left"/>
      <w:lvlText w:val="(%1)"/>
      <w:numFmt w:val="lowerLetter"/>
      <w:start w:val="7"/>
    </w:lvl>
  </w:abstractNum>
  <w:abstractNum w:abstractNumId="72">
    <w:nsid w:val="312167AD"/>
    <w:multiLevelType w:val="hybridMultilevel"/>
    <w:lvl w:ilvl="0">
      <w:lvlJc w:val="left"/>
      <w:lvlText w:val="(%1)"/>
      <w:numFmt w:val="lowerLetter"/>
      <w:start w:val="9"/>
    </w:lvl>
    <w:lvl w:ilvl="1">
      <w:lvlJc w:val="left"/>
      <w:lvlText w:val="(%2)"/>
      <w:numFmt w:val="lowerRoman"/>
      <w:start w:val="2"/>
    </w:lvl>
  </w:abstractNum>
  <w:abstractNum w:abstractNumId="73">
    <w:nsid w:val="631B64D4"/>
    <w:multiLevelType w:val="hybridMultilevel"/>
    <w:lvl w:ilvl="0">
      <w:lvlJc w:val="left"/>
      <w:lvlText w:val="(%1)"/>
      <w:numFmt w:val="lowerLetter"/>
      <w:start w:val="8"/>
    </w:lvl>
    <w:lvl w:ilvl="1">
      <w:lvlJc w:val="left"/>
      <w:lvlText w:val="%2"/>
      <w:numFmt w:val="lowerRoman"/>
      <w:start w:val="1"/>
    </w:lvl>
  </w:abstractNum>
  <w:abstractNum w:abstractNumId="74">
    <w:nsid w:val="78B5E776"/>
    <w:multiLevelType w:val="hybridMultilevel"/>
    <w:lvl w:ilvl="0">
      <w:lvlJc w:val="left"/>
      <w:lvlText w:val="(%1)"/>
      <w:numFmt w:val="lowerLetter"/>
      <w:start w:val="9"/>
    </w:lvl>
  </w:abstractNum>
  <w:abstractNum w:abstractNumId="75">
    <w:nsid w:val="75486E47"/>
    <w:multiLevelType w:val="hybridMultilevel"/>
    <w:lvl w:ilvl="0">
      <w:lvlJc w:val="left"/>
      <w:lvlText w:val="(%1)"/>
      <w:numFmt w:val="lowerLetter"/>
      <w:start w:val="1"/>
    </w:lvl>
  </w:abstractNum>
  <w:abstractNum w:abstractNumId="76">
    <w:nsid w:val="6E534CDE"/>
    <w:multiLevelType w:val="hybridMultilevel"/>
    <w:lvl w:ilvl="0">
      <w:lvlJc w:val="left"/>
      <w:lvlText w:val="(%1)"/>
      <w:numFmt w:val="lowerLetter"/>
      <w:start w:val="1"/>
    </w:lvl>
  </w:abstractNum>
  <w:abstractNum w:abstractNumId="77">
    <w:nsid w:val="1A0DDE32"/>
    <w:multiLevelType w:val="hybridMultilevel"/>
    <w:lvl w:ilvl="0">
      <w:lvlJc w:val="left"/>
      <w:lvlText w:val="(%1)"/>
      <w:numFmt w:val="lowerLetter"/>
      <w:start w:val="2"/>
    </w:lvl>
    <w:lvl w:ilvl="1">
      <w:lvlJc w:val="left"/>
      <w:lvlText w:val="(%2)"/>
      <w:numFmt w:val="lowerRoman"/>
      <w:start w:val="1"/>
    </w:lvl>
  </w:abstractNum>
  <w:abstractNum w:abstractNumId="78">
    <w:nsid w:val="65968C1C"/>
    <w:multiLevelType w:val="hybridMultilevel"/>
    <w:lvl w:ilvl="0">
      <w:lvlJc w:val="left"/>
      <w:lvlText w:val="(%1)"/>
      <w:numFmt w:val="lowerLetter"/>
      <w:start w:val="1"/>
    </w:lvl>
  </w:abstractNum>
  <w:abstractNum w:abstractNumId="79">
    <w:nsid w:val="46263DE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80">
    <w:nsid w:val="260D8C4A"/>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81">
    <w:nsid w:val="73D4D3C4"/>
    <w:multiLevelType w:val="hybridMultilevel"/>
    <w:lvl w:ilvl="0">
      <w:lvlJc w:val="left"/>
      <w:lvlText w:val="(%1)"/>
      <w:numFmt w:val="lowerRoman"/>
      <w:start w:val="10"/>
    </w:lvl>
  </w:abstractNum>
  <w:abstractNum w:abstractNumId="82">
    <w:nsid w:val="746F2E30"/>
    <w:multiLevelType w:val="hybridMultilevel"/>
    <w:lvl w:ilvl="0">
      <w:lvlJc w:val="left"/>
      <w:lvlText w:val="(%1)"/>
      <w:numFmt w:val="lowerLetter"/>
      <w:start w:val="25"/>
    </w:lvl>
  </w:abstractNum>
  <w:abstractNum w:abstractNumId="83">
    <w:nsid w:val="6FDE8AF6"/>
    <w:multiLevelType w:val="hybridMultilevel"/>
    <w:lvl w:ilvl="0">
      <w:lvlJc w:val="left"/>
      <w:lvlText w:val="%1"/>
      <w:numFmt w:val="lowerLetter"/>
      <w:start w:val="1"/>
    </w:lvl>
    <w:lvl w:ilvl="1">
      <w:lvlJc w:val="left"/>
      <w:lvlText w:val="(%2)"/>
      <w:numFmt w:val="lowerRoman"/>
      <w:start w:val="3"/>
    </w:lvl>
  </w:abstractNum>
  <w:abstractNum w:abstractNumId="84">
    <w:nsid w:val="3FC32E20"/>
    <w:multiLevelType w:val="hybridMultilevel"/>
    <w:lvl w:ilvl="0">
      <w:lvlJc w:val="left"/>
      <w:lvlText w:val="(%1)"/>
      <w:numFmt w:val="lowerLetter"/>
      <w:start w:val="6"/>
    </w:lvl>
    <w:lvl w:ilvl="1">
      <w:lvlJc w:val="left"/>
      <w:lvlText w:val="(%2)"/>
      <w:numFmt w:val="lowerRoman"/>
      <w:start w:val="1"/>
    </w:lvl>
  </w:abstractNum>
  <w:abstractNum w:abstractNumId="85">
    <w:nsid w:val="49C0E823"/>
    <w:multiLevelType w:val="hybridMultilevel"/>
    <w:lvl w:ilvl="0">
      <w:lvlJc w:val="left"/>
      <w:lvlText w:val="(%1)"/>
      <w:numFmt w:val="lowerRoman"/>
      <w:start w:val="2"/>
    </w:lvl>
  </w:abstractNum>
  <w:abstractNum w:abstractNumId="86">
    <w:nsid w:val="14D53685"/>
    <w:multiLevelType w:val="hybridMultilevel"/>
    <w:lvl w:ilvl="0">
      <w:lvlJc w:val="left"/>
      <w:lvlText w:val="(%1)"/>
      <w:numFmt w:val="lowerLetter"/>
      <w:start w:val="1"/>
    </w:lvl>
    <w:lvl w:ilvl="1">
      <w:lvlJc w:val="left"/>
      <w:lvlText w:val="%2"/>
      <w:numFmt w:val="lowerRoman"/>
      <w:start w:val="1"/>
    </w:lvl>
  </w:abstractNum>
  <w:abstractNum w:abstractNumId="87">
    <w:nsid w:val="230F856C"/>
    <w:multiLevelType w:val="hybridMultilevel"/>
    <w:lvl w:ilvl="0">
      <w:lvlJc w:val="left"/>
      <w:lvlText w:val="(%1)"/>
      <w:numFmt w:val="lowerLetter"/>
      <w:start w:val="9"/>
    </w:lvl>
    <w:lvl w:ilvl="1">
      <w:lvlJc w:val="left"/>
      <w:lvlText w:val="(%2)"/>
      <w:numFmt w:val="lowerRoman"/>
      <w:start w:val="2"/>
    </w:lvl>
  </w:abstractNum>
  <w:abstractNum w:abstractNumId="88">
    <w:nsid w:val="6EAA85FB"/>
    <w:multiLevelType w:val="hybridMultilevel"/>
    <w:lvl w:ilvl="0">
      <w:lvlJc w:val="left"/>
      <w:lvlText w:val="(%1)"/>
      <w:numFmt w:val="lowerLetter"/>
      <w:start w:val="2"/>
    </w:lvl>
  </w:abstractNum>
  <w:abstractNum w:abstractNumId="89">
    <w:nsid w:val="3F06ECB2"/>
    <w:multiLevelType w:val="hybridMultilevel"/>
    <w:lvl w:ilvl="0">
      <w:lvlJc w:val="left"/>
      <w:lvlText w:val="(%1)"/>
      <w:numFmt w:val="lowerLetter"/>
      <w:start w:val="1"/>
    </w:lvl>
    <w:lvl w:ilvl="1">
      <w:lvlJc w:val="left"/>
      <w:lvlText w:val="(%2)"/>
      <w:numFmt w:val="lowerRoman"/>
      <w:start w:val="1"/>
    </w:lvl>
  </w:abstractNum>
  <w:abstractNum w:abstractNumId="90">
    <w:nsid w:val="3B594807"/>
    <w:multiLevelType w:val="hybridMultilevel"/>
    <w:lvl w:ilvl="0">
      <w:lvlJc w:val="left"/>
      <w:lvlText w:val="(%1)"/>
      <w:numFmt w:val="lowerLetter"/>
      <w:start w:val="3"/>
    </w:lvl>
    <w:lvl w:ilvl="1">
      <w:lvlJc w:val="left"/>
      <w:lvlText w:val="(%2)"/>
      <w:numFmt w:val="lowerRoman"/>
      <w:start w:val="1"/>
    </w:lvl>
  </w:abstractNum>
  <w:abstractNum w:abstractNumId="91">
    <w:nsid w:val="6CAA2304"/>
    <w:multiLevelType w:val="hybridMultilevel"/>
    <w:lvl w:ilvl="0">
      <w:lvlJc w:val="left"/>
      <w:lvlText w:val="(%1)"/>
      <w:numFmt w:val="lowerRoman"/>
      <w:start w:val="4"/>
    </w:lvl>
  </w:abstractNum>
  <w:abstractNum w:abstractNumId="92">
    <w:nsid w:val="3F7C2FF4"/>
    <w:multiLevelType w:val="hybridMultilevel"/>
    <w:lvl w:ilvl="0">
      <w:lvlJc w:val="left"/>
      <w:lvlText w:val="(%1)"/>
      <w:numFmt w:val="lowerLetter"/>
      <w:start w:val="6"/>
    </w:lvl>
  </w:abstractNum>
  <w:abstractNum w:abstractNumId="93">
    <w:nsid w:val="25413BEC"/>
    <w:multiLevelType w:val="hybridMultilevel"/>
    <w:lvl w:ilvl="0">
      <w:lvlJc w:val="left"/>
      <w:lvlText w:val="(%1)"/>
      <w:numFmt w:val="lowerLetter"/>
      <w:start w:val="1"/>
    </w:lvl>
  </w:abstractNum>
  <w:abstractNum w:abstractNumId="94">
    <w:nsid w:val="17180B0B"/>
    <w:multiLevelType w:val="hybridMultilevel"/>
    <w:lvl w:ilvl="0">
      <w:lvlJc w:val="left"/>
      <w:lvlText w:val="(%1)"/>
      <w:numFmt w:val="lowerLetter"/>
      <w:start w:val="2"/>
    </w:lvl>
  </w:abstractNum>
  <w:abstractNum w:abstractNumId="95">
    <w:nsid w:val="579328B9"/>
    <w:multiLevelType w:val="hybridMultilevel"/>
    <w:lvl w:ilvl="0">
      <w:lvlJc w:val="left"/>
      <w:lvlText w:val="(%1)"/>
      <w:numFmt w:val="lowerLetter"/>
      <w:start w:val="1"/>
    </w:lvl>
  </w:abstractNum>
  <w:abstractNum w:abstractNumId="96">
    <w:nsid w:val="5D205E20"/>
    <w:multiLevelType w:val="hybridMultilevel"/>
    <w:lvl w:ilvl="0">
      <w:lvlJc w:val="left"/>
      <w:lvlText w:val="(%1)"/>
      <w:numFmt w:val="lowerLetter"/>
      <w:start w:val="1"/>
    </w:lvl>
  </w:abstractNum>
  <w:abstractNum w:abstractNumId="97">
    <w:nsid w:val="11CCA8BA"/>
    <w:multiLevelType w:val="hybridMultilevel"/>
    <w:lvl w:ilvl="0">
      <w:lvlJc w:val="left"/>
      <w:lvlText w:val="(%1)"/>
      <w:numFmt w:val="lowerLetter"/>
      <w:start w:val="1"/>
    </w:lvl>
    <w:lvl w:ilvl="1">
      <w:lvlJc w:val="left"/>
      <w:lvlText w:val="%2"/>
      <w:numFmt w:val="lowerRoman"/>
      <w:start w:val="1"/>
    </w:lvl>
  </w:abstractNum>
  <w:abstractNum w:abstractNumId="98">
    <w:nsid w:val="4D32AB86"/>
    <w:multiLevelType w:val="hybridMultilevel"/>
    <w:lvl w:ilvl="0">
      <w:lvlJc w:val="left"/>
      <w:lvlText w:val="(%1)"/>
      <w:numFmt w:val="lowerLetter"/>
      <w:start w:val="9"/>
    </w:lvl>
    <w:lvl w:ilvl="1">
      <w:lvlJc w:val="left"/>
      <w:lvlText w:val="(%2)"/>
      <w:numFmt w:val="lowerRoman"/>
      <w:start w:val="2"/>
    </w:lvl>
  </w:abstractNum>
  <w:abstractNum w:abstractNumId="99">
    <w:nsid w:val="3F07ACC3"/>
    <w:multiLevelType w:val="hybridMultilevel"/>
    <w:lvl w:ilvl="0">
      <w:lvlJc w:val="left"/>
      <w:lvlText w:val="(%1)"/>
      <w:numFmt w:val="lowerLetter"/>
      <w:start w:val="2"/>
    </w:lvl>
  </w:abstractNum>
  <w:abstractNum w:abstractNumId="100">
    <w:nsid w:val="6B47F63E"/>
    <w:multiLevelType w:val="hybridMultilevel"/>
    <w:lvl w:ilvl="0">
      <w:lvlJc w:val="left"/>
      <w:lvlText w:val="(%1)"/>
      <w:numFmt w:val="lowerLetter"/>
      <w:start w:val="4"/>
    </w:lvl>
    <w:lvl w:ilvl="1">
      <w:lvlJc w:val="left"/>
      <w:lvlText w:val="(%2)"/>
      <w:numFmt w:val="lowerRoman"/>
      <w:start w:val="1"/>
    </w:lvl>
  </w:abstractNum>
  <w:abstractNum w:abstractNumId="101">
    <w:nsid w:val="5CB44A05"/>
    <w:multiLevelType w:val="hybridMultilevel"/>
    <w:lvl w:ilvl="0">
      <w:lvlJc w:val="left"/>
      <w:lvlText w:val="(%1)"/>
      <w:numFmt w:val="lowerLetter"/>
      <w:start w:val="1"/>
    </w:lvl>
  </w:abstractNum>
  <w:abstractNum w:abstractNumId="102">
    <w:nsid w:val="16CF80F1"/>
    <w:multiLevelType w:val="hybridMultilevel"/>
    <w:lvl w:ilvl="0">
      <w:lvlJc w:val="left"/>
      <w:lvlText w:val="(%1)"/>
      <w:numFmt w:val="lowerLetter"/>
      <w:start w:val="2"/>
    </w:lvl>
  </w:abstractNum>
  <w:abstractNum w:abstractNumId="103">
    <w:nsid w:val="1C695DEC"/>
    <w:multiLevelType w:val="hybridMultilevel"/>
    <w:lvl w:ilvl="0">
      <w:lvlJc w:val="left"/>
      <w:lvlText w:val="(%1)"/>
      <w:numFmt w:val="lowerLetter"/>
      <w:start w:val="35"/>
    </w:lvl>
    <w:lvl w:ilvl="1">
      <w:lvlJc w:val="left"/>
      <w:lvlText w:val="(%2)"/>
      <w:numFmt w:val="lowerLetter"/>
      <w:start w:val="22"/>
    </w:lvl>
    <w:lvl w:ilvl="2">
      <w:lvlJc w:val="left"/>
      <w:lvlText w:val="(%3)"/>
      <w:numFmt w:val="upperLetter"/>
      <w:start w:val="1"/>
    </w:lvl>
  </w:abstractNum>
  <w:abstractNum w:abstractNumId="104">
    <w:nsid w:val="3FCFAED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6"/>
    </w:lvl>
    <w:lvl w:ilvl="3">
      <w:lvlJc w:val="left"/>
      <w:lvlText w:val="(%4)"/>
      <w:numFmt w:val="upperLetter"/>
      <w:start w:val="3"/>
    </w:lvl>
  </w:abstractNum>
  <w:abstractNum w:abstractNumId="105">
    <w:nsid w:val="F856867"/>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lvl w:ilvl="3">
      <w:lvlJc w:val="left"/>
      <w:lvlText w:val="%4"/>
      <w:numFmt w:val="upperLetter"/>
      <w:start w:val="1"/>
    </w:lvl>
  </w:abstractNum>
  <w:abstractNum w:abstractNumId="106">
    <w:nsid w:val="11B1CC33"/>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107">
    <w:nsid w:val="2E22FBB7"/>
    <w:multiLevelType w:val="hybridMultilevel"/>
    <w:lvl w:ilvl="0">
      <w:lvlJc w:val="left"/>
      <w:lvlText w:val="(%1)"/>
      <w:numFmt w:val="lowerLetter"/>
      <w:start w:val="1"/>
    </w:lvl>
  </w:abstractNum>
  <w:abstractNum w:abstractNumId="108">
    <w:nsid w:val="29934699"/>
    <w:multiLevelType w:val="hybridMultilevel"/>
    <w:lvl w:ilvl="0">
      <w:lvlJc w:val="left"/>
      <w:lvlText w:val="(%1)"/>
      <w:numFmt w:val="lowerLetter"/>
      <w:start w:val="2"/>
    </w:lvl>
  </w:abstractNum>
  <w:abstractNum w:abstractNumId="109">
    <w:nsid w:val="77485850"/>
    <w:multiLevelType w:val="hybridMultilevel"/>
    <w:lvl w:ilvl="0">
      <w:lvlJc w:val="left"/>
      <w:lvlText w:val="(%1)"/>
      <w:numFmt w:val="lowerLetter"/>
      <w:start w:val="4"/>
    </w:lvl>
  </w:abstractNum>
  <w:abstractNum w:abstractNumId="110">
    <w:nsid w:val="744939A3"/>
    <w:multiLevelType w:val="hybridMultilevel"/>
    <w:lvl w:ilvl="0">
      <w:lvlJc w:val="left"/>
      <w:lvlText w:val="(%1)"/>
      <w:numFmt w:val="lowerLetter"/>
      <w:start w:val="5"/>
    </w:lvl>
  </w:abstractNum>
  <w:abstractNum w:abstractNumId="111">
    <w:nsid w:val="4FA0D2E3"/>
    <w:multiLevelType w:val="hybridMultilevel"/>
    <w:lvl w:ilvl="0">
      <w:lvlJc w:val="left"/>
      <w:lvlText w:val="(%1)"/>
      <w:numFmt w:val="lowerLetter"/>
      <w:start w:val="1"/>
    </w:lvl>
  </w:abstractNum>
  <w:abstractNum w:abstractNumId="112">
    <w:nsid w:val="6B1D2C14"/>
    <w:multiLevelType w:val="hybridMultilevel"/>
    <w:lvl w:ilvl="0">
      <w:lvlJc w:val="left"/>
      <w:lvlText w:val="(%1)"/>
      <w:numFmt w:val="lowerLetter"/>
      <w:start w:val="1"/>
    </w:lvl>
    <w:lvl w:ilvl="1">
      <w:lvlJc w:val="left"/>
      <w:lvlText w:val="%2"/>
      <w:numFmt w:val="lowerLetter"/>
      <w:start w:val="1"/>
    </w:lvl>
  </w:abstractNum>
  <w:abstractNum w:abstractNumId="113">
    <w:nsid w:val="68B867D3"/>
    <w:multiLevelType w:val="hybridMultilevel"/>
    <w:lvl w:ilvl="0">
      <w:lvlJc w:val="left"/>
      <w:lvlText w:val="(%1)"/>
      <w:numFmt w:val="lowerLetter"/>
      <w:start w:val="9"/>
    </w:lvl>
    <w:lvl w:ilvl="1">
      <w:lvlJc w:val="left"/>
      <w:lvlText w:val="%2"/>
      <w:numFmt w:val="lowerLetter"/>
      <w:start w:val="1"/>
    </w:lvl>
  </w:abstractNum>
  <w:abstractNum w:abstractNumId="114">
    <w:nsid w:val="3F7F5DD9"/>
    <w:multiLevelType w:val="hybridMultilevel"/>
    <w:lvl w:ilvl="0">
      <w:lvlJc w:val="left"/>
      <w:lvlText w:val="(%1)"/>
      <w:numFmt w:val="lowerRoman"/>
      <w:start w:val="2"/>
    </w:lvl>
    <w:lvl w:ilvl="1">
      <w:lvlJc w:val="left"/>
      <w:lvlText w:val="(%2)"/>
      <w:numFmt w:val="upperLetter"/>
      <w:start w:val="1"/>
    </w:lvl>
  </w:abstractNum>
  <w:abstractNum w:abstractNumId="115">
    <w:nsid w:val="2AE05A34"/>
    <w:multiLevelType w:val="hybridMultilevel"/>
    <w:lvl w:ilvl="0">
      <w:lvlJc w:val="left"/>
      <w:lvlText w:val="%1"/>
      <w:numFmt w:val="lowerLetter"/>
      <w:start w:val="1"/>
    </w:lvl>
    <w:lvl w:ilvl="1">
      <w:lvlJc w:val="left"/>
      <w:lvlText w:val="(%2)"/>
      <w:numFmt w:val="lowerRoman"/>
      <w:start w:val="4"/>
    </w:lvl>
  </w:abstractNum>
  <w:abstractNum w:abstractNumId="116">
    <w:nsid w:val="32794FF7"/>
    <w:multiLevelType w:val="hybridMultilevel"/>
    <w:lvl w:ilvl="0">
      <w:lvlJc w:val="left"/>
      <w:lvlText w:val="(%1)"/>
      <w:numFmt w:val="lowerLetter"/>
      <w:start w:val="2"/>
    </w:lvl>
    <w:lvl w:ilvl="1">
      <w:lvlJc w:val="left"/>
      <w:lvlText w:val="%2"/>
      <w:numFmt w:val="lowerRoman"/>
      <w:start w:val="1"/>
    </w:lvl>
  </w:abstractNum>
  <w:abstractNum w:abstractNumId="117">
    <w:nsid w:val="5454945E"/>
    <w:multiLevelType w:val="hybridMultilevel"/>
    <w:lvl w:ilvl="0">
      <w:lvlJc w:val="left"/>
      <w:lvlText w:val="(%1)"/>
      <w:numFmt w:val="lowerLetter"/>
      <w:start w:val="4"/>
    </w:lvl>
  </w:abstractNum>
  <w:abstractNum w:abstractNumId="118">
    <w:nsid w:val="4DEFDFA0"/>
    <w:multiLevelType w:val="hybridMultilevel"/>
    <w:lvl w:ilvl="0">
      <w:lvlJc w:val="left"/>
      <w:lvlText w:val="(%1)"/>
      <w:numFmt w:val="lowerRoman"/>
      <w:start w:val="1"/>
    </w:lvl>
  </w:abstractNum>
  <w:abstractNum w:abstractNumId="119">
    <w:nsid w:val="2123D5F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20">
    <w:nsid w:val="135B8110"/>
    <w:multiLevelType w:val="hybridMultilevel"/>
    <w:lvl w:ilvl="0">
      <w:lvlJc w:val="left"/>
      <w:lvlText w:val="%1"/>
      <w:numFmt w:val="upperLetter"/>
      <w:start w:val="1"/>
    </w:lvl>
    <w:lvl w:ilvl="1">
      <w:lvlJc w:val="left"/>
      <w:lvlText w:val="(%2)"/>
      <w:numFmt w:val="lowerLetter"/>
      <w:start w:val="9"/>
    </w:lvl>
    <w:lvl w:ilvl="2">
      <w:lvlJc w:val="left"/>
      <w:lvlText w:val="(%3)"/>
      <w:numFmt w:val="lowerRoman"/>
      <w:start w:val="2"/>
    </w:lvl>
  </w:abstractNum>
  <w:abstractNum w:abstractNumId="121">
    <w:nsid w:val="94927A8"/>
    <w:multiLevelType w:val="hybridMultilevel"/>
    <w:lvl w:ilvl="0">
      <w:lvlJc w:val="left"/>
      <w:lvlText w:val="(%1)"/>
      <w:numFmt w:val="upperLetter"/>
      <w:start w:val="35"/>
    </w:lvl>
    <w:lvl w:ilvl="1">
      <w:lvlJc w:val="left"/>
      <w:lvlText w:val="%2"/>
      <w:numFmt w:val="lowerLetter"/>
      <w:start w:val="1"/>
    </w:lvl>
    <w:lvl w:ilvl="2">
      <w:lvlJc w:val="left"/>
      <w:lvlText w:val="%3"/>
      <w:numFmt w:val="lowerRoman"/>
      <w:start w:val="1"/>
    </w:lvl>
  </w:abstractNum>
  <w:abstractNum w:abstractNumId="122">
    <w:nsid w:val="DCDF8F6"/>
    <w:multiLevelType w:val="hybridMultilevel"/>
    <w:lvl w:ilvl="0">
      <w:lvlJc w:val="left"/>
      <w:lvlText w:val="(%1)"/>
      <w:numFmt w:val="lowerLetter"/>
      <w:start w:val="2"/>
    </w:lvl>
  </w:abstractNum>
  <w:abstractNum w:abstractNumId="123">
    <w:nsid w:val="52D7B105"/>
    <w:multiLevelType w:val="hybridMultilevel"/>
    <w:lvl w:ilvl="0">
      <w:lvlJc w:val="left"/>
      <w:lvlText w:val="(%1)"/>
      <w:numFmt w:val="lowerLetter"/>
      <w:start w:val="1"/>
    </w:lvl>
  </w:abstractNum>
  <w:abstractNum w:abstractNumId="124">
    <w:nsid w:val="2E8A6394"/>
    <w:multiLevelType w:val="hybridMultilevel"/>
    <w:lvl w:ilvl="0">
      <w:lvlJc w:val="left"/>
      <w:lvlText w:val="(%1)"/>
      <w:numFmt w:val="lowerLetter"/>
      <w:start w:val="2"/>
    </w:lvl>
  </w:abstractNum>
  <w:abstractNum w:abstractNumId="125">
    <w:nsid w:val="24E60401"/>
    <w:multiLevelType w:val="hybridMultilevel"/>
    <w:lvl w:ilvl="0">
      <w:lvlJc w:val="left"/>
      <w:lvlText w:val="(%1)"/>
      <w:numFmt w:val="lowerLetter"/>
      <w:start w:val="1"/>
    </w:lvl>
  </w:abstractNum>
  <w:abstractNum w:abstractNumId="126">
    <w:nsid w:val="2A6AD9BE"/>
    <w:multiLevelType w:val="hybridMultilevel"/>
    <w:lvl w:ilvl="0">
      <w:lvlJc w:val="left"/>
      <w:lvlText w:val="(%1)"/>
      <w:numFmt w:val="lowerLetter"/>
      <w:start w:val="2"/>
    </w:lvl>
  </w:abstractNum>
  <w:abstractNum w:abstractNumId="127">
    <w:nsid w:val="BAAC1B4"/>
    <w:multiLevelType w:val="hybridMultilevel"/>
    <w:lvl w:ilvl="0">
      <w:lvlJc w:val="left"/>
      <w:lvlText w:val="(%1)"/>
      <w:numFmt w:val="lowerLetter"/>
      <w:start w:val="1"/>
    </w:lvl>
  </w:abstractNum>
  <w:abstractNum w:abstractNumId="128">
    <w:nsid w:val="36B2ACBC"/>
    <w:multiLevelType w:val="hybridMultilevel"/>
    <w:lvl w:ilvl="0">
      <w:lvlJc w:val="left"/>
      <w:lvlText w:val="(%1)"/>
      <w:numFmt w:val="lowerLetter"/>
      <w:start w:val="1"/>
    </w:lvl>
  </w:abstractNum>
  <w:abstractNum w:abstractNumId="129">
    <w:nsid w:val="779D8544"/>
    <w:multiLevelType w:val="hybridMultilevel"/>
    <w:lvl w:ilvl="0">
      <w:lvlJc w:val="left"/>
      <w:lvlText w:val="(%1)"/>
      <w:numFmt w:val="lowerLetter"/>
      <w:start w:val="2"/>
    </w:lvl>
  </w:abstractNum>
  <w:abstractNum w:abstractNumId="130">
    <w:nsid w:val="4AB26E78"/>
    <w:multiLevelType w:val="hybridMultilevel"/>
    <w:lvl w:ilvl="0">
      <w:lvlJc w:val="left"/>
      <w:lvlText w:val="(%1)"/>
      <w:numFmt w:val="lowerLetter"/>
      <w:start w:val="1"/>
    </w:lvl>
  </w:abstractNum>
  <w:abstractNum w:abstractNumId="131">
    <w:nsid w:val="21FAA2FA"/>
    <w:multiLevelType w:val="hybridMultilevel"/>
    <w:lvl w:ilvl="0">
      <w:lvlJc w:val="left"/>
      <w:lvlText w:val="(%1)"/>
      <w:numFmt w:val="lowerLetter"/>
      <w:start w:val="1"/>
    </w:lvl>
  </w:abstractNum>
  <w:abstractNum w:abstractNumId="132">
    <w:nsid w:val="5451CF49"/>
    <w:multiLevelType w:val="hybridMultilevel"/>
    <w:lvl w:ilvl="0">
      <w:lvlJc w:val="left"/>
      <w:lvlText w:val="(%1)"/>
      <w:numFmt w:val="lowerLetter"/>
      <w:start w:val="2"/>
    </w:lvl>
  </w:abstractNum>
  <w:abstractNum w:abstractNumId="133">
    <w:nsid w:val="6181EF69"/>
    <w:multiLevelType w:val="hybridMultilevel"/>
    <w:lvl w:ilvl="0">
      <w:lvlJc w:val="left"/>
      <w:lvlText w:val="(%1)"/>
      <w:numFmt w:val="lowerLetter"/>
      <w:start w:val="1"/>
    </w:lvl>
    <w:lvl w:ilvl="1">
      <w:lvlJc w:val="left"/>
      <w:lvlText w:val="(%2)"/>
      <w:numFmt w:val="lowerRoman"/>
      <w:start w:val="1"/>
    </w:lvl>
  </w:abstractNum>
  <w:abstractNum w:abstractNumId="134">
    <w:nsid w:val="3E6400E6"/>
    <w:multiLevelType w:val="hybridMultilevel"/>
    <w:lvl w:ilvl="0">
      <w:lvlJc w:val="left"/>
      <w:lvlText w:val="(%1)"/>
      <w:numFmt w:val="lowerLetter"/>
      <w:start w:val="4"/>
    </w:lvl>
  </w:abstractNum>
  <w:abstractNum w:abstractNumId="135">
    <w:nsid w:val="14217E23"/>
    <w:multiLevelType w:val="hybridMultilevel"/>
    <w:lvl w:ilvl="0">
      <w:lvlJc w:val="left"/>
      <w:lvlText w:val="(%1)"/>
      <w:numFmt w:val="lowerLetter"/>
      <w:start w:val="1"/>
    </w:lvl>
  </w:abstractNum>
  <w:abstractNum w:abstractNumId="136">
    <w:nsid w:val="710757D0"/>
    <w:multiLevelType w:val="hybridMultilevel"/>
    <w:lvl w:ilvl="0">
      <w:lvlJc w:val="left"/>
      <w:lvlText w:val="(%1)"/>
      <w:numFmt w:val="lowerLetter"/>
      <w:start w:val="1"/>
    </w:lvl>
  </w:abstractNum>
  <w:abstractNum w:abstractNumId="137">
    <w:nsid w:val="5015CD1A"/>
    <w:multiLevelType w:val="hybridMultilevel"/>
    <w:lvl w:ilvl="0">
      <w:lvlJc w:val="left"/>
      <w:lvlText w:val="%1"/>
      <w:numFmt w:val="lowerLetter"/>
      <w:start w:val="1"/>
    </w:lvl>
    <w:lvl w:ilvl="1">
      <w:lvlJc w:val="left"/>
      <w:lvlText w:val="(%2)"/>
      <w:numFmt w:val="lowerLetter"/>
      <w:start w:val="5"/>
    </w:lvl>
  </w:abstractNum>
  <w:abstractNum w:abstractNumId="138">
    <w:nsid w:val="424479DA"/>
    <w:multiLevelType w:val="hybridMultilevel"/>
    <w:lvl w:ilvl="0">
      <w:lvlJc w:val="left"/>
      <w:lvlText w:val="(%1)"/>
      <w:numFmt w:val="lowerLetter"/>
      <w:start w:val="2"/>
    </w:lvl>
    <w:lvl w:ilvl="1">
      <w:lvlJc w:val="left"/>
      <w:lvlText w:val="%2"/>
      <w:numFmt w:val="lowerLetter"/>
      <w:start w:val="1"/>
    </w:lvl>
  </w:abstractNum>
  <w:abstractNum w:abstractNumId="139">
    <w:nsid w:val="1A9A9E69"/>
    <w:multiLevelType w:val="hybridMultilevel"/>
    <w:lvl w:ilvl="0">
      <w:lvlJc w:val="left"/>
      <w:lvlText w:val="(%1)"/>
      <w:numFmt w:val="lowerLetter"/>
      <w:start w:val="1"/>
    </w:lvl>
  </w:abstractNum>
  <w:abstractNum w:abstractNumId="140">
    <w:nsid w:val="475E256A"/>
    <w:multiLevelType w:val="hybridMultilevel"/>
    <w:lvl w:ilvl="0">
      <w:lvlJc w:val="left"/>
      <w:lvlText w:val="(%1)"/>
      <w:numFmt w:val="lowerLetter"/>
      <w:start w:val="1"/>
    </w:lvl>
  </w:abstractNum>
  <w:abstractNum w:abstractNumId="141">
    <w:nsid w:val="368DB37E"/>
    <w:multiLevelType w:val="hybridMultilevel"/>
    <w:lvl w:ilvl="0">
      <w:lvlJc w:val="left"/>
      <w:lvlText w:val="(%1)"/>
      <w:numFmt w:val="lowerLetter"/>
      <w:start w:val="1"/>
    </w:lvl>
  </w:abstractNum>
  <w:abstractNum w:abstractNumId="142">
    <w:nsid w:val="6A3B714C"/>
    <w:multiLevelType w:val="hybridMultilevel"/>
    <w:lvl w:ilvl="0">
      <w:lvlJc w:val="left"/>
      <w:lvlText w:val="(%1)"/>
      <w:numFmt w:val="lowerLetter"/>
      <w:start w:val="2"/>
    </w:lvl>
  </w:abstractNum>
  <w:abstractNum w:abstractNumId="143">
    <w:nsid w:val="327B517E"/>
    <w:multiLevelType w:val="hybridMultilevel"/>
    <w:lvl w:ilvl="0">
      <w:lvlJc w:val="left"/>
      <w:lvlText w:val="(%1)"/>
      <w:numFmt w:val="lowerLetter"/>
      <w:start w:val="1"/>
    </w:lvl>
  </w:abstractNum>
  <w:abstractNum w:abstractNumId="144">
    <w:nsid w:val="1F461B51"/>
    <w:multiLevelType w:val="hybridMultilevel"/>
    <w:lvl w:ilvl="0">
      <w:lvlJc w:val="left"/>
      <w:lvlText w:val="(%1)"/>
      <w:numFmt w:val="lowerLetter"/>
      <w:start w:val="2"/>
    </w:lvl>
  </w:abstractNum>
  <w:abstractNum w:abstractNumId="145">
    <w:nsid w:val="29BACF25"/>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23"/>
    </w:lvl>
  </w:abstractNum>
  <w:abstractNum w:abstractNumId="146">
    <w:nsid w:val="5D5BABB3"/>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24"/>
    </w:lvl>
  </w:abstractNum>
  <w:abstractNum w:abstractNumId="147">
    <w:nsid w:val="51BF6B48"/>
    <w:multiLevelType w:val="hybridMultilevel"/>
    <w:lvl w:ilvl="0">
      <w:lvlJc w:val="left"/>
      <w:lvlText w:val="%1"/>
      <w:numFmt w:val="upperLetter"/>
      <w:start w:val="1"/>
    </w:lvl>
    <w:lvl w:ilvl="1">
      <w:lvlJc w:val="left"/>
      <w:lvlText w:val="(%2)"/>
      <w:numFmt w:val="lowerLetter"/>
      <w:start w:val="25"/>
    </w:lvl>
  </w:abstractNum>
  <w:abstractNum w:abstractNumId="148">
    <w:nsid w:val="7E0F6384"/>
    <w:multiLevelType w:val="hybridMultilevel"/>
    <w:lvl w:ilvl="0">
      <w:lvlJc w:val="left"/>
      <w:lvlText w:val="(%1)"/>
      <w:numFmt w:val="upperLetter"/>
      <w:start w:val="3"/>
    </w:lvl>
    <w:lvl w:ilvl="1">
      <w:lvlJc w:val="left"/>
      <w:lvlText w:val="(%2)"/>
      <w:numFmt w:val="lowerLetter"/>
      <w:start w:val="24"/>
    </w:lvl>
  </w:abstractNum>
  <w:abstractNum w:abstractNumId="149">
    <w:nsid w:val="2B4B8B53"/>
    <w:multiLevelType w:val="hybridMultilevel"/>
    <w:lvl w:ilvl="0">
      <w:lvlJc w:val="left"/>
      <w:lvlText w:val="(%1)"/>
      <w:numFmt w:val="lowerLetter"/>
      <w:start w:val="25"/>
    </w:lvl>
  </w:abstractNum>
  <w:abstractNum w:abstractNumId="150">
    <w:nsid w:val="72E3413A"/>
    <w:multiLevelType w:val="hybridMultilevel"/>
    <w:lvl w:ilvl="0">
      <w:lvlJc w:val="left"/>
      <w:lvlText w:val="(%1)"/>
      <w:numFmt w:val="upperLetter"/>
      <w:start w:val="6"/>
    </w:lvl>
  </w:abstractNum>
  <w:abstractNum w:abstractNumId="151">
    <w:nsid w:val="116AE494"/>
    <w:multiLevelType w:val="hybridMultilevel"/>
    <w:lvl w:ilvl="0">
      <w:lvlJc w:val="left"/>
      <w:lvlText w:val="(%1)"/>
      <w:numFmt w:val="lowerLetter"/>
      <w:start w:val="3"/>
    </w:lvl>
  </w:abstractNum>
  <w:abstractNum w:abstractNumId="152">
    <w:nsid w:val="3494B2FB"/>
    <w:multiLevelType w:val="hybridMultilevel"/>
    <w:lvl w:ilvl="0">
      <w:lvlJc w:val="left"/>
      <w:lvlText w:val="(%1)"/>
      <w:numFmt w:val="lowerLetter"/>
      <w:start w:val="1"/>
    </w:lvl>
  </w:abstractNum>
  <w:abstractNum w:abstractNumId="153">
    <w:nsid w:val="B13A31"/>
    <w:multiLevelType w:val="hybridMultilevel"/>
    <w:lvl w:ilvl="0">
      <w:lvlJc w:val="left"/>
      <w:lvlText w:val="(%1)"/>
      <w:numFmt w:val="lowerLetter"/>
      <w:start w:val="7"/>
    </w:lvl>
  </w:abstractNum>
  <w:abstractNum w:abstractNumId="154">
    <w:nsid w:val="64429599"/>
    <w:multiLevelType w:val="hybridMultilevel"/>
    <w:lvl w:ilvl="0">
      <w:lvlJc w:val="left"/>
      <w:lvlText w:val="(%1)"/>
      <w:numFmt w:val="lowerLetter"/>
      <w:start w:val="2"/>
    </w:lvl>
  </w:abstractNum>
  <w:abstractNum w:abstractNumId="155">
    <w:nsid w:val="631F1690"/>
    <w:multiLevelType w:val="hybridMultilevel"/>
    <w:lvl w:ilvl="0">
      <w:lvlJc w:val="left"/>
      <w:lvlText w:val="(%1)"/>
      <w:numFmt w:val="lowerRoman"/>
      <w:start w:val="1"/>
    </w:lvl>
  </w:abstractNum>
  <w:abstractNum w:abstractNumId="156">
    <w:nsid w:val="25973E32"/>
    <w:multiLevelType w:val="hybridMultilevel"/>
    <w:lvl w:ilvl="0">
      <w:lvlJc w:val="left"/>
      <w:lvlText w:val="(%1)"/>
      <w:numFmt w:val="lowerLetter"/>
      <w:start w:val="1"/>
    </w:lvl>
  </w:abstractNum>
  <w:abstractNum w:abstractNumId="157">
    <w:nsid w:val="EAD6F57"/>
    <w:multiLevelType w:val="hybridMultilevel"/>
    <w:lvl w:ilvl="0">
      <w:lvlJc w:val="left"/>
      <w:lvlText w:val="%1"/>
      <w:numFmt w:val="lowerLetter"/>
      <w:start w:val="1"/>
    </w:lvl>
    <w:lvl w:ilvl="1">
      <w:lvlJc w:val="left"/>
      <w:lvlText w:val="(%2)"/>
      <w:numFmt w:val="lowerLetter"/>
      <w:start w:val="5"/>
    </w:lvl>
  </w:abstractNum>
  <w:abstractNum w:abstractNumId="158">
    <w:nsid w:val="6EC9D844"/>
    <w:multiLevelType w:val="hybridMultilevel"/>
    <w:lvl w:ilvl="0">
      <w:lvlJc w:val="left"/>
      <w:lvlText w:val="(%1)"/>
      <w:numFmt w:val="lowerLetter"/>
      <w:start w:val="61"/>
    </w:lvl>
    <w:lvl w:ilvl="1">
      <w:lvlJc w:val="left"/>
      <w:lvlText w:val="%2"/>
      <w:numFmt w:val="lowerLetter"/>
      <w:start w:val="1"/>
    </w:lvl>
  </w:abstractNum>
  <w:abstractNum w:abstractNumId="159">
    <w:nsid w:val="5C49EAEE"/>
    <w:multiLevelType w:val="hybridMultilevel"/>
    <w:lvl w:ilvl="0">
      <w:lvlJc w:val="left"/>
      <w:lvlText w:val="(%1)"/>
      <w:numFmt w:val="lowerLetter"/>
      <w:start w:val="4"/>
    </w:lvl>
    <w:lvl w:ilvl="1">
      <w:lvlJc w:val="left"/>
      <w:lvlText w:val="(%2)"/>
      <w:numFmt w:val="lowerLetter"/>
      <w:start w:val="11"/>
    </w:lvl>
  </w:abstractNum>
  <w:abstractNum w:abstractNumId="160">
    <w:nsid w:val="64AF49B"/>
    <w:multiLevelType w:val="hybridMultilevel"/>
    <w:lvl w:ilvl="0">
      <w:lvlJc w:val="left"/>
      <w:lvlText w:val="(%1)"/>
      <w:numFmt w:val="lowerLetter"/>
      <w:start w:val="1"/>
    </w:lvl>
  </w:abstractNum>
  <w:abstractNum w:abstractNumId="161">
    <w:nsid w:val="397C46BC"/>
    <w:multiLevelType w:val="hybridMultilevel"/>
    <w:lvl w:ilvl="0">
      <w:lvlJc w:val="left"/>
      <w:lvlText w:val="%1"/>
      <w:numFmt w:val="lowerLetter"/>
      <w:start w:val="1"/>
    </w:lvl>
    <w:lvl w:ilvl="1">
      <w:lvlJc w:val="left"/>
      <w:lvlText w:val="(%2)"/>
      <w:numFmt w:val="lowerLetter"/>
      <w:start w:val="1"/>
    </w:lvl>
  </w:abstractNum>
  <w:abstractNum w:abstractNumId="162">
    <w:nsid w:val="7E448DE9"/>
    <w:multiLevelType w:val="hybridMultilevel"/>
    <w:lvl w:ilvl="0">
      <w:lvlJc w:val="left"/>
      <w:lvlText w:val="(%1)"/>
      <w:numFmt w:val="lowerLetter"/>
      <w:start w:val="9"/>
    </w:lvl>
    <w:lvl w:ilvl="1">
      <w:lvlJc w:val="left"/>
      <w:lvlText w:val="%2"/>
      <w:numFmt w:val="lowerLetter"/>
      <w:start w:val="1"/>
    </w:lvl>
  </w:abstractNum>
  <w:abstractNum w:abstractNumId="163">
    <w:nsid w:val="5A9CC3E5"/>
    <w:multiLevelType w:val="hybridMultilevel"/>
    <w:lvl w:ilvl="0">
      <w:lvlJc w:val="left"/>
      <w:lvlText w:val="(%1)"/>
      <w:numFmt w:val="lowerLetter"/>
      <w:start w:val="6"/>
    </w:lvl>
  </w:abstractNum>
  <w:abstractNum w:abstractNumId="164">
    <w:nsid w:val="1AFE3625"/>
    <w:multiLevelType w:val="hybridMultilevel"/>
    <w:lvl w:ilvl="0">
      <w:lvlJc w:val="left"/>
      <w:lvlText w:val="(%1)"/>
      <w:numFmt w:val="lowerLetter"/>
      <w:start w:val="1"/>
    </w:lvl>
  </w:abstractNum>
  <w:abstractNum w:abstractNumId="165">
    <w:nsid w:val="3CA88ECF"/>
    <w:multiLevelType w:val="hybridMultilevel"/>
    <w:lvl w:ilvl="0">
      <w:lvlJc w:val="left"/>
      <w:lvlText w:val="(%1)"/>
      <w:numFmt w:val="lowerLetter"/>
      <w:start w:val="7"/>
    </w:lvl>
  </w:abstractNum>
  <w:abstractNum w:abstractNumId="166">
    <w:nsid w:val="6EBE4208"/>
    <w:multiLevelType w:val="hybridMultilevel"/>
    <w:lvl w:ilvl="0">
      <w:lvlJc w:val="left"/>
      <w:lvlText w:val="(%1)"/>
      <w:numFmt w:val="lowerLetter"/>
      <w:start w:val="2"/>
    </w:lvl>
    <w:lvl w:ilvl="1">
      <w:lvlJc w:val="left"/>
      <w:lvlText w:val="(%2)"/>
      <w:numFmt w:val="lowerRoman"/>
      <w:start w:val="1"/>
    </w:lvl>
  </w:abstractNum>
  <w:abstractNum w:abstractNumId="167">
    <w:nsid w:val="C058DF5"/>
    <w:multiLevelType w:val="hybridMultilevel"/>
    <w:lvl w:ilvl="0">
      <w:lvlJc w:val="left"/>
      <w:lvlText w:val="%1"/>
      <w:numFmt w:val="lowerLetter"/>
      <w:start w:val="1"/>
    </w:lvl>
    <w:lvl w:ilvl="1">
      <w:lvlJc w:val="left"/>
      <w:lvlText w:val="(%2)"/>
      <w:numFmt w:val="lowerLetter"/>
      <w:start w:val="4"/>
    </w:lvl>
  </w:abstractNum>
  <w:abstractNum w:abstractNumId="168">
    <w:nsid w:val="CBE5BE9"/>
    <w:multiLevelType w:val="hybridMultilevel"/>
    <w:lvl w:ilvl="0">
      <w:lvlJc w:val="left"/>
      <w:lvlText w:val="(%1)"/>
      <w:numFmt w:val="lowerLetter"/>
      <w:start w:val="24"/>
    </w:lvl>
    <w:lvl w:ilvl="1">
      <w:lvlJc w:val="left"/>
      <w:lvlText w:val="%2"/>
      <w:numFmt w:val="lowerLetter"/>
      <w:start w:val="1"/>
    </w:lvl>
  </w:abstractNum>
  <w:abstractNum w:abstractNumId="169">
    <w:nsid w:val="3102BBE2"/>
    <w:multiLevelType w:val="hybridMultilevel"/>
    <w:lvl w:ilvl="0">
      <w:lvlJc w:val="left"/>
      <w:lvlText w:val="(%1)"/>
      <w:numFmt w:val="lowerLetter"/>
      <w:start w:val="35"/>
    </w:lvl>
    <w:lvl w:ilvl="1">
      <w:lvlJc w:val="left"/>
      <w:lvlText w:val="%2"/>
      <w:numFmt w:val="lowerLetter"/>
      <w:start w:val="1"/>
    </w:lvl>
  </w:abstractNum>
  <w:abstractNum w:abstractNumId="170">
    <w:nsid w:val="26A02C5E"/>
    <w:multiLevelType w:val="hybridMultilevel"/>
    <w:lvl w:ilvl="0">
      <w:lvlJc w:val="left"/>
      <w:lvlText w:val="(%1)"/>
      <w:numFmt w:val="lowerLetter"/>
      <w:start w:val="1"/>
    </w:lvl>
  </w:abstractNum>
  <w:abstractNum w:abstractNumId="171">
    <w:nsid w:val="541C8153"/>
    <w:multiLevelType w:val="hybridMultilevel"/>
    <w:lvl w:ilvl="0">
      <w:lvlJc w:val="left"/>
      <w:lvlText w:val="(%1)"/>
      <w:numFmt w:val="lowerLetter"/>
      <w:start w:val="2"/>
    </w:lvl>
  </w:abstractNum>
  <w:abstractNum w:abstractNumId="172">
    <w:nsid w:val="67906F60"/>
    <w:multiLevelType w:val="hybridMultilevel"/>
    <w:lvl w:ilvl="0">
      <w:lvlJc w:val="left"/>
      <w:lvlText w:val="(%1)"/>
      <w:numFmt w:val="lowerLetter"/>
      <w:start w:val="1"/>
    </w:lvl>
  </w:abstractNum>
  <w:abstractNum w:abstractNumId="173">
    <w:nsid w:val="10DB9DAA"/>
    <w:multiLevelType w:val="hybridMultilevel"/>
    <w:lvl w:ilvl="0">
      <w:lvlJc w:val="left"/>
      <w:lvlText w:val="(%1)"/>
      <w:numFmt w:val="lowerLetter"/>
      <w:start w:val="1"/>
    </w:lvl>
  </w:abstractNum>
  <w:abstractNum w:abstractNumId="174">
    <w:nsid w:val="697D2D2"/>
    <w:multiLevelType w:val="hybridMultilevel"/>
    <w:lvl w:ilvl="0">
      <w:lvlJc w:val="left"/>
      <w:lvlText w:val="(%1)"/>
      <w:numFmt w:val="lowerLetter"/>
      <w:start w:val="5"/>
    </w:lvl>
  </w:abstractNum>
  <w:abstractNum w:abstractNumId="175">
    <w:nsid w:val="6D68AB2"/>
    <w:multiLevelType w:val="hybridMultilevel"/>
    <w:lvl w:ilvl="0">
      <w:lvlJc w:val="left"/>
      <w:lvlText w:val="(%1)"/>
      <w:numFmt w:val="lowerLetter"/>
      <w:start w:val="11"/>
    </w:lvl>
  </w:abstractNum>
  <w:abstractNum w:abstractNumId="176">
    <w:nsid w:val="3A966CD0"/>
    <w:multiLevelType w:val="hybridMultilevel"/>
    <w:lvl w:ilvl="0">
      <w:lvlJc w:val="left"/>
      <w:lvlText w:val="(%1)"/>
      <w:numFmt w:val="lowerLetter"/>
      <w:start w:val="19"/>
    </w:lvl>
  </w:abstractNum>
  <w:abstractNum w:abstractNumId="177">
    <w:nsid w:val="63F37E85"/>
    <w:multiLevelType w:val="hybridMultilevel"/>
    <w:lvl w:ilvl="0">
      <w:lvlJc w:val="left"/>
      <w:lvlText w:val="(%1)"/>
      <w:numFmt w:val="lowerLetter"/>
      <w:start w:val="1"/>
    </w:lvl>
  </w:abstractNum>
  <w:abstractNum w:abstractNumId="178">
    <w:nsid w:val="5895F5FA"/>
    <w:multiLevelType w:val="hybridMultilevel"/>
    <w:lvl w:ilvl="0">
      <w:lvlJc w:val="left"/>
      <w:lvlText w:val="(%1)"/>
      <w:numFmt w:val="lowerLetter"/>
      <w:start w:val="2"/>
    </w:lvl>
  </w:abstractNum>
  <w:abstractNum w:abstractNumId="179">
    <w:nsid w:val="38A5D054"/>
    <w:multiLevelType w:val="hybridMultilevel"/>
    <w:lvl w:ilvl="0">
      <w:lvlJc w:val="left"/>
      <w:lvlText w:val="%1"/>
      <w:numFmt w:val="lowerLetter"/>
      <w:start w:val="1"/>
    </w:lvl>
    <w:lvl w:ilvl="1">
      <w:lvlJc w:val="left"/>
      <w:lvlText w:val="(%2)"/>
      <w:numFmt w:val="lowerRoman"/>
      <w:start w:val="1"/>
    </w:lvl>
  </w:abstractNum>
  <w:abstractNum w:abstractNumId="180">
    <w:nsid w:val="F3F09D8"/>
    <w:multiLevelType w:val="hybridMultilevel"/>
    <w:lvl w:ilvl="0">
      <w:lvlJc w:val="left"/>
      <w:lvlText w:val="(%1)"/>
      <w:numFmt w:val="lowerLetter"/>
      <w:start w:val="3"/>
    </w:lvl>
    <w:lvl w:ilvl="1">
      <w:lvlJc w:val="left"/>
      <w:lvlText w:val="%2"/>
      <w:numFmt w:val="lowerRoman"/>
      <w:start w:val="1"/>
    </w:lvl>
  </w:abstractNum>
  <w:abstractNum w:abstractNumId="181">
    <w:nsid w:val="4B793735"/>
    <w:multiLevelType w:val="hybridMultilevel"/>
    <w:lvl w:ilvl="0">
      <w:lvlJc w:val="left"/>
      <w:lvlText w:val="(%1)"/>
      <w:numFmt w:val="lowerLetter"/>
      <w:start w:val="5"/>
    </w:lvl>
  </w:abstractNum>
  <w:abstractNum w:abstractNumId="182">
    <w:nsid w:val="4A10B4E8"/>
    <w:multiLevelType w:val="hybridMultilevel"/>
    <w:lvl w:ilvl="0">
      <w:lvlJc w:val="left"/>
      <w:lvlText w:val="(%1)"/>
      <w:numFmt w:val="lowerLetter"/>
      <w:start w:val="1"/>
    </w:lvl>
    <w:lvl w:ilvl="1">
      <w:lvlJc w:val="left"/>
      <w:lvlText w:val="%2"/>
      <w:numFmt w:val="lowerLetter"/>
      <w:start w:val="1"/>
    </w:lvl>
  </w:abstractNum>
  <w:abstractNum w:abstractNumId="183">
    <w:nsid w:val="43D3BCD4"/>
    <w:multiLevelType w:val="hybridMultilevel"/>
    <w:lvl w:ilvl="0">
      <w:lvlJc w:val="left"/>
      <w:lvlText w:val="(%1)"/>
      <w:numFmt w:val="lowerLetter"/>
      <w:start w:val="9"/>
    </w:lvl>
    <w:lvl w:ilvl="1">
      <w:lvlJc w:val="left"/>
      <w:lvlText w:val="%2"/>
      <w:numFmt w:val="lowerLetter"/>
      <w:start w:val="1"/>
    </w:lvl>
  </w:abstractNum>
  <w:abstractNum w:abstractNumId="184">
    <w:nsid w:val="4C2A7166"/>
    <w:multiLevelType w:val="hybridMultilevel"/>
    <w:lvl w:ilvl="0">
      <w:lvlJc w:val="left"/>
      <w:lvlText w:val="%1"/>
      <w:numFmt w:val="lowerRoman"/>
      <w:start w:val="1"/>
    </w:lvl>
    <w:lvl w:ilvl="1">
      <w:lvlJc w:val="left"/>
      <w:lvlText w:val="%2"/>
      <w:numFmt w:val="decimal"/>
      <w:start w:val="590"/>
    </w:lvl>
  </w:abstractNum>
  <w:abstractNum w:abstractNumId="185">
    <w:nsid w:val="2E534A82"/>
    <w:multiLevelType w:val="hybridMultilevel"/>
    <w:lvl w:ilvl="0">
      <w:lvlJc w:val="left"/>
      <w:lvlText w:val="(%1)"/>
      <w:numFmt w:val="lowerRoman"/>
      <w:start w:val="2"/>
    </w:lvl>
    <w:lvl w:ilvl="1">
      <w:lvlJc w:val="left"/>
      <w:lvlText w:val="%2"/>
      <w:numFmt w:val="decimal"/>
      <w:start w:val="1"/>
    </w:lvl>
  </w:abstractNum>
  <w:abstractNum w:abstractNumId="186">
    <w:nsid w:val="26F2D364"/>
    <w:multiLevelType w:val="hybridMultilevel"/>
    <w:lvl w:ilvl="0">
      <w:lvlJc w:val="left"/>
      <w:lvlText w:val="(%1)"/>
      <w:numFmt w:val="lowerLetter"/>
      <w:start w:val="2"/>
    </w:lvl>
  </w:abstractNum>
  <w:abstractNum w:abstractNumId="187">
    <w:nsid w:val="71C1AF98"/>
    <w:multiLevelType w:val="hybridMultilevel"/>
    <w:lvl w:ilvl="0">
      <w:lvlJc w:val="left"/>
      <w:lvlText w:val="(%1)"/>
      <w:numFmt w:val="lowerRoman"/>
      <w:start w:val="1"/>
    </w:lvl>
  </w:abstractNum>
  <w:abstractNum w:abstractNumId="188">
    <w:nsid w:val="3D00B9D9"/>
    <w:multiLevelType w:val="hybridMultilevel"/>
    <w:lvl w:ilvl="0">
      <w:lvlJc w:val="left"/>
      <w:lvlText w:val="(%1)"/>
      <w:numFmt w:val="lowerLetter"/>
      <w:start w:val="3"/>
    </w:lvl>
  </w:abstractNum>
  <w:abstractNum w:abstractNumId="189">
    <w:nsid w:val="15BCABA8"/>
    <w:multiLevelType w:val="hybridMultilevel"/>
    <w:lvl w:ilvl="0">
      <w:lvlJc w:val="left"/>
      <w:lvlText w:val="(%1)"/>
      <w:numFmt w:val="lowerLetter"/>
      <w:start w:val="1"/>
    </w:lvl>
  </w:abstractNum>
  <w:abstractNum w:abstractNumId="190">
    <w:nsid w:val="4E0B9A87"/>
    <w:multiLevelType w:val="hybridMultilevel"/>
    <w:lvl w:ilvl="0">
      <w:lvlJc w:val="left"/>
      <w:lvlText w:val="(%1)"/>
      <w:numFmt w:val="lowerRoman"/>
      <w:start w:val="1"/>
    </w:lvl>
  </w:abstractNum>
  <w:abstractNum w:abstractNumId="191">
    <w:nsid w:val="434BAE75"/>
    <w:multiLevelType w:val="hybridMultilevel"/>
    <w:lvl w:ilvl="0">
      <w:lvlJc w:val="left"/>
      <w:lvlText w:val="(%1)"/>
      <w:numFmt w:val="lowerLetter"/>
      <w:start w:val="3"/>
    </w:lvl>
  </w:abstractNum>
  <w:abstractNum w:abstractNumId="192">
    <w:nsid w:val="4F38F265"/>
    <w:multiLevelType w:val="hybridMultilevel"/>
    <w:lvl w:ilvl="0">
      <w:lvlJc w:val="left"/>
      <w:lvlText w:val="(%1)"/>
      <w:numFmt w:val="lowerLetter"/>
      <w:start w:val="1"/>
    </w:lvl>
  </w:abstractNum>
  <w:abstractNum w:abstractNumId="193">
    <w:nsid w:val="4C502870"/>
    <w:multiLevelType w:val="hybridMultilevel"/>
    <w:lvl w:ilvl="0">
      <w:lvlJc w:val="left"/>
      <w:lvlText w:val="(%1)"/>
      <w:numFmt w:val="lowerLetter"/>
      <w:start w:val="2"/>
    </w:lvl>
  </w:abstractNum>
  <w:abstractNum w:abstractNumId="194">
    <w:nsid w:val="1DE8725A"/>
    <w:multiLevelType w:val="hybridMultilevel"/>
    <w:lvl w:ilvl="0">
      <w:lvlJc w:val="left"/>
      <w:lvlText w:val="(%1)"/>
      <w:numFmt w:val="upperLetter"/>
      <w:start w:val="1"/>
    </w:lvl>
    <w:lvl w:ilvl="1">
      <w:lvlJc w:val="left"/>
      <w:lvlText w:val="(%2)"/>
      <w:numFmt w:val="lowerLetter"/>
      <w:start w:val="3"/>
    </w:lvl>
  </w:abstractNum>
  <w:abstractNum w:abstractNumId="195">
    <w:nsid w:val="6A37288A"/>
    <w:multiLevelType w:val="hybridMultilevel"/>
    <w:lvl w:ilvl="0">
      <w:lvlJc w:val="left"/>
      <w:lvlText w:val="(%1)"/>
      <w:numFmt w:val="lowerLetter"/>
      <w:start w:val="6"/>
    </w:lvl>
  </w:abstractNum>
  <w:abstractNum w:abstractNumId="196">
    <w:nsid w:val="8F8B73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7">
    <w:nsid w:val="CA6B462"/>
    <w:multiLevelType w:val="hybridMultilevel"/>
    <w:lvl w:ilvl="0">
      <w:lvlJc w:val="left"/>
      <w:lvlText w:val="%1"/>
      <w:numFmt w:val="lowerRoman"/>
      <w:start w:val="1"/>
    </w:lvl>
    <w:lvl w:ilvl="1">
      <w:lvlJc w:val="left"/>
      <w:lvlText w:val="(%2)"/>
      <w:numFmt w:val="upperLetter"/>
      <w:start w:val="2"/>
    </w:lvl>
  </w:abstractNum>
  <w:abstractNum w:abstractNumId="198">
    <w:nsid w:val="763CB680"/>
    <w:multiLevelType w:val="hybridMultilevel"/>
    <w:lvl w:ilvl="0">
      <w:lvlJc w:val="left"/>
      <w:lvlText w:val="(%1)"/>
      <w:numFmt w:val="lowerRoman"/>
      <w:start w:val="3"/>
    </w:lvl>
    <w:lvl w:ilvl="1">
      <w:lvlJc w:val="left"/>
      <w:lvlText w:val="%2"/>
      <w:numFmt w:val="upperLetter"/>
      <w:start w:val="1"/>
    </w:lvl>
  </w:abstractNum>
  <w:abstractNum w:abstractNumId="199">
    <w:nsid w:val="15B71329"/>
    <w:multiLevelType w:val="hybridMultilevel"/>
    <w:lvl w:ilvl="0">
      <w:lvlJc w:val="left"/>
      <w:lvlText w:val="(%1)"/>
      <w:numFmt w:val="lowerLetter"/>
      <w:start w:val="3"/>
    </w:lvl>
  </w:abstractNum>
  <w:abstractNum w:abstractNumId="200">
    <w:nsid w:val="3DA97044"/>
    <w:multiLevelType w:val="hybridMultilevel"/>
    <w:lvl w:ilvl="0">
      <w:lvlJc w:val="left"/>
      <w:lvlText w:val="(%1)"/>
      <w:numFmt w:val="lowerLetter"/>
      <w:start w:val="6"/>
    </w:lvl>
  </w:abstractNum>
  <w:abstractNum w:abstractNumId="201">
    <w:nsid w:val="1CDCE2DE"/>
    <w:multiLevelType w:val="hybridMultilevel"/>
    <w:lvl w:ilvl="0">
      <w:lvlJc w:val="left"/>
      <w:lvlText w:val="(%1)"/>
      <w:numFmt w:val="lowerLetter"/>
      <w:start w:val="7"/>
    </w:lvl>
  </w:abstractNum>
  <w:abstractNum w:abstractNumId="202">
    <w:nsid w:val="69D3947C"/>
    <w:multiLevelType w:val="hybridMultilevel"/>
    <w:lvl w:ilvl="0">
      <w:lvlJc w:val="left"/>
      <w:lvlText w:val="(%1)"/>
      <w:numFmt w:val="lowerLetter"/>
      <w:start w:val="1"/>
    </w:lvl>
  </w:abstractNum>
  <w:abstractNum w:abstractNumId="203">
    <w:nsid w:val="2539DFA5"/>
    <w:multiLevelType w:val="hybridMultilevel"/>
    <w:lvl w:ilvl="0">
      <w:lvlJc w:val="left"/>
      <w:lvlText w:val="(%1)"/>
      <w:numFmt w:val="lowerLetter"/>
      <w:start w:val="2"/>
    </w:lvl>
  </w:abstractNum>
  <w:abstractNum w:abstractNumId="204">
    <w:nsid w:val="2DB88089"/>
    <w:multiLevelType w:val="hybridMultilevel"/>
    <w:lvl w:ilvl="0">
      <w:lvlJc w:val="left"/>
      <w:lvlText w:val="(%1)"/>
      <w:numFmt w:val="lowerLetter"/>
      <w:start w:val="4"/>
    </w:lvl>
  </w:abstractNum>
  <w:abstractNum w:abstractNumId="205">
    <w:nsid w:val="706B674E"/>
    <w:multiLevelType w:val="hybridMultilevel"/>
    <w:lvl w:ilvl="0">
      <w:lvlJc w:val="left"/>
      <w:lvlText w:val="(%1)"/>
      <w:numFmt w:val="lowerLetter"/>
      <w:start w:val="1"/>
    </w:lvl>
  </w:abstractNum>
  <w:abstractNum w:abstractNumId="206">
    <w:nsid w:val="2C106A57"/>
    <w:multiLevelType w:val="hybridMultilevel"/>
    <w:lvl w:ilvl="0">
      <w:lvlJc w:val="left"/>
      <w:lvlText w:val="%1"/>
      <w:numFmt w:val="lowerRoman"/>
      <w:start w:val="1"/>
    </w:lvl>
    <w:lvl w:ilvl="1">
      <w:lvlJc w:val="left"/>
      <w:lvlText w:val="(%2)"/>
      <w:numFmt w:val="lowerLetter"/>
      <w:start w:val="2"/>
    </w:lvl>
  </w:abstractNum>
  <w:abstractNum w:abstractNumId="207">
    <w:nsid w:val="684EED59"/>
    <w:multiLevelType w:val="hybridMultilevel"/>
    <w:lvl w:ilvl="0">
      <w:lvlJc w:val="left"/>
      <w:lvlText w:val="(%1)"/>
      <w:numFmt w:val="lowerRoman"/>
      <w:start w:val="4"/>
    </w:lvl>
    <w:lvl w:ilvl="1">
      <w:lvlJc w:val="left"/>
      <w:lvlText w:val="%2"/>
      <w:numFmt w:val="lowerLetter"/>
      <w:start w:val="1"/>
    </w:lvl>
  </w:abstractNum>
  <w:abstractNum w:abstractNumId="208">
    <w:nsid w:val="545EE5D3"/>
    <w:multiLevelType w:val="hybridMultilevel"/>
    <w:lvl w:ilvl="0">
      <w:lvlJc w:val="left"/>
      <w:lvlText w:val="(%1)"/>
      <w:numFmt w:val="lowerLetter"/>
      <w:start w:val="1"/>
    </w:lvl>
    <w:lvl w:ilvl="1">
      <w:lvlJc w:val="left"/>
      <w:lvlText w:val="(%2)"/>
      <w:numFmt w:val="lowerRoman"/>
      <w:start w:val="1"/>
    </w:lvl>
  </w:abstractNum>
  <w:abstractNum w:abstractNumId="209">
    <w:nsid w:val="4A6605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10">
    <w:nsid w:val="20F4BDA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211">
    <w:nsid w:val="639DEFAC"/>
    <w:multiLevelType w:val="hybridMultilevel"/>
    <w:lvl w:ilvl="0">
      <w:lvlJc w:val="left"/>
      <w:lvlText w:val="%1."/>
      <w:numFmt w:val="decimal"/>
      <w:start w:val="1"/>
    </w:lvl>
    <w:lvl w:ilvl="1">
      <w:lvlJc w:val="left"/>
      <w:lvlText w:val="%2."/>
      <w:numFmt w:val="decimal"/>
      <w:start w:val="2"/>
    </w:lvl>
  </w:abstractNum>
  <w:abstractNum w:abstractNumId="212">
    <w:nsid w:val="501F9786"/>
    <w:multiLevelType w:val="hybridMultilevel"/>
    <w:lvl w:ilvl="0">
      <w:lvlJc w:val="left"/>
      <w:lvlText w:val="%1."/>
      <w:numFmt w:val="decimal"/>
      <w:start w:val="4"/>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213">
    <w:nsid w:val="6B05729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214">
    <w:nsid w:val="2771AC80"/>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2"/>
    </w:lvl>
  </w:abstractNum>
  <w:abstractNum w:abstractNumId="215">
    <w:nsid w:val="1C4A08EC"/>
    <w:multiLevelType w:val="hybridMultilevel"/>
    <w:lvl w:ilvl="0">
      <w:lvlJc w:val="left"/>
      <w:lvlText w:val="%1."/>
      <w:numFmt w:val="decimal"/>
      <w:start w:val="1"/>
    </w:lvl>
    <w:lvl w:ilvl="1">
      <w:lvlJc w:val="left"/>
      <w:lvlText w:val="%2."/>
      <w:numFmt w:val="decimal"/>
      <w:start w:val="2"/>
    </w:lvl>
    <w:lvl w:ilvl="2">
      <w:lvlJc w:val="left"/>
      <w:lvlText w:val="%3)"/>
      <w:numFmt w:val="lowerLetter"/>
      <w:start w:val="2"/>
    </w:lvl>
    <w:lvl w:ilvl="3">
      <w:lvlJc w:val="left"/>
      <w:lvlText w:val="%4)"/>
      <w:numFmt w:val="lowerLetter"/>
      <w:start w:val="1"/>
    </w:lvl>
  </w:abstractNum>
  <w:abstractNum w:abstractNumId="216">
    <w:nsid w:val="1958BD1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217">
    <w:nsid w:val="4E647FE4"/>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2"/>
    </w:lvl>
  </w:abstractNum>
  <w:abstractNum w:abstractNumId="218">
    <w:nsid w:val="E0BB885"/>
    <w:multiLevelType w:val="hybridMultilevel"/>
    <w:lvl w:ilvl="0">
      <w:lvlJc w:val="left"/>
      <w:lvlText w:val="(%1)"/>
      <w:numFmt w:val="decimal"/>
      <w:start w:val="1"/>
    </w:lvl>
  </w:abstractNum>
  <w:abstractNum w:abstractNumId="219">
    <w:nsid w:val="565976F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76" Type="http://schemas.openxmlformats.org/officeDocument/2006/relationships/hyperlink" Target="https://www.sec.gov/Archives/edgar/data/1383414/000119312507075646/dex99a.htm" TargetMode="External"/><Relationship Id="rId77" Type="http://schemas.openxmlformats.org/officeDocument/2006/relationships/hyperlink" Target="https://www.sec.gov/Archives/edgar/data/1383414/000156459020024172/pnnt-ex32_163.htm" TargetMode="External"/><Relationship Id="rId78" Type="http://schemas.openxmlformats.org/officeDocument/2006/relationships/hyperlink" Target="https://www.sec.gov/Archives/edgar/data/1383414/000119312508072557/dex99d1.htm" TargetMode="External"/><Relationship Id="rId79" Type="http://schemas.openxmlformats.org/officeDocument/2006/relationships/hyperlink" Target="https://www.sec.gov/Archives/edgar/data/1383414/000119312524154397/d732456dex11.htm" TargetMode="External"/><Relationship Id="rId80" Type="http://schemas.openxmlformats.org/officeDocument/2006/relationships/hyperlink" Target="https://www.sec.gov/Archives/edgar/data/1383414/000119312524154397/d732456dex12.htm" TargetMode="External"/><Relationship Id="rId81" Type="http://schemas.openxmlformats.org/officeDocument/2006/relationships/hyperlink" Target="https://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2024-08-07T15:47:49Z</dcterms:created>
  <dcterms:modified xsi:type="dcterms:W3CDTF">2024-08-07T15:47:49Z</dcterms:modified>
</cp:coreProperties>
</file>