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107315</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127000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63" w:lineRule="exact"/>
        <w:rPr>
          <w:sz w:val="24"/>
          <w:szCs w:val="24"/>
          <w:color w:val="auto"/>
        </w:rPr>
      </w:pPr>
    </w:p>
    <w:p>
      <w:pPr>
        <w:spacing w:after="0"/>
        <w:rPr>
          <w:sz w:val="20"/>
          <w:szCs w:val="20"/>
          <w:color w:val="auto"/>
        </w:rPr>
      </w:pPr>
      <w:r>
        <w:rPr>
          <w:rFonts w:ascii="Arial" w:cs="Arial" w:eastAsia="Arial" w:hAnsi="Arial"/>
          <w:sz w:val="13"/>
          <w:szCs w:val="13"/>
          <w:color w:val="auto"/>
        </w:rPr>
        <w:t>(Mark One)</w:t>
      </w:r>
    </w:p>
    <w:p>
      <w:pPr>
        <w:spacing w:after="0" w:line="6" w:lineRule="exact"/>
        <w:rPr>
          <w:sz w:val="24"/>
          <w:szCs w:val="24"/>
          <w:color w:val="auto"/>
        </w:rPr>
      </w:pPr>
    </w:p>
    <w:p>
      <w:pPr>
        <w:ind w:left="460" w:right="300" w:hanging="452"/>
        <w:spacing w:after="0" w:line="23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DECEMBER 31,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8" w:lineRule="exact"/>
        <w:rPr>
          <w:sz w:val="24"/>
          <w:szCs w:val="24"/>
          <w:color w:val="auto"/>
        </w:rPr>
      </w:pPr>
    </w:p>
    <w:p>
      <w:pPr>
        <w:ind w:left="460" w:right="28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1" w:lineRule="exact"/>
        <w:rPr>
          <w:sz w:val="24"/>
          <w:szCs w:val="24"/>
          <w:color w:val="auto"/>
        </w:rPr>
      </w:pPr>
    </w:p>
    <w:p>
      <w:pPr>
        <w:ind w:left="3340"/>
        <w:spacing w:after="0"/>
        <w:tabs>
          <w:tab w:leader="none" w:pos="71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117475</wp:posOffset>
            </wp:positionV>
            <wp:extent cx="14916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PENNANTPARK INVESTMENT CORPORATION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113665</wp:posOffset>
            </wp:positionV>
            <wp:extent cx="1491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66" w:lineRule="exact"/>
        <w:rPr>
          <w:sz w:val="24"/>
          <w:szCs w:val="24"/>
          <w:color w:val="auto"/>
        </w:rPr>
      </w:pPr>
    </w:p>
    <w:tbl>
      <w:tblPr>
        <w:tblLayout w:type="fixed"/>
        <w:tblInd w:w="1660" w:type="dxa"/>
        <w:tblCellMar>
          <w:top w:w="0" w:type="dxa"/>
          <w:left w:w="0" w:type="dxa"/>
          <w:bottom w:w="0" w:type="dxa"/>
          <w:right w:w="0" w:type="dxa"/>
        </w:tblCellMar>
      </w:tblPr>
      <w:tr>
        <w:trPr>
          <w:trHeight w:val="218"/>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rPr>
              <w:t>MARYLAND</w:t>
            </w:r>
          </w:p>
        </w:tc>
        <w:tc>
          <w:tcPr>
            <w:tcW w:w="5000" w:type="dxa"/>
            <w:vAlign w:val="bottom"/>
          </w:tcPr>
          <w:p>
            <w:pPr>
              <w:jc w:val="right"/>
              <w:ind w:right="24"/>
              <w:spacing w:after="0"/>
              <w:rPr>
                <w:sz w:val="20"/>
                <w:szCs w:val="20"/>
                <w:color w:val="auto"/>
              </w:rPr>
            </w:pPr>
            <w:r>
              <w:rPr>
                <w:rFonts w:ascii="Arial" w:cs="Arial" w:eastAsia="Arial" w:hAnsi="Arial"/>
                <w:sz w:val="18"/>
                <w:szCs w:val="18"/>
                <w:b w:val="1"/>
                <w:bCs w:val="1"/>
                <w:color w:val="auto"/>
              </w:rPr>
              <w:t>20-8250744</w:t>
            </w:r>
          </w:p>
        </w:tc>
      </w:tr>
      <w:tr>
        <w:trPr>
          <w:trHeight w:val="149"/>
        </w:trPr>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4"/>
              </w:rPr>
              <w:t>(State or other jurisdiction of</w:t>
            </w:r>
          </w:p>
        </w:tc>
        <w:tc>
          <w:tcPr>
            <w:tcW w:w="5000" w:type="dxa"/>
            <w:vAlign w:val="bottom"/>
          </w:tcPr>
          <w:p>
            <w:pPr>
              <w:jc w:val="center"/>
              <w:ind w:left="386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4"/>
              </w:rPr>
              <w:t>incorporation or organization)</w:t>
            </w:r>
          </w:p>
        </w:tc>
        <w:tc>
          <w:tcPr>
            <w:tcW w:w="5000" w:type="dxa"/>
            <w:vAlign w:val="bottom"/>
          </w:tcPr>
          <w:p>
            <w:pPr>
              <w:jc w:val="center"/>
              <w:ind w:left="3864"/>
              <w:spacing w:after="0"/>
              <w:rPr>
                <w:sz w:val="20"/>
                <w:szCs w:val="20"/>
                <w:color w:val="auto"/>
              </w:rPr>
            </w:pPr>
            <w:r>
              <w:rPr>
                <w:rFonts w:ascii="Arial" w:cs="Arial" w:eastAsia="Arial" w:hAnsi="Arial"/>
                <w:sz w:val="13"/>
                <w:szCs w:val="13"/>
                <w:b w:val="1"/>
                <w:bCs w:val="1"/>
                <w:color w:val="auto"/>
                <w:w w:val="96"/>
              </w:rPr>
              <w:t>Identification No.)</w:t>
            </w:r>
          </w:p>
        </w:tc>
      </w:tr>
      <w:tr>
        <w:trPr>
          <w:trHeight w:val="418"/>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7"/>
              </w:rPr>
              <w:t>590 Madison Avenue, 15</w:t>
            </w:r>
            <w:r>
              <w:rPr>
                <w:rFonts w:ascii="Arial" w:cs="Arial" w:eastAsia="Arial" w:hAnsi="Arial"/>
                <w:sz w:val="11"/>
                <w:szCs w:val="11"/>
                <w:b w:val="1"/>
                <w:bCs w:val="1"/>
                <w:color w:val="auto"/>
                <w:w w:val="87"/>
              </w:rPr>
              <w:t>th</w:t>
            </w:r>
            <w:r>
              <w:rPr>
                <w:rFonts w:ascii="Arial" w:cs="Arial" w:eastAsia="Arial" w:hAnsi="Arial"/>
                <w:sz w:val="18"/>
                <w:szCs w:val="18"/>
                <w:b w:val="1"/>
                <w:bCs w:val="1"/>
                <w:color w:val="auto"/>
                <w:w w:val="87"/>
              </w:rPr>
              <w:t xml:space="preserve"> Floor</w:t>
            </w:r>
          </w:p>
        </w:tc>
        <w:tc>
          <w:tcPr>
            <w:tcW w:w="5000" w:type="dxa"/>
            <w:vAlign w:val="bottom"/>
          </w:tcPr>
          <w:p>
            <w:pPr>
              <w:spacing w:after="0"/>
              <w:rPr>
                <w:sz w:val="24"/>
                <w:szCs w:val="24"/>
                <w:color w:val="auto"/>
              </w:rPr>
            </w:pPr>
          </w:p>
        </w:tc>
      </w:tr>
      <w:tr>
        <w:trPr>
          <w:trHeight w:val="231"/>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1"/>
              </w:rPr>
              <w:t>New York, N.Y.</w:t>
            </w:r>
          </w:p>
        </w:tc>
        <w:tc>
          <w:tcPr>
            <w:tcW w:w="5000" w:type="dxa"/>
            <w:vAlign w:val="bottom"/>
          </w:tcPr>
          <w:p>
            <w:pPr>
              <w:jc w:val="right"/>
              <w:ind w:right="224"/>
              <w:spacing w:after="0"/>
              <w:rPr>
                <w:sz w:val="20"/>
                <w:szCs w:val="20"/>
                <w:color w:val="auto"/>
              </w:rPr>
            </w:pPr>
            <w:r>
              <w:rPr>
                <w:rFonts w:ascii="Arial" w:cs="Arial" w:eastAsia="Arial" w:hAnsi="Arial"/>
                <w:sz w:val="18"/>
                <w:szCs w:val="18"/>
                <w:b w:val="1"/>
                <w:bCs w:val="1"/>
                <w:color w:val="auto"/>
              </w:rPr>
              <w:t>10022</w:t>
            </w:r>
          </w:p>
        </w:tc>
      </w:tr>
      <w:tr>
        <w:trPr>
          <w:trHeight w:val="174"/>
        </w:trPr>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5000" w:type="dxa"/>
            <w:vAlign w:val="bottom"/>
          </w:tcPr>
          <w:p>
            <w:pPr>
              <w:jc w:val="center"/>
              <w:ind w:left="3864"/>
              <w:spacing w:after="0"/>
              <w:rPr>
                <w:sz w:val="20"/>
                <w:szCs w:val="20"/>
                <w:color w:val="auto"/>
              </w:rPr>
            </w:pPr>
            <w:r>
              <w:rPr>
                <w:rFonts w:ascii="Arial" w:cs="Arial" w:eastAsia="Arial" w:hAnsi="Arial"/>
                <w:sz w:val="13"/>
                <w:szCs w:val="13"/>
                <w:b w:val="1"/>
                <w:bCs w:val="1"/>
                <w:color w:val="auto"/>
                <w:w w:val="96"/>
              </w:rPr>
              <w:t>(Zip Code)</w:t>
            </w:r>
          </w:p>
        </w:tc>
      </w:tr>
      <w:tr>
        <w:trPr>
          <w:trHeight w:val="352"/>
        </w:trPr>
        <w:tc>
          <w:tcPr>
            <w:tcW w:w="2380" w:type="dxa"/>
            <w:vAlign w:val="bottom"/>
          </w:tcPr>
          <w:p>
            <w:pPr>
              <w:spacing w:after="0"/>
              <w:rPr>
                <w:sz w:val="24"/>
                <w:szCs w:val="24"/>
                <w:color w:val="auto"/>
              </w:rPr>
            </w:pPr>
          </w:p>
        </w:tc>
        <w:tc>
          <w:tcPr>
            <w:tcW w:w="5000" w:type="dxa"/>
            <w:vAlign w:val="bottom"/>
          </w:tcPr>
          <w:p>
            <w:pPr>
              <w:jc w:val="right"/>
              <w:ind w:right="2784"/>
              <w:spacing w:after="0"/>
              <w:rPr>
                <w:sz w:val="20"/>
                <w:szCs w:val="20"/>
                <w:color w:val="auto"/>
              </w:rPr>
            </w:pPr>
            <w:r>
              <w:rPr>
                <w:rFonts w:ascii="Arial" w:cs="Arial" w:eastAsia="Arial" w:hAnsi="Arial"/>
                <w:sz w:val="18"/>
                <w:szCs w:val="18"/>
                <w:b w:val="1"/>
                <w:bCs w:val="1"/>
                <w:color w:val="auto"/>
              </w:rPr>
              <w:t>(212)-905-1000</w:t>
            </w:r>
          </w:p>
        </w:tc>
      </w:tr>
      <w:tr>
        <w:trPr>
          <w:trHeight w:val="174"/>
        </w:trPr>
        <w:tc>
          <w:tcPr>
            <w:tcW w:w="2380" w:type="dxa"/>
            <w:vAlign w:val="bottom"/>
          </w:tcPr>
          <w:p>
            <w:pPr>
              <w:spacing w:after="0"/>
              <w:rPr>
                <w:sz w:val="15"/>
                <w:szCs w:val="15"/>
                <w:color w:val="auto"/>
              </w:rPr>
            </w:pPr>
          </w:p>
        </w:tc>
        <w:tc>
          <w:tcPr>
            <w:tcW w:w="5000" w:type="dxa"/>
            <w:vAlign w:val="bottom"/>
          </w:tcPr>
          <w:p>
            <w:pPr>
              <w:jc w:val="center"/>
              <w:ind w:right="1744"/>
              <w:spacing w:after="0"/>
              <w:rPr>
                <w:sz w:val="20"/>
                <w:szCs w:val="20"/>
                <w:color w:val="auto"/>
              </w:rPr>
            </w:pPr>
            <w:r>
              <w:rPr>
                <w:rFonts w:ascii="Arial" w:cs="Arial" w:eastAsia="Arial" w:hAnsi="Arial"/>
                <w:sz w:val="13"/>
                <w:szCs w:val="13"/>
                <w:b w:val="1"/>
                <w:bCs w:val="1"/>
                <w:color w:val="auto"/>
                <w:w w:val="93"/>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94615</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15" w:lineRule="exact"/>
        <w:rPr>
          <w:sz w:val="24"/>
          <w:szCs w:val="24"/>
          <w:color w:val="auto"/>
        </w:rPr>
      </w:pPr>
    </w:p>
    <w:p>
      <w:pPr>
        <w:ind w:right="120" w:firstLine="449"/>
        <w:spacing w:after="0" w:line="229"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37" w:lineRule="exact"/>
        <w:rPr>
          <w:sz w:val="24"/>
          <w:szCs w:val="24"/>
          <w:color w:val="auto"/>
        </w:rPr>
      </w:pPr>
    </w:p>
    <w:p>
      <w:pPr>
        <w:ind w:right="360" w:firstLine="449"/>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7" w:lineRule="exact"/>
        <w:rPr>
          <w:sz w:val="24"/>
          <w:szCs w:val="24"/>
          <w:color w:val="auto"/>
        </w:rPr>
      </w:pPr>
    </w:p>
    <w:p>
      <w:pPr>
        <w:ind w:right="300" w:firstLine="449"/>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1240"/>
          </w:cols>
          <w:pgMar w:left="320" w:top="230" w:right="339" w:bottom="1440" w:gutter="0" w:footer="0" w:header="0"/>
        </w:sectPr>
      </w:pPr>
    </w:p>
    <w:p>
      <w:pPr>
        <w:spacing w:after="0" w:line="172"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20"/>
            <w:col w:w="6100" w:space="720"/>
            <w:col w:w="1640" w:space="720"/>
            <w:col w:w="160"/>
          </w:cols>
          <w:pgMar w:left="320" w:top="230" w:right="3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00"/>
            <w:col w:w="160" w:space="80"/>
            <w:col w:w="5860" w:space="720"/>
            <w:col w:w="1920" w:space="440"/>
            <w:col w:w="160"/>
          </w:cols>
          <w:pgMar w:left="320" w:top="230" w:right="3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4">
            <w:col w:w="8440" w:space="160"/>
            <w:col w:w="260" w:space="80"/>
            <w:col w:w="160" w:space="180"/>
            <w:col w:w="1960"/>
          </w:cols>
          <w:pgMar w:left="320" w:top="230" w:right="339" w:bottom="1440" w:gutter="0" w:footer="0" w:header="0"/>
          <w:type w:val="continuous"/>
        </w:sectPr>
      </w:pPr>
    </w:p>
    <w:p>
      <w:pPr>
        <w:spacing w:after="0" w:line="6" w:lineRule="exact"/>
        <w:rPr>
          <w:sz w:val="24"/>
          <w:szCs w:val="24"/>
          <w:color w:val="auto"/>
        </w:rPr>
      </w:pPr>
    </w:p>
    <w:p>
      <w:pPr>
        <w:ind w:left="460"/>
        <w:spacing w:after="0"/>
        <w:rPr>
          <w:sz w:val="20"/>
          <w:szCs w:val="20"/>
          <w:color w:val="auto"/>
        </w:rPr>
      </w:pPr>
      <w:r>
        <w:rPr>
          <w:rFonts w:ascii="Arial" w:cs="Arial" w:eastAsia="Arial" w:hAnsi="Arial"/>
          <w:sz w:val="15"/>
          <w:szCs w:val="15"/>
          <w:color w:val="auto"/>
        </w:rPr>
        <w:t>The number of shares of the issuer’s common stock, $0.001 par value, outstanding as of February 6, 2013 was 66,401,248.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 ENDED DECEMBER 31, 2012</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940" w:type="dxa"/>
            <w:vAlign w:val="bottom"/>
          </w:tcPr>
          <w:p>
            <w:pPr>
              <w:ind w:left="314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CONSOLIDATED FINANCIAL INFORMATION</w:t>
              </w:r>
            </w:hyperlink>
          </w:p>
        </w:tc>
        <w:tc>
          <w:tcPr>
            <w:tcW w:w="1200" w:type="dxa"/>
            <w:vAlign w:val="bottom"/>
          </w:tcPr>
          <w:p>
            <w:pPr>
              <w:spacing w:after="0"/>
              <w:rPr>
                <w:sz w:val="19"/>
                <w:szCs w:val="19"/>
                <w:color w:val="auto"/>
              </w:rPr>
            </w:pPr>
          </w:p>
        </w:tc>
      </w:tr>
      <w:tr>
        <w:trPr>
          <w:trHeight w:val="324"/>
        </w:trPr>
        <w:tc>
          <w:tcPr>
            <w:tcW w:w="9940" w:type="dxa"/>
            <w:vAlign w:val="bottom"/>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Item 1. Consolidated Financial Statements</w:t>
              </w:r>
            </w:hyperlink>
          </w:p>
        </w:tc>
        <w:tc>
          <w:tcPr>
            <w:tcW w:w="1200" w:type="dxa"/>
            <w:vAlign w:val="bottom"/>
          </w:tcPr>
          <w:p>
            <w:pPr>
              <w:spacing w:after="0"/>
              <w:rPr>
                <w:sz w:val="24"/>
                <w:szCs w:val="24"/>
                <w:color w:val="auto"/>
              </w:rPr>
            </w:pPr>
          </w:p>
        </w:tc>
      </w:tr>
      <w:tr>
        <w:trPr>
          <w:trHeight w:val="324"/>
        </w:trPr>
        <w:tc>
          <w:tcPr>
            <w:tcW w:w="9940" w:type="dxa"/>
            <w:vAlign w:val="bottom"/>
          </w:tcPr>
          <w:p>
            <w:pPr>
              <w:ind w:left="4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Assets and Liabilities as of December 31, 2012 (unaudited) and September 30, 2012</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9940" w:type="dxa"/>
            <w:vAlign w:val="bottom"/>
          </w:tcPr>
          <w:p>
            <w:pPr>
              <w:ind w:left="4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Operations for the three months ended December 31, 2012 and 2011 (unaudited)</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9940" w:type="dxa"/>
            <w:vAlign w:val="bottom"/>
          </w:tcPr>
          <w:p>
            <w:pPr>
              <w:ind w:left="440"/>
              <w:spacing w:after="0"/>
              <w:rPr>
                <w:rFonts w:ascii="Arial" w:cs="Arial" w:eastAsia="Arial" w:hAnsi="Arial"/>
                <w:sz w:val="18"/>
                <w:szCs w:val="18"/>
                <w:u w:val="single" w:color="auto"/>
                <w:color w:val="0000EE"/>
                <w:w w:val="97"/>
              </w:rPr>
            </w:pPr>
            <w:hyperlink w:anchor="page6">
              <w:r>
                <w:rPr>
                  <w:rFonts w:ascii="Arial" w:cs="Arial" w:eastAsia="Arial" w:hAnsi="Arial"/>
                  <w:sz w:val="18"/>
                  <w:szCs w:val="18"/>
                  <w:u w:val="single" w:color="auto"/>
                  <w:color w:val="0000EE"/>
                  <w:w w:val="97"/>
                </w:rPr>
                <w:t>Consolidated Statements of Changes in Net Assets for the three months ended December 31, 2012 and 2011 (unaudited)</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9940" w:type="dxa"/>
            <w:vAlign w:val="bottom"/>
          </w:tcPr>
          <w:p>
            <w:pPr>
              <w:ind w:left="4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Consolidated Statements of Cash Flows for the three months ended December 31, 2012 and 2011 (unaudited)</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9940" w:type="dxa"/>
            <w:vAlign w:val="bottom"/>
          </w:tcPr>
          <w:p>
            <w:pPr>
              <w:ind w:left="4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Consolidated Schedules of Investments as of December 31, 2012 (unaudited) and September 30, 2012</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9940" w:type="dxa"/>
            <w:vAlign w:val="bottom"/>
          </w:tcPr>
          <w:p>
            <w:pPr>
              <w:ind w:left="44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Notes to Consolidated Financial Statements (unaudited)</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9940" w:type="dxa"/>
            <w:vAlign w:val="bottom"/>
          </w:tcPr>
          <w:p>
            <w:pPr>
              <w:ind w:left="44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Report of Independent Registered Public Accounting Firm</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9940" w:type="dxa"/>
            <w:vAlign w:val="bottom"/>
          </w:tcPr>
          <w:p>
            <w:pPr>
              <w:spacing w:after="0"/>
              <w:rPr>
                <w:rFonts w:ascii="Arial" w:cs="Arial" w:eastAsia="Arial" w:hAnsi="Arial"/>
                <w:sz w:val="18"/>
                <w:szCs w:val="18"/>
                <w:b w:val="1"/>
                <w:bCs w:val="1"/>
                <w:u w:val="single" w:color="auto"/>
                <w:color w:val="0000EE"/>
              </w:rPr>
            </w:pPr>
            <w:hyperlink w:anchor="page33">
              <w:r>
                <w:rPr>
                  <w:rFonts w:ascii="Arial" w:cs="Arial" w:eastAsia="Arial" w:hAnsi="Arial"/>
                  <w:sz w:val="18"/>
                  <w:szCs w:val="18"/>
                  <w:b w:val="1"/>
                  <w:bCs w:val="1"/>
                  <w:u w:val="single" w:color="auto"/>
                  <w:color w:val="0000EE"/>
                </w:rPr>
                <w:t>Item 2. Management’s Discussion and Analysis of Financial Condition and Results of Operations</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9940" w:type="dxa"/>
            <w:vAlign w:val="bottom"/>
          </w:tcPr>
          <w:p>
            <w:pPr>
              <w:spacing w:after="0"/>
              <w:rPr>
                <w:rFonts w:ascii="Arial" w:cs="Arial" w:eastAsia="Arial" w:hAnsi="Arial"/>
                <w:sz w:val="18"/>
                <w:szCs w:val="18"/>
                <w:b w:val="1"/>
                <w:bCs w:val="1"/>
                <w:u w:val="single" w:color="auto"/>
                <w:color w:val="0000EE"/>
              </w:rPr>
            </w:pPr>
            <w:hyperlink w:anchor="page44">
              <w:r>
                <w:rPr>
                  <w:rFonts w:ascii="Arial" w:cs="Arial" w:eastAsia="Arial" w:hAnsi="Arial"/>
                  <w:sz w:val="18"/>
                  <w:szCs w:val="18"/>
                  <w:b w:val="1"/>
                  <w:bCs w:val="1"/>
                  <w:u w:val="single" w:color="auto"/>
                  <w:color w:val="0000EE"/>
                </w:rPr>
                <w:t>Item 3. Quantitative And Qualitative Disclosures About Market Risk</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9940" w:type="dxa"/>
            <w:vAlign w:val="bottom"/>
          </w:tcPr>
          <w:p>
            <w:pPr>
              <w:spacing w:after="0"/>
              <w:rPr>
                <w:rFonts w:ascii="Arial" w:cs="Arial" w:eastAsia="Arial" w:hAnsi="Arial"/>
                <w:sz w:val="18"/>
                <w:szCs w:val="18"/>
                <w:b w:val="1"/>
                <w:bCs w:val="1"/>
                <w:u w:val="single" w:color="auto"/>
                <w:color w:val="0000EE"/>
              </w:rPr>
            </w:pPr>
            <w:hyperlink w:anchor="page44">
              <w:r>
                <w:rPr>
                  <w:rFonts w:ascii="Arial" w:cs="Arial" w:eastAsia="Arial" w:hAnsi="Arial"/>
                  <w:sz w:val="18"/>
                  <w:szCs w:val="18"/>
                  <w:b w:val="1"/>
                  <w:bCs w:val="1"/>
                  <w:u w:val="single" w:color="auto"/>
                  <w:color w:val="0000EE"/>
                </w:rPr>
                <w:t>Item 4. Controls and Procedures</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9940" w:type="dxa"/>
            <w:vAlign w:val="bottom"/>
          </w:tcPr>
          <w:p>
            <w:pPr>
              <w:ind w:left="4000"/>
              <w:spacing w:after="0"/>
              <w:rPr>
                <w:rFonts w:ascii="Arial" w:cs="Arial" w:eastAsia="Arial" w:hAnsi="Arial"/>
                <w:sz w:val="18"/>
                <w:szCs w:val="18"/>
                <w:b w:val="1"/>
                <w:bCs w:val="1"/>
                <w:u w:val="single" w:color="auto"/>
                <w:color w:val="0000EE"/>
              </w:rPr>
            </w:pPr>
            <w:hyperlink w:anchor="page45">
              <w:r>
                <w:rPr>
                  <w:rFonts w:ascii="Arial" w:cs="Arial" w:eastAsia="Arial" w:hAnsi="Arial"/>
                  <w:sz w:val="18"/>
                  <w:szCs w:val="18"/>
                  <w:b w:val="1"/>
                  <w:bCs w:val="1"/>
                  <w:u w:val="single" w:color="auto"/>
                  <w:color w:val="0000EE"/>
                </w:rPr>
                <w:t>PART II. OTHER INFORMATION</w:t>
              </w:r>
            </w:hyperlink>
          </w:p>
        </w:tc>
        <w:tc>
          <w:tcPr>
            <w:tcW w:w="1200" w:type="dxa"/>
            <w:vAlign w:val="bottom"/>
          </w:tcPr>
          <w:p>
            <w:pPr>
              <w:spacing w:after="0"/>
              <w:rPr>
                <w:sz w:val="24"/>
                <w:szCs w:val="24"/>
                <w:color w:val="auto"/>
              </w:rPr>
            </w:pPr>
          </w:p>
        </w:tc>
      </w:tr>
      <w:tr>
        <w:trPr>
          <w:trHeight w:val="324"/>
        </w:trPr>
        <w:tc>
          <w:tcPr>
            <w:tcW w:w="9940" w:type="dxa"/>
            <w:vAlign w:val="bottom"/>
          </w:tcPr>
          <w:p>
            <w:pPr>
              <w:spacing w:after="0"/>
              <w:rPr>
                <w:rFonts w:ascii="Arial" w:cs="Arial" w:eastAsia="Arial" w:hAnsi="Arial"/>
                <w:sz w:val="18"/>
                <w:szCs w:val="18"/>
                <w:b w:val="1"/>
                <w:bCs w:val="1"/>
                <w:u w:val="single" w:color="auto"/>
                <w:color w:val="0000EE"/>
              </w:rPr>
            </w:pPr>
            <w:hyperlink w:anchor="page45">
              <w:r>
                <w:rPr>
                  <w:rFonts w:ascii="Arial" w:cs="Arial" w:eastAsia="Arial" w:hAnsi="Arial"/>
                  <w:sz w:val="18"/>
                  <w:szCs w:val="18"/>
                  <w:b w:val="1"/>
                  <w:bCs w:val="1"/>
                  <w:u w:val="single" w:color="auto"/>
                  <w:color w:val="0000EE"/>
                </w:rPr>
                <w:t>Item 1. Legal Proceedings</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9940" w:type="dxa"/>
            <w:vAlign w:val="bottom"/>
          </w:tcPr>
          <w:p>
            <w:pPr>
              <w:spacing w:after="0"/>
              <w:rPr>
                <w:rFonts w:ascii="Arial" w:cs="Arial" w:eastAsia="Arial" w:hAnsi="Arial"/>
                <w:sz w:val="18"/>
                <w:szCs w:val="18"/>
                <w:b w:val="1"/>
                <w:bCs w:val="1"/>
                <w:u w:val="single" w:color="auto"/>
                <w:color w:val="0000EE"/>
              </w:rPr>
            </w:pPr>
            <w:hyperlink w:anchor="page45">
              <w:r>
                <w:rPr>
                  <w:rFonts w:ascii="Arial" w:cs="Arial" w:eastAsia="Arial" w:hAnsi="Arial"/>
                  <w:sz w:val="18"/>
                  <w:szCs w:val="18"/>
                  <w:b w:val="1"/>
                  <w:bCs w:val="1"/>
                  <w:u w:val="single" w:color="auto"/>
                  <w:color w:val="0000EE"/>
                </w:rPr>
                <w:t>Item 1A. Risk Factors</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9940" w:type="dxa"/>
            <w:vAlign w:val="bottom"/>
          </w:tcPr>
          <w:p>
            <w:pPr>
              <w:spacing w:after="0"/>
              <w:rPr>
                <w:rFonts w:ascii="Arial" w:cs="Arial" w:eastAsia="Arial" w:hAnsi="Arial"/>
                <w:sz w:val="18"/>
                <w:szCs w:val="18"/>
                <w:b w:val="1"/>
                <w:bCs w:val="1"/>
                <w:u w:val="single" w:color="auto"/>
                <w:color w:val="0000EE"/>
              </w:rPr>
            </w:pPr>
            <w:hyperlink w:anchor="page47">
              <w:r>
                <w:rPr>
                  <w:rFonts w:ascii="Arial" w:cs="Arial" w:eastAsia="Arial" w:hAnsi="Arial"/>
                  <w:sz w:val="18"/>
                  <w:szCs w:val="18"/>
                  <w:b w:val="1"/>
                  <w:bCs w:val="1"/>
                  <w:u w:val="single" w:color="auto"/>
                  <w:color w:val="0000EE"/>
                </w:rPr>
                <w:t>Item 2. Unregistered Sales of Equity Securities and Use of Proceeds</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9940" w:type="dxa"/>
            <w:vAlign w:val="bottom"/>
          </w:tcPr>
          <w:p>
            <w:pPr>
              <w:spacing w:after="0"/>
              <w:rPr>
                <w:rFonts w:ascii="Arial" w:cs="Arial" w:eastAsia="Arial" w:hAnsi="Arial"/>
                <w:sz w:val="18"/>
                <w:szCs w:val="18"/>
                <w:b w:val="1"/>
                <w:bCs w:val="1"/>
                <w:u w:val="single" w:color="auto"/>
                <w:color w:val="0000EE"/>
              </w:rPr>
            </w:pPr>
            <w:hyperlink w:anchor="page47">
              <w:r>
                <w:rPr>
                  <w:rFonts w:ascii="Arial" w:cs="Arial" w:eastAsia="Arial" w:hAnsi="Arial"/>
                  <w:sz w:val="18"/>
                  <w:szCs w:val="18"/>
                  <w:b w:val="1"/>
                  <w:bCs w:val="1"/>
                  <w:u w:val="single" w:color="auto"/>
                  <w:color w:val="0000EE"/>
                </w:rPr>
                <w:t>Item 3. Defaults Upon Senior Securities</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9940" w:type="dxa"/>
            <w:vAlign w:val="bottom"/>
          </w:tcPr>
          <w:p>
            <w:pPr>
              <w:spacing w:after="0"/>
              <w:rPr>
                <w:rFonts w:ascii="Arial" w:cs="Arial" w:eastAsia="Arial" w:hAnsi="Arial"/>
                <w:sz w:val="18"/>
                <w:szCs w:val="18"/>
                <w:b w:val="1"/>
                <w:bCs w:val="1"/>
                <w:u w:val="single" w:color="auto"/>
                <w:color w:val="0000EE"/>
              </w:rPr>
            </w:pPr>
            <w:hyperlink w:anchor="page47">
              <w:r>
                <w:rPr>
                  <w:rFonts w:ascii="Arial" w:cs="Arial" w:eastAsia="Arial" w:hAnsi="Arial"/>
                  <w:sz w:val="18"/>
                  <w:szCs w:val="18"/>
                  <w:b w:val="1"/>
                  <w:bCs w:val="1"/>
                  <w:u w:val="single" w:color="auto"/>
                  <w:color w:val="0000EE"/>
                </w:rPr>
                <w:t>Item 4. Reserved</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9940" w:type="dxa"/>
            <w:vAlign w:val="bottom"/>
          </w:tcPr>
          <w:p>
            <w:pPr>
              <w:spacing w:after="0"/>
              <w:rPr>
                <w:rFonts w:ascii="Arial" w:cs="Arial" w:eastAsia="Arial" w:hAnsi="Arial"/>
                <w:sz w:val="18"/>
                <w:szCs w:val="18"/>
                <w:b w:val="1"/>
                <w:bCs w:val="1"/>
                <w:u w:val="single" w:color="auto"/>
                <w:color w:val="0000EE"/>
              </w:rPr>
            </w:pPr>
            <w:hyperlink w:anchor="page47">
              <w:r>
                <w:rPr>
                  <w:rFonts w:ascii="Arial" w:cs="Arial" w:eastAsia="Arial" w:hAnsi="Arial"/>
                  <w:sz w:val="18"/>
                  <w:szCs w:val="18"/>
                  <w:b w:val="1"/>
                  <w:bCs w:val="1"/>
                  <w:u w:val="single" w:color="auto"/>
                  <w:color w:val="0000EE"/>
                </w:rPr>
                <w:t>Item 5. Other Information</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9940" w:type="dxa"/>
            <w:vAlign w:val="bottom"/>
          </w:tcPr>
          <w:p>
            <w:pPr>
              <w:spacing w:after="0"/>
              <w:rPr>
                <w:rFonts w:ascii="Arial" w:cs="Arial" w:eastAsia="Arial" w:hAnsi="Arial"/>
                <w:sz w:val="18"/>
                <w:szCs w:val="18"/>
                <w:b w:val="1"/>
                <w:bCs w:val="1"/>
                <w:u w:val="single" w:color="auto"/>
                <w:color w:val="0000EE"/>
              </w:rPr>
            </w:pPr>
            <w:hyperlink w:anchor="page48">
              <w:r>
                <w:rPr>
                  <w:rFonts w:ascii="Arial" w:cs="Arial" w:eastAsia="Arial" w:hAnsi="Arial"/>
                  <w:sz w:val="18"/>
                  <w:szCs w:val="18"/>
                  <w:b w:val="1"/>
                  <w:bCs w:val="1"/>
                  <w:u w:val="single" w:color="auto"/>
                  <w:color w:val="0000EE"/>
                </w:rPr>
                <w:t>Item 6. Exhibits</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9940" w:type="dxa"/>
            <w:vAlign w:val="bottom"/>
          </w:tcPr>
          <w:p>
            <w:pPr>
              <w:spacing w:after="0"/>
              <w:rPr>
                <w:rFonts w:ascii="Arial" w:cs="Arial" w:eastAsia="Arial" w:hAnsi="Arial"/>
                <w:sz w:val="18"/>
                <w:szCs w:val="18"/>
                <w:b w:val="1"/>
                <w:bCs w:val="1"/>
                <w:u w:val="single" w:color="auto"/>
                <w:color w:val="0000EE"/>
              </w:rPr>
            </w:pPr>
            <w:hyperlink w:anchor="page49">
              <w:r>
                <w:rPr>
                  <w:rFonts w:ascii="Arial" w:cs="Arial" w:eastAsia="Arial" w:hAnsi="Arial"/>
                  <w:sz w:val="18"/>
                  <w:szCs w:val="18"/>
                  <w:b w:val="1"/>
                  <w:bCs w:val="1"/>
                  <w:u w:val="single" w:color="auto"/>
                  <w:color w:val="0000EE"/>
                </w:rPr>
                <w:t>SIGNATURES</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47</w:t>
            </w:r>
          </w:p>
        </w:tc>
      </w:tr>
    </w:tbl>
    <w:p>
      <w:pPr>
        <w:sectPr>
          <w:pgSz w:w="11900" w:h="16838" w:orient="portrait"/>
          <w:cols w:equalWidth="0" w:num="1">
            <w:col w:w="11140"/>
          </w:cols>
          <w:pgMar w:left="32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I—CONSOLIDATED FINANCIAL INFORMATION</w:t>
      </w:r>
    </w:p>
    <w:p>
      <w:pPr>
        <w:spacing w:after="0" w:line="17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are filing this Form 10-Q, or the Report, in compliance with Rule 13a-13 promulgated by the Securities and Exchange Commission, or the SEC. In this Report, “we,” “our” or “us” refer to PennantPark Investment Corporation and its consolidated subsidiaries unless the context suggests otherwise. “PennantPark Investment” refers to only PennantPark Investment Corporation; “SBIC LP” and “SBIC II” or, collectively, “our SBIC Funds,” refers to our wholly owned, consolidated small business investment companies, or SBIC, subsidiaries, PennantPark SBIC LP and PennantPark SBIC II LP ; “PennantPark Investment Advisers” or “Investment Adviser” refers to PennantPark Investment Advisers, LLC; “PennantPark Investment Administration” or “Administrator” refers to PennantPark Investment Administration, LLC. References to our portfolio or investments include investments we make through our SBIC Funds and other consolidated subsidiaries. “SBA” refers to the Small Business Administration. “Credit Facility” refers to our multi-currency, senior secured revolving credit facility. “BDC” refers to a business development company under the Investment Company Act of 1940, as amended, or the 1940 Act.</w:t>
      </w:r>
    </w:p>
    <w:p>
      <w:pPr>
        <w:sectPr>
          <w:pgSz w:w="11900" w:h="16838" w:orient="portrait"/>
          <w:cols w:equalWidth="0" w:num="1">
            <w:col w:w="11180"/>
          </w:cols>
          <w:pgMar w:left="320" w:top="459" w:right="3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60" w:type="dxa"/>
            <w:vAlign w:val="bottom"/>
          </w:tcPr>
          <w:p>
            <w:pPr>
              <w:spacing w:after="0"/>
              <w:rPr>
                <w:sz w:val="13"/>
                <w:szCs w:val="13"/>
                <w:color w:val="auto"/>
              </w:rPr>
            </w:pPr>
          </w:p>
        </w:tc>
        <w:tc>
          <w:tcPr>
            <w:tcW w:w="1540" w:type="dxa"/>
            <w:vAlign w:val="bottom"/>
            <w:gridSpan w:val="3"/>
          </w:tcPr>
          <w:p>
            <w:pPr>
              <w:spacing w:after="0"/>
              <w:rPr>
                <w:sz w:val="20"/>
                <w:szCs w:val="20"/>
                <w:color w:val="auto"/>
              </w:rPr>
            </w:pPr>
            <w:r>
              <w:rPr>
                <w:rFonts w:ascii="Arial" w:cs="Arial" w:eastAsia="Arial" w:hAnsi="Arial"/>
                <w:sz w:val="13"/>
                <w:szCs w:val="13"/>
                <w:b w:val="1"/>
                <w:bCs w:val="1"/>
                <w:color w:val="auto"/>
              </w:rPr>
              <w:t>December 31, 2012</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3"/>
                <w:szCs w:val="13"/>
                <w:b w:val="1"/>
                <w:bCs w:val="1"/>
                <w:color w:val="auto"/>
              </w:rPr>
              <w:t>(unaudited)</w:t>
            </w:r>
          </w:p>
        </w:tc>
        <w:tc>
          <w:tcPr>
            <w:tcW w:w="1240" w:type="dxa"/>
            <w:vAlign w:val="bottom"/>
            <w:gridSpan w:val="3"/>
          </w:tcPr>
          <w:p>
            <w:pPr>
              <w:spacing w:after="0"/>
              <w:rPr>
                <w:sz w:val="20"/>
                <w:szCs w:val="20"/>
                <w:color w:val="auto"/>
              </w:rPr>
            </w:pPr>
            <w:r>
              <w:rPr>
                <w:rFonts w:ascii="Arial" w:cs="Arial" w:eastAsia="Arial" w:hAnsi="Arial"/>
                <w:sz w:val="13"/>
                <w:szCs w:val="13"/>
                <w:b w:val="1"/>
                <w:bCs w:val="1"/>
                <w:color w:val="auto"/>
              </w:rPr>
              <w:t>September 30, 2012</w:t>
            </w:r>
          </w:p>
        </w:tc>
        <w:tc>
          <w:tcPr>
            <w:tcW w:w="0" w:type="dxa"/>
            <w:vAlign w:val="bottom"/>
          </w:tcPr>
          <w:p>
            <w:pPr>
              <w:spacing w:after="0"/>
              <w:rPr>
                <w:sz w:val="1"/>
                <w:szCs w:val="1"/>
                <w:color w:val="auto"/>
              </w:rPr>
            </w:pPr>
          </w:p>
        </w:tc>
      </w:tr>
      <w:tr>
        <w:trPr>
          <w:trHeight w:val="196"/>
        </w:trPr>
        <w:tc>
          <w:tcPr>
            <w:tcW w:w="8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Non-controlled, non-affiliated investments, at fair value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(cost—$902,897,172 and $871,867,953, respectively)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931,419,104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871,892,745</w:t>
            </w:r>
          </w:p>
        </w:tc>
        <w:tc>
          <w:tcPr>
            <w:tcW w:w="0" w:type="dxa"/>
            <w:vAlign w:val="bottom"/>
          </w:tcPr>
          <w:p>
            <w:pPr>
              <w:spacing w:after="0"/>
              <w:rPr>
                <w:sz w:val="1"/>
                <w:szCs w:val="1"/>
                <w:color w:val="auto"/>
              </w:rPr>
            </w:pPr>
          </w:p>
        </w:tc>
      </w:tr>
      <w:tr>
        <w:trPr>
          <w:trHeight w:val="208"/>
        </w:trPr>
        <w:tc>
          <w:tcPr>
            <w:tcW w:w="8460" w:type="dxa"/>
            <w:vAlign w:val="bottom"/>
          </w:tcPr>
          <w:p>
            <w:pPr>
              <w:ind w:left="440"/>
              <w:spacing w:after="0"/>
              <w:rPr>
                <w:sz w:val="20"/>
                <w:szCs w:val="20"/>
                <w:color w:val="auto"/>
              </w:rPr>
            </w:pPr>
            <w:r>
              <w:rPr>
                <w:rFonts w:ascii="Arial" w:cs="Arial" w:eastAsia="Arial" w:hAnsi="Arial"/>
                <w:sz w:val="18"/>
                <w:szCs w:val="18"/>
                <w:color w:val="auto"/>
              </w:rPr>
              <w:t>Non-controlled, affiliated investments, at fair value</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60" w:type="dxa"/>
            <w:vAlign w:val="bottom"/>
          </w:tcPr>
          <w:p>
            <w:pPr>
              <w:ind w:left="660"/>
              <w:spacing w:after="0"/>
              <w:rPr>
                <w:sz w:val="20"/>
                <w:szCs w:val="20"/>
                <w:color w:val="auto"/>
              </w:rPr>
            </w:pPr>
            <w:r>
              <w:rPr>
                <w:rFonts w:ascii="Arial" w:cs="Arial" w:eastAsia="Arial" w:hAnsi="Arial"/>
                <w:sz w:val="18"/>
                <w:szCs w:val="18"/>
                <w:color w:val="auto"/>
              </w:rPr>
              <w:t>(cost—$105,925,644 and $72,576,858, respectively)</w:t>
            </w:r>
          </w:p>
        </w:tc>
        <w:tc>
          <w:tcPr>
            <w:tcW w:w="100" w:type="dxa"/>
            <w:vAlign w:val="bottom"/>
          </w:tcPr>
          <w:p>
            <w:pPr>
              <w:spacing w:after="0"/>
              <w:rPr>
                <w:sz w:val="19"/>
                <w:szCs w:val="19"/>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93,671,686</w:t>
            </w: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80,955,257</w:t>
            </w:r>
          </w:p>
        </w:tc>
        <w:tc>
          <w:tcPr>
            <w:tcW w:w="0" w:type="dxa"/>
            <w:vAlign w:val="bottom"/>
          </w:tcPr>
          <w:p>
            <w:pPr>
              <w:spacing w:after="0"/>
              <w:rPr>
                <w:sz w:val="1"/>
                <w:szCs w:val="1"/>
                <w:color w:val="auto"/>
              </w:rPr>
            </w:pPr>
          </w:p>
        </w:tc>
      </w:tr>
      <w:tr>
        <w:trPr>
          <w:trHeight w:val="209"/>
        </w:trPr>
        <w:tc>
          <w:tcPr>
            <w:tcW w:w="8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Controlled, affiliated investments, at fair value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(cost—$63,680,393 and $64,167,051, respectively)</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39,316,805</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37,631,708</w:t>
            </w:r>
          </w:p>
        </w:tc>
        <w:tc>
          <w:tcPr>
            <w:tcW w:w="0" w:type="dxa"/>
            <w:vAlign w:val="bottom"/>
          </w:tcPr>
          <w:p>
            <w:pPr>
              <w:spacing w:after="0"/>
              <w:rPr>
                <w:sz w:val="1"/>
                <w:szCs w:val="1"/>
                <w:color w:val="auto"/>
              </w:rPr>
            </w:pPr>
          </w:p>
        </w:tc>
      </w:tr>
      <w:tr>
        <w:trPr>
          <w:trHeight w:val="20"/>
        </w:trPr>
        <w:tc>
          <w:tcPr>
            <w:tcW w:w="8460" w:type="dxa"/>
            <w:vAlign w:val="bottom"/>
            <w:vMerge w:val="restart"/>
          </w:tcPr>
          <w:p>
            <w:pPr>
              <w:ind w:left="440"/>
              <w:spacing w:after="0"/>
              <w:rPr>
                <w:sz w:val="20"/>
                <w:szCs w:val="20"/>
                <w:color w:val="auto"/>
              </w:rPr>
            </w:pPr>
            <w:r>
              <w:rPr>
                <w:rFonts w:ascii="Arial" w:cs="Arial" w:eastAsia="Arial" w:hAnsi="Arial"/>
                <w:sz w:val="18"/>
                <w:szCs w:val="18"/>
                <w:color w:val="auto"/>
              </w:rPr>
              <w:t>Total of investments, at fair value (cost—$1,072,503,209 and $1,008,611,862, respectively)</w:t>
            </w: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w w:val="85"/>
              </w:rPr>
              <w:t>1,064,407,595</w:t>
            </w: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990,479,710</w:t>
            </w:r>
          </w:p>
        </w:tc>
        <w:tc>
          <w:tcPr>
            <w:tcW w:w="0" w:type="dxa"/>
            <w:vAlign w:val="bottom"/>
          </w:tcPr>
          <w:p>
            <w:pPr>
              <w:spacing w:after="0"/>
              <w:rPr>
                <w:sz w:val="1"/>
                <w:szCs w:val="1"/>
                <w:color w:val="auto"/>
              </w:rPr>
            </w:pPr>
          </w:p>
        </w:tc>
      </w:tr>
      <w:tr>
        <w:trPr>
          <w:trHeight w:val="217"/>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 (See Note 8)</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31,291,517</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7,559,453</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Interest receivable</w:t>
            </w:r>
          </w:p>
        </w:tc>
        <w:tc>
          <w:tcPr>
            <w:tcW w:w="10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10,815,263</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14,928,862</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5,635,205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5,999,506</w:t>
            </w:r>
          </w:p>
        </w:tc>
        <w:tc>
          <w:tcPr>
            <w:tcW w:w="0" w:type="dxa"/>
            <w:vAlign w:val="bottom"/>
          </w:tcPr>
          <w:p>
            <w:pPr>
              <w:spacing w:after="0"/>
              <w:rPr>
                <w:sz w:val="1"/>
                <w:szCs w:val="1"/>
                <w:color w:val="auto"/>
              </w:rPr>
            </w:pPr>
          </w:p>
        </w:tc>
      </w:tr>
      <w:tr>
        <w:trPr>
          <w:trHeight w:val="20"/>
        </w:trPr>
        <w:tc>
          <w:tcPr>
            <w:tcW w:w="846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w w:val="85"/>
              </w:rPr>
              <w:t>1,112,149,580</w:t>
            </w: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1,018,967,531</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Distributions payable</w:t>
            </w:r>
          </w:p>
        </w:tc>
        <w:tc>
          <w:tcPr>
            <w:tcW w:w="10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18,579,935</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15,824,061</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1,357,840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Unfunded investments</w:t>
            </w:r>
          </w:p>
        </w:tc>
        <w:tc>
          <w:tcPr>
            <w:tcW w:w="10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26,801,667</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26,935,270</w:t>
            </w:r>
          </w:p>
        </w:tc>
        <w:tc>
          <w:tcPr>
            <w:tcW w:w="0" w:type="dxa"/>
            <w:vAlign w:val="bottom"/>
          </w:tcPr>
          <w:p>
            <w:pPr>
              <w:spacing w:after="0"/>
              <w:rPr>
                <w:sz w:val="1"/>
                <w:szCs w:val="1"/>
                <w:color w:val="auto"/>
              </w:rPr>
            </w:pPr>
          </w:p>
        </w:tc>
      </w:tr>
      <w:tr>
        <w:trPr>
          <w:trHeight w:val="208"/>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payable (cost—$211,500,000 and $145,000,000, respectively)</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(See Notes 5 and 10)</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211,500,000</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144,452,500</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SBA debentures payable (cost—$150,000,000) (See Notes 5 and 10)</w:t>
            </w:r>
          </w:p>
        </w:tc>
        <w:tc>
          <w:tcPr>
            <w:tcW w:w="10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150,000,000</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150,000,000</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 on Credit Facility and SBA debentures</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2,451,109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854,725</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Management fee payable (See Note 3)</w:t>
            </w:r>
          </w:p>
        </w:tc>
        <w:tc>
          <w:tcPr>
            <w:tcW w:w="10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5,128,611</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4,791,913</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Performance-based incentive fee payable (See Note 3)</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4,545,254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4,206,989</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Accrued other expenses</w:t>
            </w:r>
          </w:p>
        </w:tc>
        <w:tc>
          <w:tcPr>
            <w:tcW w:w="10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3,282,743</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2,185,026</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6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423,647,159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349,250,484</w:t>
            </w: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8"/>
                <w:szCs w:val="18"/>
                <w:b w:val="1"/>
                <w:bCs w:val="1"/>
                <w:color w:val="auto"/>
              </w:rPr>
              <w:t>Net assets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Common stock, 66,356,911 and 65,514,503 shares issued and outstanding, respectively.</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Par value $0.001 per share and 100,000,000 shares authorized.</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66,356</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65,514</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Paid-in capital in excess of par value</w:t>
            </w:r>
          </w:p>
        </w:tc>
        <w:tc>
          <w:tcPr>
            <w:tcW w:w="10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753,528,106</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744,704,825</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2,405,478</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2,804,397</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Accumulated net realized loss on investments</w:t>
            </w:r>
          </w:p>
        </w:tc>
        <w:tc>
          <w:tcPr>
            <w:tcW w:w="10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rPr>
              <w:t>(59,401,905)</w:t>
            </w: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(60,273,037)</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investments</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(8,095,614)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(18,132,152)</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Net unrealized depreciation on Credit Facility</w:t>
            </w:r>
          </w:p>
        </w:tc>
        <w:tc>
          <w:tcPr>
            <w:tcW w:w="10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547,500</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6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net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688,502,421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669,717,047</w:t>
            </w:r>
          </w:p>
        </w:tc>
        <w:tc>
          <w:tcPr>
            <w:tcW w:w="0" w:type="dxa"/>
            <w:vAlign w:val="bottom"/>
          </w:tcPr>
          <w:p>
            <w:pPr>
              <w:spacing w:after="0"/>
              <w:rPr>
                <w:sz w:val="1"/>
                <w:szCs w:val="1"/>
                <w:color w:val="auto"/>
              </w:rPr>
            </w:pPr>
          </w:p>
        </w:tc>
      </w:tr>
      <w:tr>
        <w:trPr>
          <w:trHeight w:val="20"/>
        </w:trPr>
        <w:tc>
          <w:tcPr>
            <w:tcW w:w="846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Total liabilities and net assets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60" w:type="dxa"/>
            <w:vAlign w:val="bottom"/>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w w:val="85"/>
              </w:rPr>
              <w:t>1,112,149,580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1,018,967,531</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 value per share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10.38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PENNANTPARK INVESTMENT CORPORATION AND SUBSIDIARIES CONSOLIDATED STATEMENTS OF OPERATIONS (Unaudited)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jc w:val="right"/>
              <w:ind w:right="200"/>
              <w:spacing w:after="0"/>
              <w:rPr>
                <w:sz w:val="20"/>
                <w:szCs w:val="20"/>
                <w:color w:val="auto"/>
              </w:rPr>
            </w:pPr>
            <w:r>
              <w:rPr>
                <w:rFonts w:ascii="Arial" w:cs="Arial" w:eastAsia="Arial" w:hAnsi="Arial"/>
                <w:sz w:val="13"/>
                <w:szCs w:val="13"/>
                <w:b w:val="1"/>
                <w:bCs w:val="1"/>
                <w:color w:val="auto"/>
                <w:w w:val="91"/>
              </w:rPr>
              <w:t>Three months ended December 31,</w:t>
            </w:r>
          </w:p>
        </w:tc>
        <w:tc>
          <w:tcPr>
            <w:tcW w:w="0" w:type="dxa"/>
            <w:vAlign w:val="bottom"/>
          </w:tcPr>
          <w:p>
            <w:pPr>
              <w:spacing w:after="0"/>
              <w:rPr>
                <w:sz w:val="1"/>
                <w:szCs w:val="1"/>
                <w:color w:val="auto"/>
              </w:rPr>
            </w:pPr>
          </w:p>
        </w:tc>
      </w:tr>
      <w:tr>
        <w:trPr>
          <w:trHeight w:val="142"/>
        </w:trPr>
        <w:tc>
          <w:tcPr>
            <w:tcW w:w="89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3"/>
                <w:szCs w:val="13"/>
                <w:b w:val="1"/>
                <w:bCs w:val="1"/>
                <w:color w:val="auto"/>
              </w:rPr>
              <w:t>2012</w:t>
            </w:r>
          </w:p>
        </w:tc>
        <w:tc>
          <w:tcPr>
            <w:tcW w:w="3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25,768,617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24,020,424</w:t>
            </w:r>
          </w:p>
        </w:tc>
        <w:tc>
          <w:tcPr>
            <w:tcW w:w="0" w:type="dxa"/>
            <w:vAlign w:val="bottom"/>
          </w:tcPr>
          <w:p>
            <w:pPr>
              <w:spacing w:after="0"/>
              <w:rPr>
                <w:sz w:val="1"/>
                <w:szCs w:val="1"/>
                <w:color w:val="auto"/>
              </w:rPr>
            </w:pP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Other income and dividends</w:t>
            </w: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4,366,274</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1,870,514</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From non-controlled, affiliated investments: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Interest</w:t>
            </w: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1,392,503</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572,931</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227,800</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From controlled, affiliated investments: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1,202,707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374,889</w:t>
            </w:r>
          </w:p>
        </w:tc>
        <w:tc>
          <w:tcPr>
            <w:tcW w:w="0" w:type="dxa"/>
            <w:vAlign w:val="bottom"/>
          </w:tcPr>
          <w:p>
            <w:pPr>
              <w:spacing w:after="0"/>
              <w:rPr>
                <w:sz w:val="1"/>
                <w:szCs w:val="1"/>
                <w:color w:val="auto"/>
              </w:rPr>
            </w:pPr>
          </w:p>
        </w:tc>
      </w:tr>
      <w:tr>
        <w:trPr>
          <w:trHeight w:val="20"/>
        </w:trPr>
        <w:tc>
          <w:tcPr>
            <w:tcW w:w="894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Total investment income</w:t>
            </w: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32,957,901</w:t>
            </w:r>
          </w:p>
        </w:tc>
        <w:tc>
          <w:tcPr>
            <w:tcW w:w="1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26,838,758</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Base management fee (See Note 3)</w:t>
            </w: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5,128,611</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4,043,281</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Performance-based incentive fee (See Note 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4,545,254</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3,749,128</w:t>
            </w:r>
          </w:p>
        </w:tc>
        <w:tc>
          <w:tcPr>
            <w:tcW w:w="0" w:type="dxa"/>
            <w:vAlign w:val="bottom"/>
          </w:tcPr>
          <w:p>
            <w:pPr>
              <w:spacing w:after="0"/>
              <w:rPr>
                <w:sz w:val="1"/>
                <w:szCs w:val="1"/>
                <w:color w:val="auto"/>
              </w:rPr>
            </w:pP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Interest and expenses on Credit Facility and SBA debentures (See Note 10)</w:t>
            </w: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3,094,865</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2,375,123</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Administrative services expenses (See Note 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1,172,322</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797,353</w:t>
            </w:r>
          </w:p>
        </w:tc>
        <w:tc>
          <w:tcPr>
            <w:tcW w:w="0" w:type="dxa"/>
            <w:vAlign w:val="bottom"/>
          </w:tcPr>
          <w:p>
            <w:pPr>
              <w:spacing w:after="0"/>
              <w:rPr>
                <w:sz w:val="1"/>
                <w:szCs w:val="1"/>
                <w:color w:val="auto"/>
              </w:rPr>
            </w:pP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760,532</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842,345</w:t>
            </w:r>
          </w:p>
        </w:tc>
        <w:tc>
          <w:tcPr>
            <w:tcW w:w="0" w:type="dxa"/>
            <w:vAlign w:val="bottom"/>
          </w:tcPr>
          <w:p>
            <w:pPr>
              <w:spacing w:after="0"/>
              <w:rPr>
                <w:sz w:val="1"/>
                <w:szCs w:val="1"/>
                <w:color w:val="auto"/>
              </w:rPr>
            </w:pPr>
          </w:p>
        </w:tc>
      </w:tr>
      <w:tr>
        <w:trPr>
          <w:trHeight w:val="27"/>
        </w:trPr>
        <w:tc>
          <w:tcPr>
            <w:tcW w:w="8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Expenses before excise taxes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14,701,584</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11,807,230</w:t>
            </w:r>
          </w:p>
        </w:tc>
        <w:tc>
          <w:tcPr>
            <w:tcW w:w="0" w:type="dxa"/>
            <w:vAlign w:val="bottom"/>
          </w:tcPr>
          <w:p>
            <w:pPr>
              <w:spacing w:after="0"/>
              <w:rPr>
                <w:sz w:val="1"/>
                <w:szCs w:val="1"/>
                <w:color w:val="auto"/>
              </w:rPr>
            </w:pP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Excise tax</w:t>
            </w: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75,301</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7"/>
        </w:trPr>
        <w:tc>
          <w:tcPr>
            <w:tcW w:w="8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expenses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14,776,885</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11,842,230</w:t>
            </w:r>
          </w:p>
        </w:tc>
        <w:tc>
          <w:tcPr>
            <w:tcW w:w="0" w:type="dxa"/>
            <w:vAlign w:val="bottom"/>
          </w:tcPr>
          <w:p>
            <w:pPr>
              <w:spacing w:after="0"/>
              <w:rPr>
                <w:sz w:val="1"/>
                <w:szCs w:val="1"/>
                <w:color w:val="auto"/>
              </w:rPr>
            </w:pPr>
          </w:p>
        </w:tc>
      </w:tr>
      <w:tr>
        <w:trPr>
          <w:trHeight w:val="20"/>
        </w:trPr>
        <w:tc>
          <w:tcPr>
            <w:tcW w:w="894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Net investment income</w:t>
            </w: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18,181,016</w:t>
            </w:r>
          </w:p>
        </w:tc>
        <w:tc>
          <w:tcPr>
            <w:tcW w:w="1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14,996,528</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and unrealized gain (loss) on investments and Credit Facility:</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Net realized gain (loss) on non-controlled, non-affiliated investments</w:t>
            </w: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871,132</w:t>
            </w: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(8,029,555)</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Non-controlled, non-affiliated investments</w:t>
            </w: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6,062,321</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8,064,782</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Non-controlled and controlled, affiliated investments (See Note 6)</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3,974,217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1,961,644</w:t>
            </w:r>
          </w:p>
        </w:tc>
        <w:tc>
          <w:tcPr>
            <w:tcW w:w="0" w:type="dxa"/>
            <w:vAlign w:val="bottom"/>
          </w:tcPr>
          <w:p>
            <w:pPr>
              <w:spacing w:after="0"/>
              <w:rPr>
                <w:sz w:val="1"/>
                <w:szCs w:val="1"/>
                <w:color w:val="auto"/>
              </w:rPr>
            </w:pP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Credit Facility (appreciation) (See Notes 5 and 10)</w:t>
            </w:r>
          </w:p>
        </w:tc>
        <w:tc>
          <w:tcPr>
            <w:tcW w:w="1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(547,500)</w:t>
            </w: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(1,147,875)</w:t>
            </w:r>
          </w:p>
        </w:tc>
        <w:tc>
          <w:tcPr>
            <w:tcW w:w="0" w:type="dxa"/>
            <w:vAlign w:val="bottom"/>
          </w:tcPr>
          <w:p>
            <w:pPr>
              <w:spacing w:after="0"/>
              <w:rPr>
                <w:sz w:val="1"/>
                <w:szCs w:val="1"/>
                <w:color w:val="auto"/>
              </w:rPr>
            </w:pPr>
          </w:p>
        </w:tc>
      </w:tr>
      <w:tr>
        <w:trPr>
          <w:trHeight w:val="27"/>
        </w:trPr>
        <w:tc>
          <w:tcPr>
            <w:tcW w:w="8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change in unrealized appreciation</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9,489,038</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8,878,551</w:t>
            </w:r>
          </w:p>
        </w:tc>
        <w:tc>
          <w:tcPr>
            <w:tcW w:w="0" w:type="dxa"/>
            <w:vAlign w:val="bottom"/>
          </w:tcPr>
          <w:p>
            <w:pPr>
              <w:spacing w:after="0"/>
              <w:rPr>
                <w:sz w:val="1"/>
                <w:szCs w:val="1"/>
                <w:color w:val="auto"/>
              </w:rPr>
            </w:pPr>
          </w:p>
        </w:tc>
      </w:tr>
      <w:tr>
        <w:trPr>
          <w:trHeight w:val="20"/>
        </w:trPr>
        <w:tc>
          <w:tcPr>
            <w:tcW w:w="8940" w:type="dxa"/>
            <w:vAlign w:val="bottom"/>
            <w:vMerge w:val="restart"/>
          </w:tcPr>
          <w:p>
            <w:pPr>
              <w:spacing w:after="0"/>
              <w:rPr>
                <w:sz w:val="20"/>
                <w:szCs w:val="20"/>
                <w:color w:val="auto"/>
              </w:rPr>
            </w:pPr>
            <w:r>
              <w:rPr>
                <w:rFonts w:ascii="Arial" w:cs="Arial" w:eastAsia="Arial" w:hAnsi="Arial"/>
                <w:sz w:val="18"/>
                <w:szCs w:val="18"/>
                <w:color w:val="auto"/>
              </w:rPr>
              <w:t>Net realized and unrealized gain from investments and Credit Facility</w:t>
            </w: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10,360,170</w:t>
            </w:r>
          </w:p>
        </w:tc>
        <w:tc>
          <w:tcPr>
            <w:tcW w:w="1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848,996</w:t>
            </w:r>
          </w:p>
        </w:tc>
        <w:tc>
          <w:tcPr>
            <w:tcW w:w="0" w:type="dxa"/>
            <w:vAlign w:val="bottom"/>
          </w:tcPr>
          <w:p>
            <w:pPr>
              <w:spacing w:after="0"/>
              <w:rPr>
                <w:sz w:val="1"/>
                <w:szCs w:val="1"/>
                <w:color w:val="auto"/>
              </w:rPr>
            </w:pPr>
          </w:p>
        </w:tc>
      </w:tr>
      <w:tr>
        <w:trPr>
          <w:trHeight w:val="28"/>
        </w:trPr>
        <w:tc>
          <w:tcPr>
            <w:tcW w:w="8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28,541,186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15,845,524</w:t>
            </w:r>
          </w:p>
        </w:tc>
        <w:tc>
          <w:tcPr>
            <w:tcW w:w="0" w:type="dxa"/>
            <w:vAlign w:val="bottom"/>
          </w:tcPr>
          <w:p>
            <w:pPr>
              <w:spacing w:after="0"/>
              <w:rPr>
                <w:sz w:val="1"/>
                <w:szCs w:val="1"/>
                <w:color w:val="auto"/>
              </w:rPr>
            </w:pPr>
          </w:p>
        </w:tc>
      </w:tr>
      <w:tr>
        <w:trPr>
          <w:trHeight w:val="20"/>
        </w:trPr>
        <w:tc>
          <w:tcPr>
            <w:tcW w:w="8940" w:type="dxa"/>
            <w:vAlign w:val="bottom"/>
            <w:vMerge w:val="restart"/>
          </w:tcPr>
          <w:p>
            <w:pPr>
              <w:spacing w:after="0"/>
              <w:rPr>
                <w:sz w:val="20"/>
                <w:szCs w:val="20"/>
                <w:color w:val="auto"/>
              </w:rPr>
            </w:pPr>
            <w:r>
              <w:rPr>
                <w:rFonts w:ascii="Arial" w:cs="Arial" w:eastAsia="Arial" w:hAnsi="Arial"/>
                <w:sz w:val="18"/>
                <w:szCs w:val="18"/>
                <w:color w:val="auto"/>
              </w:rPr>
              <w:t>Net increase in net assets resulting from operations per common share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940" w:type="dxa"/>
            <w:vAlign w:val="bottom"/>
          </w:tcPr>
          <w:p>
            <w:pPr>
              <w:ind w:left="220"/>
              <w:spacing w:after="0"/>
              <w:rPr>
                <w:sz w:val="20"/>
                <w:szCs w:val="20"/>
                <w:color w:val="auto"/>
              </w:rPr>
            </w:pPr>
            <w:r>
              <w:rPr>
                <w:rFonts w:ascii="Arial" w:cs="Arial" w:eastAsia="Arial" w:hAnsi="Arial"/>
                <w:sz w:val="18"/>
                <w:szCs w:val="18"/>
                <w:color w:val="auto"/>
              </w:rPr>
              <w:t>(See Note 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0.44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PENNANTPARK INVESTMENT CORPORATION AND SUBSIDIARIES CONSOLIDATED STATEMENTS OF CHANGES IN NET ASSETS (Unaudited)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6"/>
          </w:tcPr>
          <w:p>
            <w:pPr>
              <w:jc w:val="right"/>
              <w:ind w:right="200"/>
              <w:spacing w:after="0"/>
              <w:rPr>
                <w:sz w:val="20"/>
                <w:szCs w:val="20"/>
                <w:color w:val="auto"/>
              </w:rPr>
            </w:pPr>
            <w:r>
              <w:rPr>
                <w:rFonts w:ascii="Arial" w:cs="Arial" w:eastAsia="Arial" w:hAnsi="Arial"/>
                <w:sz w:val="13"/>
                <w:szCs w:val="13"/>
                <w:b w:val="1"/>
                <w:bCs w:val="1"/>
                <w:color w:val="auto"/>
                <w:w w:val="95"/>
              </w:rPr>
              <w:t>Three Months Ended December 31,</w:t>
            </w:r>
          </w:p>
        </w:tc>
        <w:tc>
          <w:tcPr>
            <w:tcW w:w="0" w:type="dxa"/>
            <w:vAlign w:val="bottom"/>
          </w:tcPr>
          <w:p>
            <w:pPr>
              <w:spacing w:after="0"/>
              <w:rPr>
                <w:sz w:val="1"/>
                <w:szCs w:val="1"/>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3"/>
                <w:szCs w:val="13"/>
                <w:b w:val="1"/>
                <w:bCs w:val="1"/>
                <w:color w:val="auto"/>
              </w:rPr>
              <w:t>2012</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net assets from operations:</w:t>
            </w:r>
          </w:p>
        </w:tc>
        <w:tc>
          <w:tcPr>
            <w:tcW w:w="2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440"/>
              <w:spacing w:after="0"/>
              <w:rPr>
                <w:sz w:val="20"/>
                <w:szCs w:val="20"/>
                <w:color w:val="auto"/>
              </w:rPr>
            </w:pPr>
            <w:r>
              <w:rPr>
                <w:rFonts w:ascii="Arial" w:cs="Arial" w:eastAsia="Arial" w:hAnsi="Arial"/>
                <w:sz w:val="18"/>
                <w:szCs w:val="18"/>
                <w:color w:val="auto"/>
              </w:rPr>
              <w:t>Net investment income</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18,181,016</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14,996,528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realized gain (loss) on investments</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871,132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(8,029,555)</w:t>
            </w:r>
          </w:p>
        </w:tc>
        <w:tc>
          <w:tcPr>
            <w:tcW w:w="0" w:type="dxa"/>
            <w:vAlign w:val="bottom"/>
          </w:tcPr>
          <w:p>
            <w:pPr>
              <w:spacing w:after="0"/>
              <w:rPr>
                <w:sz w:val="1"/>
                <w:szCs w:val="1"/>
                <w:color w:val="auto"/>
              </w:rPr>
            </w:pPr>
          </w:p>
        </w:tc>
      </w:tr>
      <w:tr>
        <w:trPr>
          <w:trHeight w:val="216"/>
        </w:trPr>
        <w:tc>
          <w:tcPr>
            <w:tcW w:w="6640" w:type="dxa"/>
            <w:vAlign w:val="bottom"/>
          </w:tcPr>
          <w:p>
            <w:pPr>
              <w:ind w:left="440"/>
              <w:spacing w:after="0"/>
              <w:rPr>
                <w:sz w:val="20"/>
                <w:szCs w:val="20"/>
                <w:color w:val="auto"/>
              </w:rPr>
            </w:pPr>
            <w:r>
              <w:rPr>
                <w:rFonts w:ascii="Arial" w:cs="Arial" w:eastAsia="Arial" w:hAnsi="Arial"/>
                <w:sz w:val="18"/>
                <w:szCs w:val="18"/>
                <w:color w:val="auto"/>
              </w:rPr>
              <w:t>Net change in unrealized appreciation on investments</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10,036,538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10,026,426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change in unrealized appreciation on Credit Facility</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(547,500)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(1,147,875)</w:t>
            </w:r>
          </w:p>
        </w:tc>
        <w:tc>
          <w:tcPr>
            <w:tcW w:w="0" w:type="dxa"/>
            <w:vAlign w:val="bottom"/>
          </w:tcPr>
          <w:p>
            <w:pPr>
              <w:spacing w:after="0"/>
              <w:rPr>
                <w:sz w:val="1"/>
                <w:szCs w:val="1"/>
                <w:color w:val="auto"/>
              </w:rPr>
            </w:pPr>
          </w:p>
        </w:tc>
      </w:tr>
      <w:tr>
        <w:trPr>
          <w:trHeight w:val="230"/>
        </w:trPr>
        <w:tc>
          <w:tcPr>
            <w:tcW w:w="6640" w:type="dxa"/>
            <w:vAlign w:val="bottom"/>
          </w:tcPr>
          <w:p>
            <w:pPr>
              <w:ind w:left="44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2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28,541,186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15,845,524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 to stockholders:</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440"/>
              <w:spacing w:after="0"/>
              <w:rPr>
                <w:sz w:val="20"/>
                <w:szCs w:val="20"/>
                <w:color w:val="auto"/>
              </w:rPr>
            </w:pPr>
            <w:r>
              <w:rPr>
                <w:rFonts w:ascii="Arial" w:cs="Arial" w:eastAsia="Arial" w:hAnsi="Arial"/>
                <w:sz w:val="18"/>
                <w:szCs w:val="18"/>
                <w:color w:val="auto"/>
              </w:rPr>
              <w:t>Distribution</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(18,579,935)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(12,793,138)</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transactions:</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440"/>
              <w:spacing w:after="0"/>
              <w:rPr>
                <w:sz w:val="20"/>
                <w:szCs w:val="20"/>
                <w:color w:val="auto"/>
              </w:rPr>
            </w:pPr>
            <w:r>
              <w:rPr>
                <w:rFonts w:ascii="Arial" w:cs="Arial" w:eastAsia="Arial" w:hAnsi="Arial"/>
                <w:sz w:val="18"/>
                <w:szCs w:val="18"/>
                <w:color w:val="auto"/>
              </w:rPr>
              <w:t>Public offering</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7,574,000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Offering costs</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(265,090)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tcPr>
          <w:p>
            <w:pPr>
              <w:ind w:left="440"/>
              <w:spacing w:after="0"/>
              <w:rPr>
                <w:sz w:val="20"/>
                <w:szCs w:val="20"/>
                <w:color w:val="auto"/>
              </w:rPr>
            </w:pPr>
            <w:r>
              <w:rPr>
                <w:rFonts w:ascii="Arial" w:cs="Arial" w:eastAsia="Arial" w:hAnsi="Arial"/>
                <w:sz w:val="18"/>
                <w:szCs w:val="18"/>
                <w:color w:val="auto"/>
              </w:rPr>
              <w:t>Reinvestment of dividends</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1,515,213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increase from capital transactions</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8,824,123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640" w:type="dxa"/>
            <w:vAlign w:val="bottom"/>
          </w:tcPr>
          <w:p>
            <w:pPr>
              <w:spacing w:after="0"/>
              <w:rPr>
                <w:sz w:val="20"/>
                <w:szCs w:val="20"/>
                <w:color w:val="auto"/>
              </w:rPr>
            </w:pPr>
            <w:r>
              <w:rPr>
                <w:rFonts w:ascii="Arial" w:cs="Arial" w:eastAsia="Arial" w:hAnsi="Arial"/>
                <w:sz w:val="18"/>
                <w:szCs w:val="18"/>
                <w:b w:val="1"/>
                <w:bCs w:val="1"/>
                <w:color w:val="auto"/>
              </w:rPr>
              <w:t>Net increase in net assets</w:t>
            </w:r>
          </w:p>
        </w:tc>
        <w:tc>
          <w:tcPr>
            <w:tcW w:w="22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18,785,374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3,052,386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66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440"/>
              <w:spacing w:after="0"/>
              <w:rPr>
                <w:sz w:val="20"/>
                <w:szCs w:val="20"/>
                <w:color w:val="auto"/>
              </w:rPr>
            </w:pPr>
            <w:r>
              <w:rPr>
                <w:rFonts w:ascii="Arial" w:cs="Arial" w:eastAsia="Arial" w:hAnsi="Arial"/>
                <w:sz w:val="18"/>
                <w:szCs w:val="18"/>
                <w:color w:val="auto"/>
              </w:rPr>
              <w:t>Beginning of period</w:t>
            </w:r>
          </w:p>
        </w:tc>
        <w:tc>
          <w:tcPr>
            <w:tcW w:w="2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669,717,047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462,657,196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End of period</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688,502,421</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465,709,582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ind w:left="440"/>
              <w:spacing w:after="0"/>
              <w:rPr>
                <w:sz w:val="20"/>
                <w:szCs w:val="20"/>
                <w:color w:val="auto"/>
              </w:rPr>
            </w:pPr>
            <w:r>
              <w:rPr>
                <w:rFonts w:ascii="Arial" w:cs="Arial" w:eastAsia="Arial" w:hAnsi="Arial"/>
                <w:sz w:val="18"/>
                <w:szCs w:val="18"/>
                <w:color w:val="auto"/>
              </w:rPr>
              <w:t>Undistributed net investment income, at end of period</w:t>
            </w:r>
          </w:p>
        </w:tc>
        <w:tc>
          <w:tcPr>
            <w:tcW w:w="2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40" w:type="dxa"/>
            <w:vAlign w:val="bottom"/>
            <w:vMerge w:val="continue"/>
          </w:tcPr>
          <w:p>
            <w:pPr>
              <w:spacing w:after="0"/>
              <w:rPr>
                <w:sz w:val="19"/>
                <w:szCs w:val="19"/>
                <w:color w:val="auto"/>
              </w:rPr>
            </w:pP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2,405,478</w:t>
            </w:r>
          </w:p>
        </w:tc>
        <w:tc>
          <w:tcPr>
            <w:tcW w:w="2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10,530,244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6640" w:type="dxa"/>
            <w:vAlign w:val="bottom"/>
          </w:tcPr>
          <w:p>
            <w:pPr>
              <w:spacing w:after="0"/>
              <w:rPr>
                <w:sz w:val="8"/>
                <w:szCs w:val="8"/>
                <w:color w:val="auto"/>
              </w:rPr>
            </w:pPr>
          </w:p>
        </w:tc>
        <w:tc>
          <w:tcPr>
            <w:tcW w:w="2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activity:</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440"/>
              <w:spacing w:after="0"/>
              <w:rPr>
                <w:sz w:val="20"/>
                <w:szCs w:val="20"/>
                <w:color w:val="auto"/>
              </w:rPr>
            </w:pPr>
            <w:r>
              <w:rPr>
                <w:rFonts w:ascii="Arial" w:cs="Arial" w:eastAsia="Arial" w:hAnsi="Arial"/>
                <w:sz w:val="18"/>
                <w:szCs w:val="18"/>
                <w:color w:val="auto"/>
              </w:rPr>
              <w:t>Shares issued from public offering</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Shares issued from reinvestment of dividends</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142,408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PENNANTPARK INVESTMENT CORPORATION AND SUBSIDIARIES CONSOLIDATED STATEMENTS OF CASH FLOWS (Unaudited)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6"/>
          </w:tcPr>
          <w:p>
            <w:pPr>
              <w:jc w:val="right"/>
              <w:ind w:right="380"/>
              <w:spacing w:after="0"/>
              <w:rPr>
                <w:sz w:val="20"/>
                <w:szCs w:val="20"/>
                <w:color w:val="auto"/>
              </w:rPr>
            </w:pPr>
            <w:r>
              <w:rPr>
                <w:rFonts w:ascii="Arial" w:cs="Arial" w:eastAsia="Arial" w:hAnsi="Arial"/>
                <w:sz w:val="13"/>
                <w:szCs w:val="13"/>
                <w:b w:val="1"/>
                <w:bCs w:val="1"/>
                <w:color w:val="auto"/>
              </w:rPr>
              <w:t>Three Months Ended December 31,</w:t>
            </w:r>
          </w:p>
        </w:tc>
        <w:tc>
          <w:tcPr>
            <w:tcW w:w="0" w:type="dxa"/>
            <w:vAlign w:val="bottom"/>
          </w:tcPr>
          <w:p>
            <w:pPr>
              <w:spacing w:after="0"/>
              <w:rPr>
                <w:sz w:val="1"/>
                <w:szCs w:val="1"/>
                <w:color w:val="auto"/>
              </w:rPr>
            </w:pPr>
          </w:p>
        </w:tc>
      </w:tr>
      <w:tr>
        <w:trPr>
          <w:trHeight w:val="142"/>
        </w:trPr>
        <w:tc>
          <w:tcPr>
            <w:tcW w:w="85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3"/>
                <w:szCs w:val="13"/>
                <w:b w:val="1"/>
                <w:bCs w:val="1"/>
                <w:color w:val="auto"/>
              </w:rPr>
              <w:t>2012</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28,541,186</w:t>
            </w:r>
          </w:p>
        </w:tc>
        <w:tc>
          <w:tcPr>
            <w:tcW w:w="3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15,845,524</w:t>
            </w:r>
          </w:p>
        </w:tc>
        <w:tc>
          <w:tcPr>
            <w:tcW w:w="0" w:type="dxa"/>
            <w:vAlign w:val="bottom"/>
          </w:tcPr>
          <w:p>
            <w:pPr>
              <w:spacing w:after="0"/>
              <w:rPr>
                <w:sz w:val="1"/>
                <w:szCs w:val="1"/>
                <w:color w:val="auto"/>
              </w:rPr>
            </w:pPr>
          </w:p>
        </w:tc>
      </w:tr>
      <w:tr>
        <w:trPr>
          <w:trHeight w:val="208"/>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Adjustments to reconcile net increase in net assets resulting from operations to net cash (used for) provided</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5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by operating activities:</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880"/>
              <w:spacing w:after="0"/>
              <w:rPr>
                <w:sz w:val="20"/>
                <w:szCs w:val="20"/>
                <w:color w:val="auto"/>
              </w:rPr>
            </w:pPr>
            <w:r>
              <w:rPr>
                <w:rFonts w:ascii="Arial" w:cs="Arial" w:eastAsia="Arial" w:hAnsi="Arial"/>
                <w:sz w:val="18"/>
                <w:szCs w:val="18"/>
                <w:color w:val="auto"/>
              </w:rPr>
              <w:t>Net change in net unrealized (appreciation) on investments</w:t>
            </w:r>
          </w:p>
        </w:tc>
        <w:tc>
          <w:tcPr>
            <w:tcW w:w="1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(10,036,538)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(10,026,426)</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change in unrealized appreciation on Credit Facility</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547,500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1,147,875</w:t>
            </w:r>
          </w:p>
        </w:tc>
        <w:tc>
          <w:tcPr>
            <w:tcW w:w="0" w:type="dxa"/>
            <w:vAlign w:val="bottom"/>
          </w:tcPr>
          <w:p>
            <w:pPr>
              <w:spacing w:after="0"/>
              <w:rPr>
                <w:sz w:val="1"/>
                <w:szCs w:val="1"/>
                <w:color w:val="auto"/>
              </w:rPr>
            </w:pPr>
          </w:p>
        </w:tc>
      </w:tr>
      <w:tr>
        <w:trPr>
          <w:trHeight w:val="216"/>
        </w:trPr>
        <w:tc>
          <w:tcPr>
            <w:tcW w:w="8520" w:type="dxa"/>
            <w:vAlign w:val="bottom"/>
          </w:tcPr>
          <w:p>
            <w:pPr>
              <w:ind w:left="880"/>
              <w:spacing w:after="0"/>
              <w:rPr>
                <w:sz w:val="20"/>
                <w:szCs w:val="20"/>
                <w:color w:val="auto"/>
              </w:rPr>
            </w:pPr>
            <w:r>
              <w:rPr>
                <w:rFonts w:ascii="Arial" w:cs="Arial" w:eastAsia="Arial" w:hAnsi="Arial"/>
                <w:sz w:val="18"/>
                <w:szCs w:val="18"/>
                <w:color w:val="auto"/>
              </w:rPr>
              <w:t>Net realized (gain) loss on investments</w:t>
            </w:r>
          </w:p>
        </w:tc>
        <w:tc>
          <w:tcPr>
            <w:tcW w:w="1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(871,132)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8,029,555</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accretion of discount and amortization of premium</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(1,451,536)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(4,098,587)</w:t>
            </w:r>
          </w:p>
        </w:tc>
        <w:tc>
          <w:tcPr>
            <w:tcW w:w="0" w:type="dxa"/>
            <w:vAlign w:val="bottom"/>
          </w:tcPr>
          <w:p>
            <w:pPr>
              <w:spacing w:after="0"/>
              <w:rPr>
                <w:sz w:val="1"/>
                <w:szCs w:val="1"/>
                <w:color w:val="auto"/>
              </w:rPr>
            </w:pPr>
          </w:p>
        </w:tc>
      </w:tr>
      <w:tr>
        <w:trPr>
          <w:trHeight w:val="216"/>
        </w:trPr>
        <w:tc>
          <w:tcPr>
            <w:tcW w:w="8520" w:type="dxa"/>
            <w:vAlign w:val="bottom"/>
          </w:tcPr>
          <w:p>
            <w:pPr>
              <w:ind w:left="880"/>
              <w:spacing w:after="0"/>
              <w:rPr>
                <w:sz w:val="20"/>
                <w:szCs w:val="20"/>
                <w:color w:val="auto"/>
              </w:rPr>
            </w:pPr>
            <w:r>
              <w:rPr>
                <w:rFonts w:ascii="Arial" w:cs="Arial" w:eastAsia="Arial" w:hAnsi="Arial"/>
                <w:sz w:val="18"/>
                <w:szCs w:val="18"/>
                <w:color w:val="auto"/>
              </w:rPr>
              <w:t>Purchases of investments</w:t>
            </w:r>
          </w:p>
        </w:tc>
        <w:tc>
          <w:tcPr>
            <w:tcW w:w="1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(168,396,168)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(43,003,570)</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Payment-in-kind</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(4,138,861)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(3,067,138)</w:t>
            </w:r>
          </w:p>
        </w:tc>
        <w:tc>
          <w:tcPr>
            <w:tcW w:w="0" w:type="dxa"/>
            <w:vAlign w:val="bottom"/>
          </w:tcPr>
          <w:p>
            <w:pPr>
              <w:spacing w:after="0"/>
              <w:rPr>
                <w:sz w:val="1"/>
                <w:szCs w:val="1"/>
                <w:color w:val="auto"/>
              </w:rPr>
            </w:pPr>
          </w:p>
        </w:tc>
      </w:tr>
      <w:tr>
        <w:trPr>
          <w:trHeight w:val="216"/>
        </w:trPr>
        <w:tc>
          <w:tcPr>
            <w:tcW w:w="8520" w:type="dxa"/>
            <w:vAlign w:val="bottom"/>
          </w:tcPr>
          <w:p>
            <w:pPr>
              <w:ind w:left="880"/>
              <w:spacing w:after="0"/>
              <w:rPr>
                <w:sz w:val="20"/>
                <w:szCs w:val="20"/>
                <w:color w:val="auto"/>
              </w:rPr>
            </w:pPr>
            <w:r>
              <w:rPr>
                <w:rFonts w:ascii="Arial" w:cs="Arial" w:eastAsia="Arial" w:hAnsi="Arial"/>
                <w:sz w:val="18"/>
                <w:szCs w:val="18"/>
                <w:color w:val="auto"/>
              </w:rPr>
              <w:t>Proceeds from dispositions of investments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110,832,747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69,280,225</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 receivables for investments sold</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10,660,804</w:t>
            </w:r>
          </w:p>
        </w:tc>
        <w:tc>
          <w:tcPr>
            <w:tcW w:w="0" w:type="dxa"/>
            <w:vAlign w:val="bottom"/>
          </w:tcPr>
          <w:p>
            <w:pPr>
              <w:spacing w:after="0"/>
              <w:rPr>
                <w:sz w:val="1"/>
                <w:szCs w:val="1"/>
                <w:color w:val="auto"/>
              </w:rPr>
            </w:pPr>
          </w:p>
        </w:tc>
      </w:tr>
      <w:tr>
        <w:trPr>
          <w:trHeight w:val="216"/>
        </w:trPr>
        <w:tc>
          <w:tcPr>
            <w:tcW w:w="8520" w:type="dxa"/>
            <w:vAlign w:val="bottom"/>
          </w:tcPr>
          <w:p>
            <w:pPr>
              <w:ind w:left="880"/>
              <w:spacing w:after="0"/>
              <w:rPr>
                <w:sz w:val="20"/>
                <w:szCs w:val="20"/>
                <w:color w:val="auto"/>
              </w:rPr>
            </w:pPr>
            <w:r>
              <w:rPr>
                <w:rFonts w:ascii="Arial" w:cs="Arial" w:eastAsia="Arial" w:hAnsi="Arial"/>
                <w:sz w:val="18"/>
                <w:szCs w:val="18"/>
                <w:color w:val="auto"/>
              </w:rPr>
              <w:t>Decrease in interest receivable</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4,113,599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3,057,314</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 prepaid expenses and other assets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364,301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933,768</w:t>
            </w:r>
          </w:p>
        </w:tc>
        <w:tc>
          <w:tcPr>
            <w:tcW w:w="0" w:type="dxa"/>
            <w:vAlign w:val="bottom"/>
          </w:tcPr>
          <w:p>
            <w:pPr>
              <w:spacing w:after="0"/>
              <w:rPr>
                <w:sz w:val="1"/>
                <w:szCs w:val="1"/>
                <w:color w:val="auto"/>
              </w:rPr>
            </w:pPr>
          </w:p>
        </w:tc>
      </w:tr>
      <w:tr>
        <w:trPr>
          <w:trHeight w:val="216"/>
        </w:trPr>
        <w:tc>
          <w:tcPr>
            <w:tcW w:w="8520" w:type="dxa"/>
            <w:vAlign w:val="bottom"/>
          </w:tcPr>
          <w:p>
            <w:pPr>
              <w:ind w:left="880"/>
              <w:spacing w:after="0"/>
              <w:rPr>
                <w:sz w:val="20"/>
                <w:szCs w:val="20"/>
                <w:color w:val="auto"/>
              </w:rPr>
            </w:pPr>
            <w:r>
              <w:rPr>
                <w:rFonts w:ascii="Arial" w:cs="Arial" w:eastAsia="Arial" w:hAnsi="Arial"/>
                <w:sz w:val="18"/>
                <w:szCs w:val="18"/>
                <w:color w:val="auto"/>
              </w:rPr>
              <w:t>Increase (decrease) in payables for investments purchased</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1,357,840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(18,184,827)</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 unfunded investments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(785,552)</w:t>
            </w:r>
          </w:p>
        </w:tc>
        <w:tc>
          <w:tcPr>
            <w:tcW w:w="0" w:type="dxa"/>
            <w:vAlign w:val="bottom"/>
          </w:tcPr>
          <w:p>
            <w:pPr>
              <w:spacing w:after="0"/>
              <w:rPr>
                <w:sz w:val="1"/>
                <w:szCs w:val="1"/>
                <w:color w:val="auto"/>
              </w:rPr>
            </w:pPr>
          </w:p>
        </w:tc>
      </w:tr>
      <w:tr>
        <w:trPr>
          <w:trHeight w:val="216"/>
        </w:trPr>
        <w:tc>
          <w:tcPr>
            <w:tcW w:w="8520" w:type="dxa"/>
            <w:vAlign w:val="bottom"/>
          </w:tcPr>
          <w:p>
            <w:pPr>
              <w:ind w:left="880"/>
              <w:spacing w:after="0"/>
              <w:rPr>
                <w:sz w:val="20"/>
                <w:szCs w:val="20"/>
                <w:color w:val="auto"/>
              </w:rPr>
            </w:pPr>
            <w:r>
              <w:rPr>
                <w:rFonts w:ascii="Arial" w:cs="Arial" w:eastAsia="Arial" w:hAnsi="Arial"/>
                <w:sz w:val="18"/>
                <w:szCs w:val="18"/>
                <w:color w:val="auto"/>
              </w:rPr>
              <w:t>Increase in interest payable on Credit Facility and SBA debentures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1,596,384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1,179,075</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management fees payable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336,698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35,227</w:t>
            </w:r>
          </w:p>
        </w:tc>
        <w:tc>
          <w:tcPr>
            <w:tcW w:w="0" w:type="dxa"/>
            <w:vAlign w:val="bottom"/>
          </w:tcPr>
          <w:p>
            <w:pPr>
              <w:spacing w:after="0"/>
              <w:rPr>
                <w:sz w:val="1"/>
                <w:szCs w:val="1"/>
                <w:color w:val="auto"/>
              </w:rPr>
            </w:pPr>
          </w:p>
        </w:tc>
      </w:tr>
      <w:tr>
        <w:trPr>
          <w:trHeight w:val="216"/>
        </w:trPr>
        <w:tc>
          <w:tcPr>
            <w:tcW w:w="8520" w:type="dxa"/>
            <w:vAlign w:val="bottom"/>
          </w:tcPr>
          <w:p>
            <w:pPr>
              <w:ind w:left="880"/>
              <w:spacing w:after="0"/>
              <w:rPr>
                <w:sz w:val="20"/>
                <w:szCs w:val="20"/>
                <w:color w:val="auto"/>
              </w:rPr>
            </w:pPr>
            <w:r>
              <w:rPr>
                <w:rFonts w:ascii="Arial" w:cs="Arial" w:eastAsia="Arial" w:hAnsi="Arial"/>
                <w:sz w:val="18"/>
                <w:szCs w:val="18"/>
                <w:color w:val="auto"/>
              </w:rPr>
              <w:t>Increase (decrease) in performance-based incentive fees payable</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338,265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(24,834)</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accrued other expenses</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1,097,717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729,057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20" w:type="dxa"/>
            <w:vAlign w:val="bottom"/>
          </w:tcPr>
          <w:p>
            <w:pPr>
              <w:ind w:left="1300"/>
              <w:spacing w:after="0"/>
              <w:rPr>
                <w:sz w:val="20"/>
                <w:szCs w:val="20"/>
                <w:color w:val="auto"/>
              </w:rPr>
            </w:pPr>
            <w:r>
              <w:rPr>
                <w:rFonts w:ascii="Arial" w:cs="Arial" w:eastAsia="Arial" w:hAnsi="Arial"/>
                <w:sz w:val="18"/>
                <w:szCs w:val="18"/>
                <w:color w:val="auto"/>
              </w:rPr>
              <w:t>Net cash (used for) provided by operating activities</w:t>
            </w:r>
          </w:p>
        </w:tc>
        <w:tc>
          <w:tcPr>
            <w:tcW w:w="10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(35,767,998)</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31,707,490</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880"/>
              <w:spacing w:after="0"/>
              <w:rPr>
                <w:sz w:val="20"/>
                <w:szCs w:val="20"/>
                <w:color w:val="auto"/>
              </w:rPr>
            </w:pPr>
            <w:r>
              <w:rPr>
                <w:rFonts w:ascii="Arial" w:cs="Arial" w:eastAsia="Arial" w:hAnsi="Arial"/>
                <w:sz w:val="18"/>
                <w:szCs w:val="18"/>
                <w:color w:val="auto"/>
              </w:rPr>
              <w:t>Public offerings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7,574,000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Offering costs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(265,090)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20" w:type="dxa"/>
            <w:vAlign w:val="bottom"/>
          </w:tcPr>
          <w:p>
            <w:pPr>
              <w:ind w:left="880"/>
              <w:spacing w:after="0"/>
              <w:rPr>
                <w:sz w:val="20"/>
                <w:szCs w:val="20"/>
                <w:color w:val="auto"/>
              </w:rPr>
            </w:pPr>
            <w:r>
              <w:rPr>
                <w:rFonts w:ascii="Arial" w:cs="Arial" w:eastAsia="Arial" w:hAnsi="Arial"/>
                <w:sz w:val="18"/>
                <w:szCs w:val="18"/>
                <w:color w:val="auto"/>
              </w:rPr>
              <w:t>Distributions paid, net of dividends reinvested</w:t>
            </w:r>
          </w:p>
        </w:tc>
        <w:tc>
          <w:tcPr>
            <w:tcW w:w="1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(14,308,848)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(12,336,241)</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Borrowings under Credit Facility (See Note 10)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376,300,000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295,300,000</w:t>
            </w:r>
          </w:p>
        </w:tc>
        <w:tc>
          <w:tcPr>
            <w:tcW w:w="0" w:type="dxa"/>
            <w:vAlign w:val="bottom"/>
          </w:tcPr>
          <w:p>
            <w:pPr>
              <w:spacing w:after="0"/>
              <w:rPr>
                <w:sz w:val="1"/>
                <w:szCs w:val="1"/>
                <w:color w:val="auto"/>
              </w:rPr>
            </w:pPr>
          </w:p>
        </w:tc>
      </w:tr>
      <w:tr>
        <w:trPr>
          <w:trHeight w:val="216"/>
        </w:trPr>
        <w:tc>
          <w:tcPr>
            <w:tcW w:w="8520" w:type="dxa"/>
            <w:vAlign w:val="bottom"/>
          </w:tcPr>
          <w:p>
            <w:pPr>
              <w:ind w:left="880"/>
              <w:spacing w:after="0"/>
              <w:rPr>
                <w:sz w:val="20"/>
                <w:szCs w:val="20"/>
                <w:color w:val="auto"/>
              </w:rPr>
            </w:pPr>
            <w:r>
              <w:rPr>
                <w:rFonts w:ascii="Arial" w:cs="Arial" w:eastAsia="Arial" w:hAnsi="Arial"/>
                <w:sz w:val="18"/>
                <w:szCs w:val="18"/>
                <w:color w:val="auto"/>
              </w:rPr>
              <w:t>Repayments under Credit Facility (See Note 10)</w:t>
            </w:r>
          </w:p>
        </w:tc>
        <w:tc>
          <w:tcPr>
            <w:tcW w:w="1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(309,800,000)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(344,200,000)</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(used for) financing activities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59,500,062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(61,236,241)</w:t>
            </w:r>
          </w:p>
        </w:tc>
        <w:tc>
          <w:tcPr>
            <w:tcW w:w="0" w:type="dxa"/>
            <w:vAlign w:val="bottom"/>
          </w:tcPr>
          <w:p>
            <w:pPr>
              <w:spacing w:after="0"/>
              <w:rPr>
                <w:sz w:val="1"/>
                <w:szCs w:val="1"/>
                <w:color w:val="auto"/>
              </w:rPr>
            </w:pPr>
          </w:p>
        </w:tc>
      </w:tr>
      <w:tr>
        <w:trPr>
          <w:trHeight w:val="20"/>
        </w:trPr>
        <w:tc>
          <w:tcPr>
            <w:tcW w:w="8520" w:type="dxa"/>
            <w:vAlign w:val="bottom"/>
            <w:vMerge w:val="restart"/>
          </w:tcPr>
          <w:p>
            <w:pPr>
              <w:spacing w:after="0"/>
              <w:rPr>
                <w:sz w:val="20"/>
                <w:szCs w:val="20"/>
                <w:color w:val="auto"/>
              </w:rPr>
            </w:pPr>
            <w:r>
              <w:rPr>
                <w:rFonts w:ascii="Arial" w:cs="Arial" w:eastAsia="Arial" w:hAnsi="Arial"/>
                <w:sz w:val="18"/>
                <w:szCs w:val="18"/>
                <w:b w:val="1"/>
                <w:bCs w:val="1"/>
                <w:color w:val="auto"/>
              </w:rPr>
              <w:t>Net increase (decrease) in cash equivalents</w:t>
            </w: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23,732,064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(29,528,751)</w:t>
            </w:r>
          </w:p>
        </w:tc>
        <w:tc>
          <w:tcPr>
            <w:tcW w:w="0" w:type="dxa"/>
            <w:vAlign w:val="bottom"/>
          </w:tcPr>
          <w:p>
            <w:pPr>
              <w:spacing w:after="0"/>
              <w:rPr>
                <w:sz w:val="1"/>
                <w:szCs w:val="1"/>
                <w:color w:val="auto"/>
              </w:rPr>
            </w:pPr>
          </w:p>
        </w:tc>
      </w:tr>
      <w:tr>
        <w:trPr>
          <w:trHeight w:val="217"/>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7,559,453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71,604,519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20" w:type="dxa"/>
            <w:vAlign w:val="bottom"/>
          </w:tcPr>
          <w:p>
            <w:pPr>
              <w:spacing w:after="0"/>
              <w:rPr>
                <w:sz w:val="20"/>
                <w:szCs w:val="20"/>
                <w:color w:val="auto"/>
              </w:rPr>
            </w:pPr>
            <w:r>
              <w:rPr>
                <w:rFonts w:ascii="Arial" w:cs="Arial" w:eastAsia="Arial" w:hAnsi="Arial"/>
                <w:sz w:val="18"/>
                <w:szCs w:val="18"/>
                <w:b w:val="1"/>
                <w:bCs w:val="1"/>
                <w:color w:val="auto"/>
              </w:rPr>
              <w:t>Cash equivalents,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31,291,517</w:t>
            </w:r>
          </w:p>
        </w:tc>
        <w:tc>
          <w:tcPr>
            <w:tcW w:w="3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42,075,768</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disclosure of cash flow information and non-cash activity (See Note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520" w:type="dxa"/>
            <w:vAlign w:val="bottom"/>
          </w:tcPr>
          <w:p>
            <w:pPr>
              <w:ind w:left="440"/>
              <w:spacing w:after="0"/>
              <w:rPr>
                <w:sz w:val="20"/>
                <w:szCs w:val="20"/>
                <w:color w:val="auto"/>
              </w:rPr>
            </w:pPr>
            <w:r>
              <w:rPr>
                <w:rFonts w:ascii="Arial" w:cs="Arial" w:eastAsia="Arial" w:hAnsi="Arial"/>
                <w:sz w:val="18"/>
                <w:szCs w:val="18"/>
                <w:color w:val="auto"/>
              </w:rPr>
              <w:t>Interest paid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1,378,858</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966,095</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Dividend reinvested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1,515,213</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520" w:type="dxa"/>
            <w:vAlign w:val="bottom"/>
            <w:vMerge w:val="restart"/>
          </w:tcPr>
          <w:p>
            <w:pPr>
              <w:ind w:left="440"/>
              <w:spacing w:after="0"/>
              <w:rPr>
                <w:sz w:val="20"/>
                <w:szCs w:val="20"/>
                <w:color w:val="auto"/>
              </w:rPr>
            </w:pPr>
            <w:r>
              <w:rPr>
                <w:rFonts w:ascii="Arial" w:cs="Arial" w:eastAsia="Arial" w:hAnsi="Arial"/>
                <w:sz w:val="18"/>
                <w:szCs w:val="18"/>
                <w:color w:val="auto"/>
              </w:rPr>
              <w:t>Conversion and non-cash exchanges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52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41,353,789</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0"/>
              </w:rPr>
              <w:t>Basis Point</w:t>
            </w: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0"/>
              </w:rPr>
              <w:t>Spread</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6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960" w:type="dxa"/>
            <w:vAlign w:val="bottom"/>
          </w:tcPr>
          <w:p>
            <w:pPr>
              <w:jc w:val="right"/>
              <w:ind w:right="273"/>
              <w:spacing w:after="0" w:line="134" w:lineRule="exact"/>
              <w:rPr>
                <w:sz w:val="20"/>
                <w:szCs w:val="20"/>
                <w:color w:val="auto"/>
              </w:rPr>
            </w:pPr>
            <w:r>
              <w:rPr>
                <w:rFonts w:ascii="Arial" w:cs="Arial" w:eastAsia="Arial" w:hAnsi="Arial"/>
                <w:sz w:val="13"/>
                <w:szCs w:val="13"/>
                <w:b w:val="1"/>
                <w:bCs w:val="1"/>
                <w:color w:val="auto"/>
              </w:rPr>
              <w:t>Current</w:t>
            </w:r>
          </w:p>
        </w:tc>
        <w:tc>
          <w:tcPr>
            <w:tcW w:w="74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0"/>
              </w:rPr>
              <w:t>Above</w:t>
            </w:r>
          </w:p>
        </w:tc>
        <w:tc>
          <w:tcPr>
            <w:tcW w:w="260" w:type="dxa"/>
            <w:vAlign w:val="bottom"/>
          </w:tcPr>
          <w:p>
            <w:pPr>
              <w:spacing w:after="0"/>
              <w:rPr>
                <w:sz w:val="11"/>
                <w:szCs w:val="11"/>
                <w:color w:val="auto"/>
              </w:rPr>
            </w:pPr>
          </w:p>
        </w:tc>
        <w:tc>
          <w:tcPr>
            <w:tcW w:w="1100" w:type="dxa"/>
            <w:vAlign w:val="bottom"/>
            <w:gridSpan w:val="2"/>
          </w:tcPr>
          <w:p>
            <w:pPr>
              <w:jc w:val="center"/>
              <w:ind w:right="260"/>
              <w:spacing w:after="0" w:line="134" w:lineRule="exact"/>
              <w:rPr>
                <w:sz w:val="20"/>
                <w:szCs w:val="20"/>
                <w:color w:val="auto"/>
              </w:rPr>
            </w:pPr>
            <w:r>
              <w:rPr>
                <w:rFonts w:ascii="Arial" w:cs="Arial" w:eastAsia="Arial" w:hAnsi="Arial"/>
                <w:sz w:val="13"/>
                <w:szCs w:val="13"/>
                <w:b w:val="1"/>
                <w:bCs w:val="1"/>
                <w:color w:val="auto"/>
                <w:w w:val="99"/>
              </w:rPr>
              <w:t>Par /</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22"/>
                <w:szCs w:val="22"/>
                <w:b w:val="1"/>
                <w:bCs w:val="1"/>
                <w:color w:val="auto"/>
                <w:vertAlign w:val="superscript"/>
              </w:rPr>
              <w:t>(3)</w:t>
            </w:r>
          </w:p>
        </w:tc>
        <w:tc>
          <w:tcPr>
            <w:tcW w:w="0" w:type="dxa"/>
            <w:vAlign w:val="bottom"/>
          </w:tcPr>
          <w:p>
            <w:pPr>
              <w:spacing w:after="0"/>
              <w:rPr>
                <w:sz w:val="1"/>
                <w:szCs w:val="1"/>
                <w:color w:val="auto"/>
              </w:rPr>
            </w:pPr>
          </w:p>
        </w:tc>
      </w:tr>
      <w:tr>
        <w:trPr>
          <w:trHeight w:val="175"/>
        </w:trPr>
        <w:tc>
          <w:tcPr>
            <w:tcW w:w="3660" w:type="dxa"/>
            <w:vAlign w:val="bottom"/>
          </w:tcPr>
          <w:p>
            <w:pPr>
              <w:spacing w:after="0"/>
              <w:rPr>
                <w:sz w:val="20"/>
                <w:szCs w:val="20"/>
                <w:color w:val="auto"/>
              </w:rPr>
            </w:pPr>
            <w:r>
              <w:rPr>
                <w:rFonts w:ascii="Arial" w:cs="Arial" w:eastAsia="Arial" w:hAnsi="Arial"/>
                <w:sz w:val="13"/>
                <w:szCs w:val="13"/>
                <w:b w:val="1"/>
                <w:bCs w:val="1"/>
                <w:color w:val="auto"/>
              </w:rPr>
              <w:t>Issuer Name</w:t>
            </w:r>
          </w:p>
        </w:tc>
        <w:tc>
          <w:tcPr>
            <w:tcW w:w="1380" w:type="dxa"/>
            <w:vAlign w:val="bottom"/>
          </w:tcPr>
          <w:p>
            <w:pPr>
              <w:jc w:val="center"/>
              <w:ind w:left="533"/>
              <w:spacing w:after="0"/>
              <w:rPr>
                <w:sz w:val="20"/>
                <w:szCs w:val="20"/>
                <w:color w:val="auto"/>
              </w:rPr>
            </w:pPr>
            <w:r>
              <w:rPr>
                <w:rFonts w:ascii="Arial" w:cs="Arial" w:eastAsia="Arial" w:hAnsi="Arial"/>
                <w:sz w:val="13"/>
                <w:szCs w:val="13"/>
                <w:b w:val="1"/>
                <w:bCs w:val="1"/>
                <w:color w:val="auto"/>
              </w:rPr>
              <w:t>Maturity</w:t>
            </w: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960" w:type="dxa"/>
            <w:vAlign w:val="bottom"/>
          </w:tcPr>
          <w:p>
            <w:pPr>
              <w:jc w:val="right"/>
              <w:ind w:right="293"/>
              <w:spacing w:after="0"/>
              <w:rPr>
                <w:sz w:val="20"/>
                <w:szCs w:val="20"/>
                <w:color w:val="auto"/>
              </w:rPr>
            </w:pPr>
            <w:r>
              <w:rPr>
                <w:rFonts w:ascii="Arial" w:cs="Arial" w:eastAsia="Arial" w:hAnsi="Arial"/>
                <w:sz w:val="13"/>
                <w:szCs w:val="13"/>
                <w:b w:val="1"/>
                <w:bCs w:val="1"/>
                <w:color w:val="auto"/>
              </w:rPr>
              <w:t>Coupon</w:t>
            </w:r>
          </w:p>
        </w:tc>
        <w:tc>
          <w:tcPr>
            <w:tcW w:w="740" w:type="dxa"/>
            <w:vAlign w:val="bottom"/>
          </w:tcPr>
          <w:p>
            <w:pPr>
              <w:jc w:val="center"/>
              <w:spacing w:after="0" w:line="176" w:lineRule="exact"/>
              <w:rPr>
                <w:sz w:val="20"/>
                <w:szCs w:val="20"/>
                <w:color w:val="auto"/>
              </w:rPr>
            </w:pPr>
            <w:r>
              <w:rPr>
                <w:rFonts w:ascii="Arial" w:cs="Arial" w:eastAsia="Arial" w:hAnsi="Arial"/>
                <w:sz w:val="12"/>
                <w:szCs w:val="12"/>
                <w:b w:val="1"/>
                <w:bCs w:val="1"/>
                <w:color w:val="auto"/>
                <w:w w:val="94"/>
              </w:rPr>
              <w:t xml:space="preserve">Index </w:t>
            </w:r>
            <w:r>
              <w:rPr>
                <w:rFonts w:ascii="Arial" w:cs="Arial" w:eastAsia="Arial" w:hAnsi="Arial"/>
                <w:sz w:val="20"/>
                <w:szCs w:val="20"/>
                <w:b w:val="1"/>
                <w:bCs w:val="1"/>
                <w:color w:val="auto"/>
                <w:w w:val="94"/>
                <w:vertAlign w:val="superscript"/>
              </w:rPr>
              <w:t>(4)</w:t>
            </w:r>
          </w:p>
        </w:tc>
        <w:tc>
          <w:tcPr>
            <w:tcW w:w="260" w:type="dxa"/>
            <w:vAlign w:val="bottom"/>
          </w:tcPr>
          <w:p>
            <w:pPr>
              <w:spacing w:after="0"/>
              <w:rPr>
                <w:sz w:val="15"/>
                <w:szCs w:val="15"/>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7"/>
              </w:rPr>
              <w:t>Shares</w:t>
            </w:r>
          </w:p>
        </w:tc>
        <w:tc>
          <w:tcPr>
            <w:tcW w:w="8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4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0"/>
                <w:szCs w:val="10"/>
                <w:b w:val="1"/>
                <w:bCs w:val="1"/>
                <w:color w:val="auto"/>
              </w:rPr>
              <w:t xml:space="preserve">Investments in Non-Controlled, Non-Affiliated Portfolio Companies—135.3% </w:t>
            </w:r>
            <w:r>
              <w:rPr>
                <w:rFonts w:ascii="Arial" w:cs="Arial" w:eastAsia="Arial" w:hAnsi="Arial"/>
                <w:sz w:val="16"/>
                <w:szCs w:val="16"/>
                <w:b w:val="1"/>
                <w:bCs w:val="1"/>
                <w:color w:val="auto"/>
                <w:vertAlign w:val="superscript"/>
              </w:rPr>
              <w:t>(1),(2)</w:t>
            </w:r>
          </w:p>
        </w:tc>
        <w:tc>
          <w:tcPr>
            <w:tcW w:w="13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20"/>
                <w:szCs w:val="20"/>
                <w:color w:val="auto"/>
              </w:rPr>
            </w:pPr>
            <w:r>
              <w:rPr>
                <w:rFonts w:ascii="Arial" w:cs="Arial" w:eastAsia="Arial" w:hAnsi="Arial"/>
                <w:sz w:val="13"/>
                <w:szCs w:val="13"/>
                <w:b w:val="1"/>
                <w:bCs w:val="1"/>
                <w:color w:val="auto"/>
              </w:rPr>
              <w:t>First Lien Secured Debt—43.6%</w:t>
            </w:r>
          </w:p>
        </w:tc>
        <w:tc>
          <w:tcPr>
            <w:tcW w:w="1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vMerge w:val="restart"/>
          </w:tcPr>
          <w:p>
            <w:pPr>
              <w:jc w:val="right"/>
              <w:ind w:right="64"/>
              <w:spacing w:after="0"/>
              <w:rPr>
                <w:sz w:val="20"/>
                <w:szCs w:val="20"/>
                <w:color w:val="auto"/>
              </w:rPr>
            </w:pPr>
            <w:r>
              <w:rPr>
                <w:rFonts w:ascii="Arial" w:cs="Arial" w:eastAsia="Arial" w:hAnsi="Arial"/>
                <w:sz w:val="11"/>
                <w:szCs w:val="11"/>
                <w:color w:val="auto"/>
                <w:w w:val="88"/>
              </w:rPr>
              <w:t>(8)</w:t>
            </w: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660" w:type="dxa"/>
            <w:vAlign w:val="bottom"/>
          </w:tcPr>
          <w:p>
            <w:pPr>
              <w:spacing w:after="0" w:line="122" w:lineRule="exact"/>
              <w:rPr>
                <w:sz w:val="20"/>
                <w:szCs w:val="20"/>
                <w:color w:val="auto"/>
              </w:rPr>
            </w:pPr>
            <w:r>
              <w:rPr>
                <w:rFonts w:ascii="Arial" w:cs="Arial" w:eastAsia="Arial" w:hAnsi="Arial"/>
                <w:sz w:val="13"/>
                <w:szCs w:val="13"/>
                <w:color w:val="auto"/>
              </w:rPr>
              <w:t>Aircell Business Aviation Services LLC</w:t>
            </w:r>
          </w:p>
        </w:tc>
        <w:tc>
          <w:tcPr>
            <w:tcW w:w="1380" w:type="dxa"/>
            <w:vAlign w:val="bottom"/>
          </w:tcPr>
          <w:p>
            <w:pPr>
              <w:jc w:val="center"/>
              <w:ind w:left="533"/>
              <w:spacing w:after="0" w:line="122" w:lineRule="exact"/>
              <w:rPr>
                <w:sz w:val="20"/>
                <w:szCs w:val="20"/>
                <w:color w:val="auto"/>
              </w:rPr>
            </w:pPr>
            <w:r>
              <w:rPr>
                <w:rFonts w:ascii="Arial" w:cs="Arial" w:eastAsia="Arial" w:hAnsi="Arial"/>
                <w:sz w:val="13"/>
                <w:szCs w:val="13"/>
                <w:color w:val="auto"/>
                <w:w w:val="95"/>
              </w:rPr>
              <w:t>06/21/2017</w:t>
            </w:r>
          </w:p>
        </w:tc>
        <w:tc>
          <w:tcPr>
            <w:tcW w:w="1300" w:type="dxa"/>
            <w:vAlign w:val="bottom"/>
          </w:tcPr>
          <w:p>
            <w:pPr>
              <w:jc w:val="center"/>
              <w:spacing w:after="0" w:line="122" w:lineRule="exact"/>
              <w:rPr>
                <w:sz w:val="20"/>
                <w:szCs w:val="20"/>
                <w:color w:val="auto"/>
              </w:rPr>
            </w:pPr>
            <w:r>
              <w:rPr>
                <w:rFonts w:ascii="Arial" w:cs="Arial" w:eastAsia="Arial" w:hAnsi="Arial"/>
                <w:sz w:val="13"/>
                <w:szCs w:val="13"/>
                <w:color w:val="auto"/>
                <w:w w:val="94"/>
              </w:rPr>
              <w:t>Communications</w:t>
            </w:r>
          </w:p>
        </w:tc>
        <w:tc>
          <w:tcPr>
            <w:tcW w:w="960" w:type="dxa"/>
            <w:vAlign w:val="bottom"/>
          </w:tcPr>
          <w:p>
            <w:pPr>
              <w:jc w:val="right"/>
              <w:ind w:right="73"/>
              <w:spacing w:after="0" w:line="122" w:lineRule="exact"/>
              <w:rPr>
                <w:sz w:val="20"/>
                <w:szCs w:val="20"/>
                <w:color w:val="auto"/>
              </w:rPr>
            </w:pPr>
            <w:r>
              <w:rPr>
                <w:rFonts w:ascii="Arial" w:cs="Arial" w:eastAsia="Arial" w:hAnsi="Arial"/>
                <w:sz w:val="13"/>
                <w:szCs w:val="13"/>
                <w:color w:val="auto"/>
              </w:rPr>
              <w:t>11.25%</w:t>
            </w:r>
          </w:p>
        </w:tc>
        <w:tc>
          <w:tcPr>
            <w:tcW w:w="740" w:type="dxa"/>
            <w:vAlign w:val="bottom"/>
          </w:tcPr>
          <w:p>
            <w:pPr>
              <w:jc w:val="right"/>
              <w:spacing w:after="0" w:line="122" w:lineRule="exact"/>
              <w:rPr>
                <w:sz w:val="20"/>
                <w:szCs w:val="20"/>
                <w:color w:val="auto"/>
              </w:rPr>
            </w:pPr>
            <w:r>
              <w:rPr>
                <w:rFonts w:ascii="Arial" w:cs="Arial" w:eastAsia="Arial" w:hAnsi="Arial"/>
                <w:sz w:val="13"/>
                <w:szCs w:val="13"/>
                <w:color w:val="auto"/>
              </w:rPr>
              <w:t>L+975</w:t>
            </w:r>
          </w:p>
        </w:tc>
        <w:tc>
          <w:tcPr>
            <w:tcW w:w="260" w:type="dxa"/>
            <w:vAlign w:val="bottom"/>
            <w:vMerge w:val="continue"/>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3"/>
                <w:szCs w:val="13"/>
                <w:color w:val="auto"/>
              </w:rPr>
              <w:t>14,812,500</w:t>
            </w:r>
          </w:p>
        </w:tc>
        <w:tc>
          <w:tcPr>
            <w:tcW w:w="36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3"/>
                <w:szCs w:val="13"/>
                <w:color w:val="auto"/>
                <w:w w:val="94"/>
              </w:rPr>
              <w:t>$ 14,268,960</w:t>
            </w:r>
          </w:p>
        </w:tc>
        <w:tc>
          <w:tcPr>
            <w:tcW w:w="120" w:type="dxa"/>
            <w:vAlign w:val="bottom"/>
          </w:tcPr>
          <w:p>
            <w:pPr>
              <w:spacing w:after="0"/>
              <w:rPr>
                <w:sz w:val="10"/>
                <w:szCs w:val="10"/>
                <w:color w:val="auto"/>
              </w:rPr>
            </w:pPr>
          </w:p>
        </w:tc>
        <w:tc>
          <w:tcPr>
            <w:tcW w:w="920" w:type="dxa"/>
            <w:vAlign w:val="bottom"/>
            <w:gridSpan w:val="2"/>
          </w:tcPr>
          <w:p>
            <w:pPr>
              <w:jc w:val="right"/>
              <w:spacing w:after="0" w:line="122" w:lineRule="exact"/>
              <w:rPr>
                <w:sz w:val="20"/>
                <w:szCs w:val="20"/>
                <w:color w:val="auto"/>
              </w:rPr>
            </w:pPr>
            <w:r>
              <w:rPr>
                <w:rFonts w:ascii="Arial" w:cs="Arial" w:eastAsia="Arial" w:hAnsi="Arial"/>
                <w:sz w:val="13"/>
                <w:szCs w:val="13"/>
                <w:color w:val="auto"/>
              </w:rPr>
              <w:t>$  14,886,563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660" w:type="dxa"/>
            <w:vAlign w:val="bottom"/>
          </w:tcPr>
          <w:p>
            <w:pPr>
              <w:spacing w:after="0" w:line="176" w:lineRule="exact"/>
              <w:rPr>
                <w:sz w:val="20"/>
                <w:szCs w:val="20"/>
                <w:color w:val="auto"/>
              </w:rPr>
            </w:pPr>
            <w:r>
              <w:rPr>
                <w:rFonts w:ascii="Arial" w:cs="Arial" w:eastAsia="Arial" w:hAnsi="Arial"/>
                <w:sz w:val="12"/>
                <w:szCs w:val="12"/>
                <w:color w:val="auto"/>
              </w:rPr>
              <w:t xml:space="preserve">CEVA Group PLC </w:t>
            </w:r>
            <w:r>
              <w:rPr>
                <w:rFonts w:ascii="Arial" w:cs="Arial" w:eastAsia="Arial" w:hAnsi="Arial"/>
                <w:sz w:val="20"/>
                <w:szCs w:val="20"/>
                <w:color w:val="auto"/>
                <w:vertAlign w:val="superscript"/>
              </w:rPr>
              <w:t>(5),(10)</w:t>
            </w:r>
          </w:p>
        </w:tc>
        <w:tc>
          <w:tcPr>
            <w:tcW w:w="1380" w:type="dxa"/>
            <w:vAlign w:val="bottom"/>
          </w:tcPr>
          <w:p>
            <w:pPr>
              <w:jc w:val="center"/>
              <w:ind w:left="533"/>
              <w:spacing w:after="0"/>
              <w:rPr>
                <w:sz w:val="20"/>
                <w:szCs w:val="20"/>
                <w:color w:val="auto"/>
              </w:rPr>
            </w:pPr>
            <w:r>
              <w:rPr>
                <w:rFonts w:ascii="Arial" w:cs="Arial" w:eastAsia="Arial" w:hAnsi="Arial"/>
                <w:sz w:val="13"/>
                <w:szCs w:val="13"/>
                <w:color w:val="auto"/>
                <w:w w:val="95"/>
              </w:rPr>
              <w:t>10/01/2016</w:t>
            </w:r>
          </w:p>
        </w:tc>
        <w:tc>
          <w:tcPr>
            <w:tcW w:w="1300" w:type="dxa"/>
            <w:vAlign w:val="bottom"/>
          </w:tcPr>
          <w:p>
            <w:pPr>
              <w:jc w:val="center"/>
              <w:spacing w:after="0"/>
              <w:rPr>
                <w:sz w:val="20"/>
                <w:szCs w:val="20"/>
                <w:color w:val="auto"/>
              </w:rPr>
            </w:pPr>
            <w:r>
              <w:rPr>
                <w:rFonts w:ascii="Arial" w:cs="Arial" w:eastAsia="Arial" w:hAnsi="Arial"/>
                <w:sz w:val="13"/>
                <w:szCs w:val="13"/>
                <w:color w:val="auto"/>
                <w:w w:val="92"/>
              </w:rPr>
              <w:t>Cargo Transport</w:t>
            </w: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11.63%</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7,500,000</w:t>
            </w:r>
          </w:p>
        </w:tc>
        <w:tc>
          <w:tcPr>
            <w:tcW w:w="3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7,362,597</w:t>
            </w:r>
          </w:p>
        </w:tc>
        <w:tc>
          <w:tcPr>
            <w:tcW w:w="12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7,706,250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6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CEVA Group PLC </w:t>
            </w:r>
            <w:r>
              <w:rPr>
                <w:rFonts w:ascii="Arial" w:cs="Arial" w:eastAsia="Arial" w:hAnsi="Arial"/>
                <w:sz w:val="17"/>
                <w:szCs w:val="17"/>
                <w:color w:val="auto"/>
                <w:vertAlign w:val="superscript"/>
              </w:rPr>
              <w:t>(5),(10)</w:t>
            </w:r>
          </w:p>
        </w:tc>
        <w:tc>
          <w:tcPr>
            <w:tcW w:w="1380" w:type="dxa"/>
            <w:vAlign w:val="bottom"/>
            <w:shd w:val="clear" w:color="auto" w:fill="CCEEFF"/>
          </w:tcPr>
          <w:p>
            <w:pPr>
              <w:jc w:val="center"/>
              <w:ind w:left="533"/>
              <w:spacing w:after="0"/>
              <w:rPr>
                <w:sz w:val="20"/>
                <w:szCs w:val="20"/>
                <w:color w:val="auto"/>
              </w:rPr>
            </w:pPr>
            <w:r>
              <w:rPr>
                <w:rFonts w:ascii="Arial" w:cs="Arial" w:eastAsia="Arial" w:hAnsi="Arial"/>
                <w:sz w:val="13"/>
                <w:szCs w:val="13"/>
                <w:color w:val="auto"/>
                <w:w w:val="95"/>
              </w:rPr>
              <w:t>04/01/2018</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Cargo Transport</w:t>
            </w: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11.50%</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1,000,000</w:t>
            </w: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990,426</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835,000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line="149" w:lineRule="exact"/>
              <w:rPr>
                <w:sz w:val="20"/>
                <w:szCs w:val="20"/>
                <w:color w:val="auto"/>
              </w:rPr>
            </w:pPr>
            <w:r>
              <w:rPr>
                <w:rFonts w:ascii="Arial" w:cs="Arial" w:eastAsia="Arial" w:hAnsi="Arial"/>
                <w:sz w:val="11"/>
                <w:szCs w:val="11"/>
                <w:color w:val="auto"/>
              </w:rPr>
              <w:t xml:space="preserve">Columbus International, Inc. </w:t>
            </w:r>
            <w:r>
              <w:rPr>
                <w:rFonts w:ascii="Arial" w:cs="Arial" w:eastAsia="Arial" w:hAnsi="Arial"/>
                <w:sz w:val="17"/>
                <w:szCs w:val="17"/>
                <w:color w:val="auto"/>
                <w:vertAlign w:val="superscript"/>
              </w:rPr>
              <w:t>(5), (10)</w:t>
            </w:r>
          </w:p>
        </w:tc>
        <w:tc>
          <w:tcPr>
            <w:tcW w:w="1380" w:type="dxa"/>
            <w:vAlign w:val="bottom"/>
          </w:tcPr>
          <w:p>
            <w:pPr>
              <w:jc w:val="center"/>
              <w:ind w:left="533"/>
              <w:spacing w:after="0"/>
              <w:rPr>
                <w:sz w:val="20"/>
                <w:szCs w:val="20"/>
                <w:color w:val="auto"/>
              </w:rPr>
            </w:pPr>
            <w:r>
              <w:rPr>
                <w:rFonts w:ascii="Arial" w:cs="Arial" w:eastAsia="Arial" w:hAnsi="Arial"/>
                <w:sz w:val="13"/>
                <w:szCs w:val="13"/>
                <w:color w:val="auto"/>
                <w:w w:val="95"/>
              </w:rPr>
              <w:t>11/20/2014</w:t>
            </w:r>
          </w:p>
        </w:tc>
        <w:tc>
          <w:tcPr>
            <w:tcW w:w="1300" w:type="dxa"/>
            <w:vAlign w:val="bottom"/>
          </w:tcPr>
          <w:p>
            <w:pPr>
              <w:jc w:val="center"/>
              <w:spacing w:after="0"/>
              <w:rPr>
                <w:sz w:val="20"/>
                <w:szCs w:val="20"/>
                <w:color w:val="auto"/>
              </w:rPr>
            </w:pPr>
            <w:r>
              <w:rPr>
                <w:rFonts w:ascii="Arial" w:cs="Arial" w:eastAsia="Arial" w:hAnsi="Arial"/>
                <w:sz w:val="13"/>
                <w:szCs w:val="13"/>
                <w:color w:val="auto"/>
                <w:w w:val="94"/>
              </w:rPr>
              <w:t>Communications</w:t>
            </w: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11.50%</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10,000,000</w:t>
            </w:r>
          </w:p>
        </w:tc>
        <w:tc>
          <w:tcPr>
            <w:tcW w:w="3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10,000,000</w:t>
            </w:r>
          </w:p>
        </w:tc>
        <w:tc>
          <w:tcPr>
            <w:tcW w:w="120" w:type="dxa"/>
            <w:vAlign w:val="bottom"/>
          </w:tcPr>
          <w:p>
            <w:pPr>
              <w:spacing w:after="0"/>
              <w:rPr>
                <w:sz w:val="12"/>
                <w:szCs w:val="12"/>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3"/>
                <w:szCs w:val="13"/>
                <w:color w:val="auto"/>
              </w:rPr>
              <w:t>11,100,000</w:t>
            </w: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Good Sam Enterprises, LLC </w:t>
            </w:r>
            <w:r>
              <w:rPr>
                <w:rFonts w:ascii="Arial" w:cs="Arial" w:eastAsia="Arial" w:hAnsi="Arial"/>
                <w:sz w:val="17"/>
                <w:szCs w:val="17"/>
                <w:color w:val="auto"/>
                <w:vertAlign w:val="superscript"/>
              </w:rPr>
              <w:t>(5)</w:t>
            </w:r>
          </w:p>
        </w:tc>
        <w:tc>
          <w:tcPr>
            <w:tcW w:w="1380" w:type="dxa"/>
            <w:vAlign w:val="bottom"/>
            <w:shd w:val="clear" w:color="auto" w:fill="CCEEFF"/>
          </w:tcPr>
          <w:p>
            <w:pPr>
              <w:jc w:val="center"/>
              <w:ind w:left="533"/>
              <w:spacing w:after="0"/>
              <w:rPr>
                <w:sz w:val="20"/>
                <w:szCs w:val="20"/>
                <w:color w:val="auto"/>
              </w:rPr>
            </w:pPr>
            <w:r>
              <w:rPr>
                <w:rFonts w:ascii="Arial" w:cs="Arial" w:eastAsia="Arial" w:hAnsi="Arial"/>
                <w:sz w:val="13"/>
                <w:szCs w:val="13"/>
                <w:color w:val="auto"/>
                <w:w w:val="95"/>
              </w:rPr>
              <w:t>12/01/2016</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Consumer Products</w:t>
            </w: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11.50%</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12,000,000</w:t>
            </w: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11,805,148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12,840,000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20"/>
                <w:szCs w:val="20"/>
                <w:color w:val="auto"/>
              </w:rPr>
            </w:pPr>
            <w:r>
              <w:rPr>
                <w:rFonts w:ascii="Arial" w:cs="Arial" w:eastAsia="Arial" w:hAnsi="Arial"/>
                <w:sz w:val="13"/>
                <w:szCs w:val="13"/>
                <w:color w:val="auto"/>
              </w:rPr>
              <w:t>Hanley-Wood, L.L.C.</w:t>
            </w:r>
          </w:p>
        </w:tc>
        <w:tc>
          <w:tcPr>
            <w:tcW w:w="1380" w:type="dxa"/>
            <w:vAlign w:val="bottom"/>
          </w:tcPr>
          <w:p>
            <w:pPr>
              <w:jc w:val="center"/>
              <w:ind w:left="533"/>
              <w:spacing w:after="0"/>
              <w:rPr>
                <w:sz w:val="20"/>
                <w:szCs w:val="20"/>
                <w:color w:val="auto"/>
              </w:rPr>
            </w:pPr>
            <w:r>
              <w:rPr>
                <w:rFonts w:ascii="Arial" w:cs="Arial" w:eastAsia="Arial" w:hAnsi="Arial"/>
                <w:sz w:val="13"/>
                <w:szCs w:val="13"/>
                <w:color w:val="auto"/>
                <w:w w:val="95"/>
              </w:rPr>
              <w:t>01/13/2017</w:t>
            </w:r>
          </w:p>
        </w:tc>
        <w:tc>
          <w:tcPr>
            <w:tcW w:w="1300" w:type="dxa"/>
            <w:vAlign w:val="bottom"/>
          </w:tcPr>
          <w:p>
            <w:pPr>
              <w:jc w:val="center"/>
              <w:spacing w:after="0"/>
              <w:rPr>
                <w:sz w:val="20"/>
                <w:szCs w:val="20"/>
                <w:color w:val="auto"/>
              </w:rPr>
            </w:pPr>
            <w:r>
              <w:rPr>
                <w:rFonts w:ascii="Arial" w:cs="Arial" w:eastAsia="Arial" w:hAnsi="Arial"/>
                <w:sz w:val="13"/>
                <w:szCs w:val="13"/>
                <w:color w:val="auto"/>
                <w:w w:val="95"/>
              </w:rPr>
              <w:t>Other Media</w:t>
            </w: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8.00%</w:t>
            </w:r>
          </w:p>
        </w:tc>
        <w:tc>
          <w:tcPr>
            <w:tcW w:w="740" w:type="dxa"/>
            <w:vAlign w:val="bottom"/>
          </w:tcPr>
          <w:p>
            <w:pPr>
              <w:jc w:val="right"/>
              <w:spacing w:after="0"/>
              <w:rPr>
                <w:sz w:val="20"/>
                <w:szCs w:val="20"/>
                <w:color w:val="auto"/>
              </w:rPr>
            </w:pPr>
            <w:r>
              <w:rPr>
                <w:rFonts w:ascii="Arial" w:cs="Arial" w:eastAsia="Arial" w:hAnsi="Arial"/>
                <w:sz w:val="13"/>
                <w:szCs w:val="13"/>
                <w:color w:val="auto"/>
              </w:rPr>
              <w:t>L+650</w:t>
            </w:r>
          </w:p>
        </w:tc>
        <w:tc>
          <w:tcPr>
            <w:tcW w:w="260" w:type="dxa"/>
            <w:vAlign w:val="bottom"/>
          </w:tcPr>
          <w:p>
            <w:pPr>
              <w:jc w:val="right"/>
              <w:ind w:right="64"/>
              <w:spacing w:after="0"/>
              <w:rPr>
                <w:sz w:val="20"/>
                <w:szCs w:val="20"/>
                <w:color w:val="auto"/>
              </w:rPr>
            </w:pPr>
            <w:r>
              <w:rPr>
                <w:rFonts w:ascii="Arial" w:cs="Arial" w:eastAsia="Arial" w:hAnsi="Arial"/>
                <w:sz w:val="11"/>
                <w:szCs w:val="11"/>
                <w:color w:val="auto"/>
                <w:w w:val="88"/>
              </w:rPr>
              <w:t>(8)</w:t>
            </w:r>
          </w:p>
        </w:tc>
        <w:tc>
          <w:tcPr>
            <w:tcW w:w="740" w:type="dxa"/>
            <w:vAlign w:val="bottom"/>
          </w:tcPr>
          <w:p>
            <w:pPr>
              <w:jc w:val="right"/>
              <w:spacing w:after="0"/>
              <w:rPr>
                <w:sz w:val="20"/>
                <w:szCs w:val="20"/>
                <w:color w:val="auto"/>
              </w:rPr>
            </w:pPr>
            <w:r>
              <w:rPr>
                <w:rFonts w:ascii="Arial" w:cs="Arial" w:eastAsia="Arial" w:hAnsi="Arial"/>
                <w:sz w:val="13"/>
                <w:szCs w:val="13"/>
                <w:color w:val="auto"/>
              </w:rPr>
              <w:t>1,748,481</w:t>
            </w:r>
          </w:p>
        </w:tc>
        <w:tc>
          <w:tcPr>
            <w:tcW w:w="3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1,748,481</w:t>
            </w:r>
          </w:p>
        </w:tc>
        <w:tc>
          <w:tcPr>
            <w:tcW w:w="120" w:type="dxa"/>
            <w:vAlign w:val="bottom"/>
          </w:tcPr>
          <w:p>
            <w:pPr>
              <w:spacing w:after="0"/>
              <w:rPr>
                <w:sz w:val="12"/>
                <w:szCs w:val="12"/>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1,748,481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IDQ Holdings, Inc. </w:t>
            </w:r>
            <w:r>
              <w:rPr>
                <w:rFonts w:ascii="Arial" w:cs="Arial" w:eastAsia="Arial" w:hAnsi="Arial"/>
                <w:sz w:val="17"/>
                <w:szCs w:val="17"/>
                <w:color w:val="auto"/>
                <w:vertAlign w:val="superscript"/>
              </w:rPr>
              <w:t>(5)</w:t>
            </w:r>
          </w:p>
        </w:tc>
        <w:tc>
          <w:tcPr>
            <w:tcW w:w="1380" w:type="dxa"/>
            <w:vAlign w:val="bottom"/>
            <w:shd w:val="clear" w:color="auto" w:fill="CCEEFF"/>
          </w:tcPr>
          <w:p>
            <w:pPr>
              <w:jc w:val="center"/>
              <w:ind w:left="533"/>
              <w:spacing w:after="0"/>
              <w:rPr>
                <w:sz w:val="20"/>
                <w:szCs w:val="20"/>
                <w:color w:val="auto"/>
              </w:rPr>
            </w:pPr>
            <w:r>
              <w:rPr>
                <w:rFonts w:ascii="Arial" w:cs="Arial" w:eastAsia="Arial" w:hAnsi="Arial"/>
                <w:sz w:val="13"/>
                <w:szCs w:val="13"/>
                <w:color w:val="auto"/>
                <w:w w:val="95"/>
              </w:rPr>
              <w:t>04/01/2017</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Auto Sector</w:t>
            </w: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11.50%</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11,500,000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11,297,475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12,391,250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660" w:type="dxa"/>
            <w:vAlign w:val="bottom"/>
          </w:tcPr>
          <w:p>
            <w:pPr>
              <w:spacing w:after="0" w:line="138" w:lineRule="exact"/>
              <w:rPr>
                <w:sz w:val="20"/>
                <w:szCs w:val="20"/>
                <w:color w:val="auto"/>
              </w:rPr>
            </w:pPr>
            <w:r>
              <w:rPr>
                <w:rFonts w:ascii="Arial" w:cs="Arial" w:eastAsia="Arial" w:hAnsi="Arial"/>
                <w:sz w:val="13"/>
                <w:szCs w:val="13"/>
                <w:color w:val="auto"/>
              </w:rPr>
              <w:t>Infusystems Holdings, Inc.</w:t>
            </w:r>
          </w:p>
        </w:tc>
        <w:tc>
          <w:tcPr>
            <w:tcW w:w="1380" w:type="dxa"/>
            <w:vAlign w:val="bottom"/>
          </w:tcPr>
          <w:p>
            <w:pPr>
              <w:jc w:val="center"/>
              <w:ind w:left="533"/>
              <w:spacing w:after="0" w:line="138" w:lineRule="exact"/>
              <w:rPr>
                <w:sz w:val="20"/>
                <w:szCs w:val="20"/>
                <w:color w:val="auto"/>
              </w:rPr>
            </w:pPr>
            <w:r>
              <w:rPr>
                <w:rFonts w:ascii="Arial" w:cs="Arial" w:eastAsia="Arial" w:hAnsi="Arial"/>
                <w:sz w:val="13"/>
                <w:szCs w:val="13"/>
                <w:color w:val="auto"/>
                <w:w w:val="95"/>
              </w:rPr>
              <w:t>11/30/2016</w:t>
            </w:r>
          </w:p>
        </w:tc>
        <w:tc>
          <w:tcPr>
            <w:tcW w:w="1300" w:type="dxa"/>
            <w:vAlign w:val="bottom"/>
          </w:tcPr>
          <w:p>
            <w:pPr>
              <w:jc w:val="center"/>
              <w:spacing w:after="0" w:line="138" w:lineRule="exact"/>
              <w:rPr>
                <w:sz w:val="20"/>
                <w:szCs w:val="20"/>
                <w:color w:val="auto"/>
              </w:rPr>
            </w:pPr>
            <w:r>
              <w:rPr>
                <w:rFonts w:ascii="Arial" w:cs="Arial" w:eastAsia="Arial" w:hAnsi="Arial"/>
                <w:sz w:val="13"/>
                <w:szCs w:val="13"/>
                <w:color w:val="auto"/>
                <w:w w:val="93"/>
              </w:rPr>
              <w:t>Healthcare,</w:t>
            </w:r>
          </w:p>
        </w:tc>
        <w:tc>
          <w:tcPr>
            <w:tcW w:w="960" w:type="dxa"/>
            <w:vAlign w:val="bottom"/>
          </w:tcPr>
          <w:p>
            <w:pPr>
              <w:jc w:val="right"/>
              <w:ind w:right="73"/>
              <w:spacing w:after="0" w:line="138" w:lineRule="exact"/>
              <w:rPr>
                <w:sz w:val="20"/>
                <w:szCs w:val="20"/>
                <w:color w:val="auto"/>
              </w:rPr>
            </w:pPr>
            <w:r>
              <w:rPr>
                <w:rFonts w:ascii="Arial" w:cs="Arial" w:eastAsia="Arial" w:hAnsi="Arial"/>
                <w:sz w:val="13"/>
                <w:szCs w:val="13"/>
                <w:color w:val="auto"/>
              </w:rPr>
              <w:t>13.90%</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P+625</w:t>
            </w:r>
          </w:p>
        </w:tc>
        <w:tc>
          <w:tcPr>
            <w:tcW w:w="260" w:type="dxa"/>
            <w:vAlign w:val="bottom"/>
          </w:tcPr>
          <w:p>
            <w:pPr>
              <w:jc w:val="right"/>
              <w:ind w:right="64"/>
              <w:spacing w:after="0"/>
              <w:rPr>
                <w:sz w:val="20"/>
                <w:szCs w:val="20"/>
                <w:color w:val="auto"/>
              </w:rPr>
            </w:pPr>
            <w:r>
              <w:rPr>
                <w:rFonts w:ascii="Arial" w:cs="Arial" w:eastAsia="Arial" w:hAnsi="Arial"/>
                <w:sz w:val="11"/>
                <w:szCs w:val="11"/>
                <w:color w:val="auto"/>
                <w:w w:val="88"/>
              </w:rPr>
              <w:t>(8)</w:t>
            </w:r>
          </w:p>
        </w:tc>
        <w:tc>
          <w:tcPr>
            <w:tcW w:w="1100" w:type="dxa"/>
            <w:vAlign w:val="bottom"/>
            <w:gridSpan w:val="2"/>
          </w:tcPr>
          <w:p>
            <w:pPr>
              <w:jc w:val="right"/>
              <w:ind w:right="360"/>
              <w:spacing w:after="0" w:line="138" w:lineRule="exact"/>
              <w:rPr>
                <w:sz w:val="20"/>
                <w:szCs w:val="20"/>
                <w:color w:val="auto"/>
              </w:rPr>
            </w:pPr>
            <w:r>
              <w:rPr>
                <w:rFonts w:ascii="Arial" w:cs="Arial" w:eastAsia="Arial" w:hAnsi="Arial"/>
                <w:sz w:val="13"/>
                <w:szCs w:val="13"/>
                <w:color w:val="auto"/>
              </w:rPr>
              <w:t>11,600,000</w:t>
            </w:r>
          </w:p>
        </w:tc>
        <w:tc>
          <w:tcPr>
            <w:tcW w:w="86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11,600,000</w:t>
            </w:r>
          </w:p>
        </w:tc>
        <w:tc>
          <w:tcPr>
            <w:tcW w:w="980" w:type="dxa"/>
            <w:vAlign w:val="bottom"/>
            <w:gridSpan w:val="3"/>
          </w:tcPr>
          <w:p>
            <w:pPr>
              <w:jc w:val="right"/>
              <w:ind w:right="60"/>
              <w:spacing w:after="0" w:line="138" w:lineRule="exact"/>
              <w:rPr>
                <w:sz w:val="20"/>
                <w:szCs w:val="20"/>
                <w:color w:val="auto"/>
              </w:rPr>
            </w:pPr>
            <w:r>
              <w:rPr>
                <w:rFonts w:ascii="Arial" w:cs="Arial" w:eastAsia="Arial" w:hAnsi="Arial"/>
                <w:sz w:val="13"/>
                <w:szCs w:val="13"/>
                <w:color w:val="auto"/>
              </w:rPr>
              <w:t>11,628,250</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91"/>
              </w:rPr>
              <w:t>Education and</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6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94"/>
              </w:rPr>
              <w:t>Childcare</w:t>
            </w: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vMerge w:val="restart"/>
          </w:tcPr>
          <w:p>
            <w:pPr>
              <w:jc w:val="right"/>
              <w:ind w:right="64"/>
              <w:spacing w:after="0"/>
              <w:rPr>
                <w:sz w:val="20"/>
                <w:szCs w:val="20"/>
                <w:color w:val="auto"/>
              </w:rPr>
            </w:pPr>
            <w:r>
              <w:rPr>
                <w:rFonts w:ascii="Arial" w:cs="Arial" w:eastAsia="Arial" w:hAnsi="Arial"/>
                <w:sz w:val="11"/>
                <w:szCs w:val="11"/>
                <w:color w:val="auto"/>
                <w:w w:val="88"/>
              </w:rPr>
              <w:t>(8)</w:t>
            </w: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660" w:type="dxa"/>
            <w:vAlign w:val="bottom"/>
          </w:tcPr>
          <w:p>
            <w:pPr>
              <w:spacing w:after="0" w:line="138" w:lineRule="exact"/>
              <w:rPr>
                <w:sz w:val="20"/>
                <w:szCs w:val="20"/>
                <w:color w:val="auto"/>
              </w:rPr>
            </w:pPr>
            <w:r>
              <w:rPr>
                <w:rFonts w:ascii="Arial" w:cs="Arial" w:eastAsia="Arial" w:hAnsi="Arial"/>
                <w:sz w:val="13"/>
                <w:szCs w:val="13"/>
                <w:color w:val="auto"/>
              </w:rPr>
              <w:t>Instant Web, Inc.</w:t>
            </w:r>
          </w:p>
        </w:tc>
        <w:tc>
          <w:tcPr>
            <w:tcW w:w="1380" w:type="dxa"/>
            <w:vAlign w:val="bottom"/>
          </w:tcPr>
          <w:p>
            <w:pPr>
              <w:jc w:val="center"/>
              <w:ind w:left="533"/>
              <w:spacing w:after="0" w:line="138" w:lineRule="exact"/>
              <w:rPr>
                <w:sz w:val="20"/>
                <w:szCs w:val="20"/>
                <w:color w:val="auto"/>
              </w:rPr>
            </w:pPr>
            <w:r>
              <w:rPr>
                <w:rFonts w:ascii="Arial" w:cs="Arial" w:eastAsia="Arial" w:hAnsi="Arial"/>
                <w:sz w:val="13"/>
                <w:szCs w:val="13"/>
                <w:color w:val="auto"/>
                <w:w w:val="95"/>
              </w:rPr>
              <w:t>08/07/2014</w:t>
            </w:r>
          </w:p>
        </w:tc>
        <w:tc>
          <w:tcPr>
            <w:tcW w:w="1300" w:type="dxa"/>
            <w:vAlign w:val="bottom"/>
          </w:tcPr>
          <w:p>
            <w:pPr>
              <w:jc w:val="center"/>
              <w:spacing w:after="0" w:line="138" w:lineRule="exact"/>
              <w:rPr>
                <w:sz w:val="20"/>
                <w:szCs w:val="20"/>
                <w:color w:val="auto"/>
              </w:rPr>
            </w:pPr>
            <w:r>
              <w:rPr>
                <w:rFonts w:ascii="Arial" w:cs="Arial" w:eastAsia="Arial" w:hAnsi="Arial"/>
                <w:sz w:val="13"/>
                <w:szCs w:val="13"/>
                <w:color w:val="auto"/>
                <w:w w:val="97"/>
              </w:rPr>
              <w:t>Printing and</w:t>
            </w:r>
          </w:p>
        </w:tc>
        <w:tc>
          <w:tcPr>
            <w:tcW w:w="960" w:type="dxa"/>
            <w:vAlign w:val="bottom"/>
          </w:tcPr>
          <w:p>
            <w:pPr>
              <w:jc w:val="right"/>
              <w:ind w:right="73"/>
              <w:spacing w:after="0" w:line="138" w:lineRule="exact"/>
              <w:rPr>
                <w:sz w:val="20"/>
                <w:szCs w:val="20"/>
                <w:color w:val="auto"/>
              </w:rPr>
            </w:pPr>
            <w:r>
              <w:rPr>
                <w:rFonts w:ascii="Arial" w:cs="Arial" w:eastAsia="Arial" w:hAnsi="Arial"/>
                <w:sz w:val="13"/>
                <w:szCs w:val="13"/>
                <w:color w:val="auto"/>
              </w:rPr>
              <w:t>14.50%</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L+950</w:t>
            </w:r>
          </w:p>
        </w:tc>
        <w:tc>
          <w:tcPr>
            <w:tcW w:w="260" w:type="dxa"/>
            <w:vAlign w:val="bottom"/>
            <w:vMerge w:val="continue"/>
          </w:tcPr>
          <w:p>
            <w:pPr>
              <w:spacing w:after="0"/>
              <w:rPr>
                <w:sz w:val="11"/>
                <w:szCs w:val="11"/>
                <w:color w:val="auto"/>
              </w:rPr>
            </w:pPr>
          </w:p>
        </w:tc>
        <w:tc>
          <w:tcPr>
            <w:tcW w:w="1100" w:type="dxa"/>
            <w:vAlign w:val="bottom"/>
            <w:gridSpan w:val="2"/>
          </w:tcPr>
          <w:p>
            <w:pPr>
              <w:jc w:val="right"/>
              <w:ind w:right="360"/>
              <w:spacing w:after="0" w:line="138" w:lineRule="exact"/>
              <w:rPr>
                <w:sz w:val="20"/>
                <w:szCs w:val="20"/>
                <w:color w:val="auto"/>
              </w:rPr>
            </w:pPr>
            <w:r>
              <w:rPr>
                <w:rFonts w:ascii="Arial" w:cs="Arial" w:eastAsia="Arial" w:hAnsi="Arial"/>
                <w:sz w:val="13"/>
                <w:szCs w:val="13"/>
                <w:color w:val="auto"/>
              </w:rPr>
              <w:t>24,115,645</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23,864,998</w:t>
            </w:r>
          </w:p>
        </w:tc>
        <w:tc>
          <w:tcPr>
            <w:tcW w:w="120" w:type="dxa"/>
            <w:vAlign w:val="bottom"/>
          </w:tcPr>
          <w:p>
            <w:pPr>
              <w:spacing w:after="0"/>
              <w:rPr>
                <w:sz w:val="11"/>
                <w:szCs w:val="11"/>
                <w:color w:val="auto"/>
              </w:rPr>
            </w:pPr>
          </w:p>
        </w:tc>
        <w:tc>
          <w:tcPr>
            <w:tcW w:w="92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23,633,332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6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96"/>
              </w:rPr>
              <w:t>Publishing</w:t>
            </w: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vMerge w:val="restart"/>
          </w:tcPr>
          <w:p>
            <w:pPr>
              <w:jc w:val="right"/>
              <w:ind w:right="64"/>
              <w:spacing w:after="0"/>
              <w:rPr>
                <w:sz w:val="20"/>
                <w:szCs w:val="20"/>
                <w:color w:val="auto"/>
              </w:rPr>
            </w:pPr>
            <w:r>
              <w:rPr>
                <w:rFonts w:ascii="Arial" w:cs="Arial" w:eastAsia="Arial" w:hAnsi="Arial"/>
                <w:sz w:val="11"/>
                <w:szCs w:val="11"/>
                <w:color w:val="auto"/>
                <w:w w:val="88"/>
              </w:rPr>
              <w:t>(8)</w:t>
            </w: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660" w:type="dxa"/>
            <w:vAlign w:val="bottom"/>
          </w:tcPr>
          <w:p>
            <w:pPr>
              <w:spacing w:after="0" w:line="138" w:lineRule="exact"/>
              <w:rPr>
                <w:sz w:val="20"/>
                <w:szCs w:val="20"/>
                <w:color w:val="auto"/>
              </w:rPr>
            </w:pPr>
            <w:r>
              <w:rPr>
                <w:rFonts w:ascii="Arial" w:cs="Arial" w:eastAsia="Arial" w:hAnsi="Arial"/>
                <w:sz w:val="13"/>
                <w:szCs w:val="13"/>
                <w:color w:val="auto"/>
              </w:rPr>
              <w:t>Interactive Health Solutions, Inc.</w:t>
            </w:r>
          </w:p>
        </w:tc>
        <w:tc>
          <w:tcPr>
            <w:tcW w:w="1380" w:type="dxa"/>
            <w:vAlign w:val="bottom"/>
          </w:tcPr>
          <w:p>
            <w:pPr>
              <w:jc w:val="center"/>
              <w:ind w:left="533"/>
              <w:spacing w:after="0" w:line="138" w:lineRule="exact"/>
              <w:rPr>
                <w:sz w:val="20"/>
                <w:szCs w:val="20"/>
                <w:color w:val="auto"/>
              </w:rPr>
            </w:pPr>
            <w:r>
              <w:rPr>
                <w:rFonts w:ascii="Arial" w:cs="Arial" w:eastAsia="Arial" w:hAnsi="Arial"/>
                <w:sz w:val="13"/>
                <w:szCs w:val="13"/>
                <w:color w:val="auto"/>
                <w:w w:val="95"/>
              </w:rPr>
              <w:t>10/04/2016</w:t>
            </w:r>
          </w:p>
        </w:tc>
        <w:tc>
          <w:tcPr>
            <w:tcW w:w="1300" w:type="dxa"/>
            <w:vAlign w:val="bottom"/>
          </w:tcPr>
          <w:p>
            <w:pPr>
              <w:jc w:val="center"/>
              <w:spacing w:after="0" w:line="138" w:lineRule="exact"/>
              <w:rPr>
                <w:sz w:val="20"/>
                <w:szCs w:val="20"/>
                <w:color w:val="auto"/>
              </w:rPr>
            </w:pPr>
            <w:r>
              <w:rPr>
                <w:rFonts w:ascii="Arial" w:cs="Arial" w:eastAsia="Arial" w:hAnsi="Arial"/>
                <w:sz w:val="13"/>
                <w:szCs w:val="13"/>
                <w:color w:val="auto"/>
                <w:w w:val="93"/>
              </w:rPr>
              <w:t>Healthcare,</w:t>
            </w:r>
          </w:p>
        </w:tc>
        <w:tc>
          <w:tcPr>
            <w:tcW w:w="960" w:type="dxa"/>
            <w:vAlign w:val="bottom"/>
          </w:tcPr>
          <w:p>
            <w:pPr>
              <w:jc w:val="right"/>
              <w:ind w:right="73"/>
              <w:spacing w:after="0" w:line="138" w:lineRule="exact"/>
              <w:rPr>
                <w:sz w:val="20"/>
                <w:szCs w:val="20"/>
                <w:color w:val="auto"/>
              </w:rPr>
            </w:pPr>
            <w:r>
              <w:rPr>
                <w:rFonts w:ascii="Arial" w:cs="Arial" w:eastAsia="Arial" w:hAnsi="Arial"/>
                <w:sz w:val="13"/>
                <w:szCs w:val="13"/>
                <w:color w:val="auto"/>
              </w:rPr>
              <w:t>11.50%</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L+950</w:t>
            </w:r>
          </w:p>
        </w:tc>
        <w:tc>
          <w:tcPr>
            <w:tcW w:w="260" w:type="dxa"/>
            <w:vAlign w:val="bottom"/>
            <w:vMerge w:val="continue"/>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18,406,250</w:t>
            </w:r>
          </w:p>
        </w:tc>
        <w:tc>
          <w:tcPr>
            <w:tcW w:w="36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18,051,726</w:t>
            </w:r>
          </w:p>
        </w:tc>
        <w:tc>
          <w:tcPr>
            <w:tcW w:w="120" w:type="dxa"/>
            <w:vAlign w:val="bottom"/>
          </w:tcPr>
          <w:p>
            <w:pPr>
              <w:spacing w:after="0"/>
              <w:rPr>
                <w:sz w:val="11"/>
                <w:szCs w:val="11"/>
                <w:color w:val="auto"/>
              </w:rPr>
            </w:pPr>
          </w:p>
        </w:tc>
        <w:tc>
          <w:tcPr>
            <w:tcW w:w="92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18,443,063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91"/>
              </w:rPr>
              <w:t>Education and</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6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94"/>
              </w:rPr>
              <w:t>Childcare</w:t>
            </w: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660" w:type="dxa"/>
            <w:vAlign w:val="bottom"/>
          </w:tcPr>
          <w:p>
            <w:pPr>
              <w:spacing w:after="0" w:line="138" w:lineRule="exact"/>
              <w:rPr>
                <w:sz w:val="20"/>
                <w:szCs w:val="20"/>
                <w:color w:val="auto"/>
              </w:rPr>
            </w:pPr>
            <w:r>
              <w:rPr>
                <w:rFonts w:ascii="Arial" w:cs="Arial" w:eastAsia="Arial" w:hAnsi="Arial"/>
                <w:sz w:val="13"/>
                <w:szCs w:val="13"/>
                <w:color w:val="auto"/>
              </w:rPr>
              <w:t>Jacuzzi Brands Corp.</w:t>
            </w:r>
          </w:p>
        </w:tc>
        <w:tc>
          <w:tcPr>
            <w:tcW w:w="1380" w:type="dxa"/>
            <w:vAlign w:val="bottom"/>
          </w:tcPr>
          <w:p>
            <w:pPr>
              <w:jc w:val="center"/>
              <w:ind w:left="533"/>
              <w:spacing w:after="0" w:line="138" w:lineRule="exact"/>
              <w:rPr>
                <w:sz w:val="20"/>
                <w:szCs w:val="20"/>
                <w:color w:val="auto"/>
              </w:rPr>
            </w:pPr>
            <w:r>
              <w:rPr>
                <w:rFonts w:ascii="Arial" w:cs="Arial" w:eastAsia="Arial" w:hAnsi="Arial"/>
                <w:sz w:val="13"/>
                <w:szCs w:val="13"/>
                <w:color w:val="auto"/>
                <w:w w:val="95"/>
              </w:rPr>
              <w:t>02/07/2014</w:t>
            </w:r>
          </w:p>
        </w:tc>
        <w:tc>
          <w:tcPr>
            <w:tcW w:w="1300" w:type="dxa"/>
            <w:vAlign w:val="bottom"/>
          </w:tcPr>
          <w:p>
            <w:pPr>
              <w:jc w:val="center"/>
              <w:spacing w:after="0" w:line="138" w:lineRule="exact"/>
              <w:rPr>
                <w:sz w:val="20"/>
                <w:szCs w:val="20"/>
                <w:color w:val="auto"/>
              </w:rPr>
            </w:pPr>
            <w:r>
              <w:rPr>
                <w:rFonts w:ascii="Arial" w:cs="Arial" w:eastAsia="Arial" w:hAnsi="Arial"/>
                <w:sz w:val="13"/>
                <w:szCs w:val="13"/>
                <w:color w:val="auto"/>
                <w:w w:val="94"/>
              </w:rPr>
              <w:t>Home and Office</w:t>
            </w:r>
          </w:p>
        </w:tc>
        <w:tc>
          <w:tcPr>
            <w:tcW w:w="960" w:type="dxa"/>
            <w:vAlign w:val="bottom"/>
          </w:tcPr>
          <w:p>
            <w:pPr>
              <w:jc w:val="right"/>
              <w:ind w:right="73"/>
              <w:spacing w:after="0" w:line="138" w:lineRule="exact"/>
              <w:rPr>
                <w:sz w:val="20"/>
                <w:szCs w:val="20"/>
                <w:color w:val="auto"/>
              </w:rPr>
            </w:pPr>
            <w:r>
              <w:rPr>
                <w:rFonts w:ascii="Arial" w:cs="Arial" w:eastAsia="Arial" w:hAnsi="Arial"/>
                <w:sz w:val="13"/>
                <w:szCs w:val="13"/>
                <w:color w:val="auto"/>
              </w:rPr>
              <w:t>2.56%</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L+225</w:t>
            </w:r>
          </w:p>
        </w:tc>
        <w:tc>
          <w:tcPr>
            <w:tcW w:w="26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9,580,405</w:t>
            </w:r>
          </w:p>
        </w:tc>
        <w:tc>
          <w:tcPr>
            <w:tcW w:w="36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9,580,405</w:t>
            </w:r>
          </w:p>
        </w:tc>
        <w:tc>
          <w:tcPr>
            <w:tcW w:w="120" w:type="dxa"/>
            <w:vAlign w:val="bottom"/>
          </w:tcPr>
          <w:p>
            <w:pPr>
              <w:spacing w:after="0"/>
              <w:rPr>
                <w:sz w:val="11"/>
                <w:szCs w:val="11"/>
                <w:color w:val="auto"/>
              </w:rPr>
            </w:pPr>
          </w:p>
        </w:tc>
        <w:tc>
          <w:tcPr>
            <w:tcW w:w="92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6,430,847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95"/>
              </w:rPr>
              <w:t>Furnishings,</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Housewares and</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93"/>
              </w:rPr>
              <w:t>Durable Consumer</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6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93"/>
              </w:rPr>
              <w:t>Products</w:t>
            </w: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vMerge w:val="restart"/>
          </w:tcPr>
          <w:p>
            <w:pPr>
              <w:jc w:val="right"/>
              <w:ind w:right="64"/>
              <w:spacing w:after="0"/>
              <w:rPr>
                <w:sz w:val="20"/>
                <w:szCs w:val="20"/>
                <w:color w:val="auto"/>
              </w:rPr>
            </w:pPr>
            <w:r>
              <w:rPr>
                <w:rFonts w:ascii="Arial" w:cs="Arial" w:eastAsia="Arial" w:hAnsi="Arial"/>
                <w:sz w:val="11"/>
                <w:szCs w:val="11"/>
                <w:color w:val="auto"/>
                <w:w w:val="88"/>
              </w:rPr>
              <w:t>(8)</w:t>
            </w: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660" w:type="dxa"/>
            <w:vAlign w:val="bottom"/>
          </w:tcPr>
          <w:p>
            <w:pPr>
              <w:spacing w:after="0" w:line="138" w:lineRule="exact"/>
              <w:rPr>
                <w:sz w:val="20"/>
                <w:szCs w:val="20"/>
                <w:color w:val="auto"/>
              </w:rPr>
            </w:pPr>
            <w:r>
              <w:rPr>
                <w:rFonts w:ascii="Arial" w:cs="Arial" w:eastAsia="Arial" w:hAnsi="Arial"/>
                <w:sz w:val="13"/>
                <w:szCs w:val="13"/>
                <w:color w:val="auto"/>
              </w:rPr>
              <w:t>K2 Pure Solutions NoCal, L.P.</w:t>
            </w:r>
          </w:p>
        </w:tc>
        <w:tc>
          <w:tcPr>
            <w:tcW w:w="1380" w:type="dxa"/>
            <w:vAlign w:val="bottom"/>
          </w:tcPr>
          <w:p>
            <w:pPr>
              <w:jc w:val="center"/>
              <w:ind w:left="533"/>
              <w:spacing w:after="0" w:line="138" w:lineRule="exact"/>
              <w:rPr>
                <w:sz w:val="20"/>
                <w:szCs w:val="20"/>
                <w:color w:val="auto"/>
              </w:rPr>
            </w:pPr>
            <w:r>
              <w:rPr>
                <w:rFonts w:ascii="Arial" w:cs="Arial" w:eastAsia="Arial" w:hAnsi="Arial"/>
                <w:sz w:val="13"/>
                <w:szCs w:val="13"/>
                <w:color w:val="auto"/>
                <w:w w:val="95"/>
              </w:rPr>
              <w:t>09/10/2015</w:t>
            </w:r>
          </w:p>
        </w:tc>
        <w:tc>
          <w:tcPr>
            <w:tcW w:w="1300" w:type="dxa"/>
            <w:vAlign w:val="bottom"/>
          </w:tcPr>
          <w:p>
            <w:pPr>
              <w:jc w:val="center"/>
              <w:spacing w:after="0" w:line="138" w:lineRule="exact"/>
              <w:rPr>
                <w:sz w:val="20"/>
                <w:szCs w:val="20"/>
                <w:color w:val="auto"/>
              </w:rPr>
            </w:pPr>
            <w:r>
              <w:rPr>
                <w:rFonts w:ascii="Arial" w:cs="Arial" w:eastAsia="Arial" w:hAnsi="Arial"/>
                <w:sz w:val="13"/>
                <w:szCs w:val="13"/>
                <w:color w:val="auto"/>
                <w:w w:val="92"/>
              </w:rPr>
              <w:t>Chemicals, Plastics</w:t>
            </w:r>
          </w:p>
        </w:tc>
        <w:tc>
          <w:tcPr>
            <w:tcW w:w="960" w:type="dxa"/>
            <w:vAlign w:val="bottom"/>
          </w:tcPr>
          <w:p>
            <w:pPr>
              <w:jc w:val="right"/>
              <w:ind w:right="73"/>
              <w:spacing w:after="0" w:line="138" w:lineRule="exact"/>
              <w:rPr>
                <w:sz w:val="20"/>
                <w:szCs w:val="20"/>
                <w:color w:val="auto"/>
              </w:rPr>
            </w:pPr>
            <w:r>
              <w:rPr>
                <w:rFonts w:ascii="Arial" w:cs="Arial" w:eastAsia="Arial" w:hAnsi="Arial"/>
                <w:sz w:val="13"/>
                <w:szCs w:val="13"/>
                <w:color w:val="auto"/>
              </w:rPr>
              <w:t>10.00%</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P+675</w:t>
            </w:r>
          </w:p>
        </w:tc>
        <w:tc>
          <w:tcPr>
            <w:tcW w:w="260" w:type="dxa"/>
            <w:vAlign w:val="bottom"/>
            <w:vMerge w:val="continue"/>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18,947,387</w:t>
            </w:r>
          </w:p>
        </w:tc>
        <w:tc>
          <w:tcPr>
            <w:tcW w:w="36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18,266,234</w:t>
            </w:r>
          </w:p>
        </w:tc>
        <w:tc>
          <w:tcPr>
            <w:tcW w:w="120" w:type="dxa"/>
            <w:vAlign w:val="bottom"/>
          </w:tcPr>
          <w:p>
            <w:pPr>
              <w:spacing w:after="0"/>
              <w:rPr>
                <w:sz w:val="11"/>
                <w:szCs w:val="11"/>
                <w:color w:val="auto"/>
              </w:rPr>
            </w:pPr>
          </w:p>
        </w:tc>
        <w:tc>
          <w:tcPr>
            <w:tcW w:w="92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18,757,913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6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94"/>
              </w:rPr>
              <w:t>and Rubber</w:t>
            </w: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vMerge w:val="restart"/>
          </w:tcPr>
          <w:p>
            <w:pPr>
              <w:jc w:val="right"/>
              <w:ind w:right="64"/>
              <w:spacing w:after="0"/>
              <w:rPr>
                <w:sz w:val="20"/>
                <w:szCs w:val="20"/>
                <w:color w:val="auto"/>
              </w:rPr>
            </w:pPr>
            <w:r>
              <w:rPr>
                <w:rFonts w:ascii="Arial" w:cs="Arial" w:eastAsia="Arial" w:hAnsi="Arial"/>
                <w:sz w:val="11"/>
                <w:szCs w:val="11"/>
                <w:color w:val="auto"/>
                <w:w w:val="88"/>
              </w:rPr>
              <w:t>(8)</w:t>
            </w: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660" w:type="dxa"/>
            <w:vAlign w:val="bottom"/>
          </w:tcPr>
          <w:p>
            <w:pPr>
              <w:spacing w:after="0" w:line="138" w:lineRule="exact"/>
              <w:rPr>
                <w:sz w:val="20"/>
                <w:szCs w:val="20"/>
                <w:color w:val="auto"/>
              </w:rPr>
            </w:pPr>
            <w:r>
              <w:rPr>
                <w:rFonts w:ascii="Arial" w:cs="Arial" w:eastAsia="Arial" w:hAnsi="Arial"/>
                <w:sz w:val="13"/>
                <w:szCs w:val="13"/>
                <w:color w:val="auto"/>
              </w:rPr>
              <w:t>Kadmon Pharmaceuticals, LLC</w:t>
            </w:r>
          </w:p>
        </w:tc>
        <w:tc>
          <w:tcPr>
            <w:tcW w:w="1380" w:type="dxa"/>
            <w:vAlign w:val="bottom"/>
          </w:tcPr>
          <w:p>
            <w:pPr>
              <w:jc w:val="center"/>
              <w:ind w:left="533"/>
              <w:spacing w:after="0" w:line="138" w:lineRule="exact"/>
              <w:rPr>
                <w:sz w:val="20"/>
                <w:szCs w:val="20"/>
                <w:color w:val="auto"/>
              </w:rPr>
            </w:pPr>
            <w:r>
              <w:rPr>
                <w:rFonts w:ascii="Arial" w:cs="Arial" w:eastAsia="Arial" w:hAnsi="Arial"/>
                <w:sz w:val="13"/>
                <w:szCs w:val="13"/>
                <w:color w:val="auto"/>
                <w:w w:val="95"/>
              </w:rPr>
              <w:t>04/30/2013</w:t>
            </w:r>
          </w:p>
        </w:tc>
        <w:tc>
          <w:tcPr>
            <w:tcW w:w="1300" w:type="dxa"/>
            <w:vAlign w:val="bottom"/>
          </w:tcPr>
          <w:p>
            <w:pPr>
              <w:jc w:val="center"/>
              <w:spacing w:after="0" w:line="138" w:lineRule="exact"/>
              <w:rPr>
                <w:sz w:val="20"/>
                <w:szCs w:val="20"/>
                <w:color w:val="auto"/>
              </w:rPr>
            </w:pPr>
            <w:r>
              <w:rPr>
                <w:rFonts w:ascii="Arial" w:cs="Arial" w:eastAsia="Arial" w:hAnsi="Arial"/>
                <w:sz w:val="13"/>
                <w:szCs w:val="13"/>
                <w:color w:val="auto"/>
                <w:w w:val="93"/>
              </w:rPr>
              <w:t>Healthcare,</w:t>
            </w:r>
          </w:p>
        </w:tc>
        <w:tc>
          <w:tcPr>
            <w:tcW w:w="960" w:type="dxa"/>
            <w:vAlign w:val="bottom"/>
          </w:tcPr>
          <w:p>
            <w:pPr>
              <w:jc w:val="right"/>
              <w:ind w:right="73"/>
              <w:spacing w:after="0" w:line="138" w:lineRule="exact"/>
              <w:rPr>
                <w:sz w:val="20"/>
                <w:szCs w:val="20"/>
                <w:color w:val="auto"/>
              </w:rPr>
            </w:pPr>
            <w:r>
              <w:rPr>
                <w:rFonts w:ascii="Arial" w:cs="Arial" w:eastAsia="Arial" w:hAnsi="Arial"/>
                <w:sz w:val="13"/>
                <w:szCs w:val="13"/>
                <w:color w:val="auto"/>
              </w:rPr>
              <w:t>15.00%</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L+1,300</w:t>
            </w:r>
          </w:p>
        </w:tc>
        <w:tc>
          <w:tcPr>
            <w:tcW w:w="260" w:type="dxa"/>
            <w:vAlign w:val="bottom"/>
            <w:vMerge w:val="continue"/>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4,931,494</w:t>
            </w:r>
          </w:p>
        </w:tc>
        <w:tc>
          <w:tcPr>
            <w:tcW w:w="36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5,060,413</w:t>
            </w:r>
          </w:p>
        </w:tc>
        <w:tc>
          <w:tcPr>
            <w:tcW w:w="120" w:type="dxa"/>
            <w:vAlign w:val="bottom"/>
          </w:tcPr>
          <w:p>
            <w:pPr>
              <w:spacing w:after="0"/>
              <w:rPr>
                <w:sz w:val="11"/>
                <w:szCs w:val="11"/>
                <w:color w:val="auto"/>
              </w:rPr>
            </w:pPr>
          </w:p>
        </w:tc>
        <w:tc>
          <w:tcPr>
            <w:tcW w:w="92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5,227,384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91"/>
              </w:rPr>
              <w:t>Education and</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6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94"/>
              </w:rPr>
              <w:t>Childcare</w:t>
            </w: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20"/>
                <w:szCs w:val="20"/>
                <w:color w:val="auto"/>
              </w:rPr>
            </w:pPr>
            <w:r>
              <w:rPr>
                <w:rFonts w:ascii="Arial" w:cs="Arial" w:eastAsia="Arial" w:hAnsi="Arial"/>
                <w:sz w:val="13"/>
                <w:szCs w:val="13"/>
                <w:color w:val="auto"/>
              </w:rPr>
              <w:t>Learning Care Group, Inc.</w:t>
            </w:r>
          </w:p>
        </w:tc>
        <w:tc>
          <w:tcPr>
            <w:tcW w:w="1380" w:type="dxa"/>
            <w:vAlign w:val="bottom"/>
          </w:tcPr>
          <w:p>
            <w:pPr>
              <w:jc w:val="center"/>
              <w:ind w:left="533"/>
              <w:spacing w:after="0"/>
              <w:rPr>
                <w:sz w:val="20"/>
                <w:szCs w:val="20"/>
                <w:color w:val="auto"/>
              </w:rPr>
            </w:pPr>
            <w:r>
              <w:rPr>
                <w:rFonts w:ascii="Arial" w:cs="Arial" w:eastAsia="Arial" w:hAnsi="Arial"/>
                <w:sz w:val="13"/>
                <w:szCs w:val="13"/>
                <w:color w:val="auto"/>
                <w:w w:val="95"/>
              </w:rPr>
              <w:t>04/27/2016</w:t>
            </w:r>
          </w:p>
        </w:tc>
        <w:tc>
          <w:tcPr>
            <w:tcW w:w="1300" w:type="dxa"/>
            <w:vAlign w:val="bottom"/>
          </w:tcPr>
          <w:p>
            <w:pPr>
              <w:jc w:val="center"/>
              <w:spacing w:after="0"/>
              <w:rPr>
                <w:sz w:val="20"/>
                <w:szCs w:val="20"/>
                <w:color w:val="auto"/>
              </w:rPr>
            </w:pPr>
            <w:r>
              <w:rPr>
                <w:rFonts w:ascii="Arial" w:cs="Arial" w:eastAsia="Arial" w:hAnsi="Arial"/>
                <w:sz w:val="13"/>
                <w:szCs w:val="13"/>
                <w:color w:val="auto"/>
                <w:w w:val="96"/>
              </w:rPr>
              <w:t>Education</w:t>
            </w: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12.00%</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60" w:type="dxa"/>
            <w:vAlign w:val="bottom"/>
            <w:vMerge w:val="restart"/>
          </w:tcPr>
          <w:p>
            <w:pPr>
              <w:jc w:val="right"/>
              <w:ind w:right="64"/>
              <w:spacing w:after="0"/>
              <w:rPr>
                <w:sz w:val="20"/>
                <w:szCs w:val="20"/>
                <w:color w:val="auto"/>
              </w:rPr>
            </w:pPr>
            <w:r>
              <w:rPr>
                <w:rFonts w:ascii="Arial" w:cs="Arial" w:eastAsia="Arial" w:hAnsi="Arial"/>
                <w:sz w:val="11"/>
                <w:szCs w:val="11"/>
                <w:color w:val="auto"/>
                <w:w w:val="88"/>
              </w:rPr>
              <w:t>(8)</w:t>
            </w:r>
          </w:p>
        </w:tc>
        <w:tc>
          <w:tcPr>
            <w:tcW w:w="740" w:type="dxa"/>
            <w:vAlign w:val="bottom"/>
          </w:tcPr>
          <w:p>
            <w:pPr>
              <w:jc w:val="right"/>
              <w:spacing w:after="0"/>
              <w:rPr>
                <w:sz w:val="20"/>
                <w:szCs w:val="20"/>
                <w:color w:val="auto"/>
              </w:rPr>
            </w:pPr>
            <w:r>
              <w:rPr>
                <w:rFonts w:ascii="Arial" w:cs="Arial" w:eastAsia="Arial" w:hAnsi="Arial"/>
                <w:sz w:val="13"/>
                <w:szCs w:val="13"/>
                <w:color w:val="auto"/>
              </w:rPr>
              <w:t>26,052,632</w:t>
            </w:r>
          </w:p>
        </w:tc>
        <w:tc>
          <w:tcPr>
            <w:tcW w:w="3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25,668,999</w:t>
            </w:r>
          </w:p>
        </w:tc>
        <w:tc>
          <w:tcPr>
            <w:tcW w:w="120" w:type="dxa"/>
            <w:vAlign w:val="bottom"/>
          </w:tcPr>
          <w:p>
            <w:pPr>
              <w:spacing w:after="0"/>
              <w:rPr>
                <w:sz w:val="12"/>
                <w:szCs w:val="12"/>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26,052,632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660" w:type="dxa"/>
            <w:vAlign w:val="bottom"/>
          </w:tcPr>
          <w:p>
            <w:pPr>
              <w:spacing w:after="0" w:line="138" w:lineRule="exact"/>
              <w:rPr>
                <w:sz w:val="20"/>
                <w:szCs w:val="20"/>
                <w:color w:val="auto"/>
              </w:rPr>
            </w:pPr>
            <w:r>
              <w:rPr>
                <w:rFonts w:ascii="Arial" w:cs="Arial" w:eastAsia="Arial" w:hAnsi="Arial"/>
                <w:sz w:val="13"/>
                <w:szCs w:val="13"/>
                <w:color w:val="auto"/>
              </w:rPr>
              <w:t>Penton Media, Inc.</w:t>
            </w:r>
          </w:p>
        </w:tc>
        <w:tc>
          <w:tcPr>
            <w:tcW w:w="1380" w:type="dxa"/>
            <w:vAlign w:val="bottom"/>
          </w:tcPr>
          <w:p>
            <w:pPr>
              <w:jc w:val="center"/>
              <w:ind w:left="533"/>
              <w:spacing w:after="0" w:line="138" w:lineRule="exact"/>
              <w:rPr>
                <w:sz w:val="20"/>
                <w:szCs w:val="20"/>
                <w:color w:val="auto"/>
              </w:rPr>
            </w:pPr>
            <w:r>
              <w:rPr>
                <w:rFonts w:ascii="Arial" w:cs="Arial" w:eastAsia="Arial" w:hAnsi="Arial"/>
                <w:sz w:val="13"/>
                <w:szCs w:val="13"/>
                <w:color w:val="auto"/>
                <w:w w:val="95"/>
              </w:rPr>
              <w:t>08/01/2014</w:t>
            </w:r>
          </w:p>
        </w:tc>
        <w:tc>
          <w:tcPr>
            <w:tcW w:w="1300" w:type="dxa"/>
            <w:vAlign w:val="bottom"/>
          </w:tcPr>
          <w:p>
            <w:pPr>
              <w:jc w:val="center"/>
              <w:spacing w:after="0" w:line="138" w:lineRule="exact"/>
              <w:rPr>
                <w:sz w:val="20"/>
                <w:szCs w:val="20"/>
                <w:color w:val="auto"/>
              </w:rPr>
            </w:pPr>
            <w:r>
              <w:rPr>
                <w:rFonts w:ascii="Arial" w:cs="Arial" w:eastAsia="Arial" w:hAnsi="Arial"/>
                <w:sz w:val="13"/>
                <w:szCs w:val="13"/>
                <w:color w:val="auto"/>
                <w:w w:val="95"/>
              </w:rPr>
              <w:t>Other Media</w:t>
            </w:r>
          </w:p>
        </w:tc>
        <w:tc>
          <w:tcPr>
            <w:tcW w:w="960" w:type="dxa"/>
            <w:vAlign w:val="bottom"/>
          </w:tcPr>
          <w:p>
            <w:pPr>
              <w:jc w:val="right"/>
              <w:ind w:right="73"/>
              <w:spacing w:after="0" w:line="138" w:lineRule="exact"/>
              <w:rPr>
                <w:sz w:val="20"/>
                <w:szCs w:val="20"/>
                <w:color w:val="auto"/>
              </w:rPr>
            </w:pPr>
            <w:r>
              <w:rPr>
                <w:rFonts w:ascii="Arial" w:cs="Arial" w:eastAsia="Arial" w:hAnsi="Arial"/>
                <w:sz w:val="13"/>
                <w:szCs w:val="13"/>
                <w:color w:val="auto"/>
              </w:rPr>
              <w:t>5.00%</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L+400</w:t>
            </w:r>
          </w:p>
        </w:tc>
        <w:tc>
          <w:tcPr>
            <w:tcW w:w="260" w:type="dxa"/>
            <w:vAlign w:val="bottom"/>
            <w:vMerge w:val="continue"/>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37,774,372</w:t>
            </w:r>
          </w:p>
        </w:tc>
        <w:tc>
          <w:tcPr>
            <w:tcW w:w="36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34,457,793</w:t>
            </w:r>
          </w:p>
        </w:tc>
        <w:tc>
          <w:tcPr>
            <w:tcW w:w="120" w:type="dxa"/>
            <w:vAlign w:val="bottom"/>
          </w:tcPr>
          <w:p>
            <w:pPr>
              <w:spacing w:after="0"/>
              <w:rPr>
                <w:sz w:val="11"/>
                <w:szCs w:val="11"/>
                <w:color w:val="auto"/>
              </w:rPr>
            </w:pPr>
          </w:p>
        </w:tc>
        <w:tc>
          <w:tcPr>
            <w:tcW w:w="92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33,209,982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jc w:val="right"/>
              <w:ind w:right="33"/>
              <w:spacing w:after="0"/>
              <w:rPr>
                <w:sz w:val="20"/>
                <w:szCs w:val="20"/>
                <w:color w:val="auto"/>
              </w:rPr>
            </w:pPr>
            <w:r>
              <w:rPr>
                <w:rFonts w:ascii="Arial" w:cs="Arial" w:eastAsia="Arial" w:hAnsi="Arial"/>
                <w:sz w:val="13"/>
                <w:szCs w:val="13"/>
                <w:color w:val="auto"/>
              </w:rPr>
              <w:t>(PIK 1.00%)</w:t>
            </w:r>
          </w:p>
        </w:tc>
        <w:tc>
          <w:tcPr>
            <w:tcW w:w="740" w:type="dxa"/>
            <w:vAlign w:val="bottom"/>
          </w:tcPr>
          <w:p>
            <w:pPr>
              <w:spacing w:after="0"/>
              <w:rPr>
                <w:sz w:val="14"/>
                <w:szCs w:val="14"/>
                <w:color w:val="auto"/>
              </w:rPr>
            </w:pPr>
          </w:p>
        </w:tc>
        <w:tc>
          <w:tcPr>
            <w:tcW w:w="260" w:type="dxa"/>
            <w:vAlign w:val="bottom"/>
            <w:vMerge w:val="restart"/>
          </w:tcPr>
          <w:p>
            <w:pPr>
              <w:jc w:val="right"/>
              <w:ind w:right="64"/>
              <w:spacing w:after="0"/>
              <w:rPr>
                <w:sz w:val="20"/>
                <w:szCs w:val="20"/>
                <w:color w:val="auto"/>
              </w:rPr>
            </w:pPr>
            <w:r>
              <w:rPr>
                <w:rFonts w:ascii="Arial" w:cs="Arial" w:eastAsia="Arial" w:hAnsi="Arial"/>
                <w:sz w:val="11"/>
                <w:szCs w:val="11"/>
                <w:color w:val="auto"/>
                <w:w w:val="88"/>
              </w:rPr>
              <w:t>(8)</w:t>
            </w: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660" w:type="dxa"/>
            <w:vAlign w:val="bottom"/>
          </w:tcPr>
          <w:p>
            <w:pPr>
              <w:spacing w:after="0" w:line="138" w:lineRule="exact"/>
              <w:rPr>
                <w:sz w:val="20"/>
                <w:szCs w:val="20"/>
                <w:color w:val="auto"/>
              </w:rPr>
            </w:pPr>
            <w:r>
              <w:rPr>
                <w:rFonts w:ascii="Arial" w:cs="Arial" w:eastAsia="Arial" w:hAnsi="Arial"/>
                <w:sz w:val="13"/>
                <w:szCs w:val="13"/>
                <w:color w:val="auto"/>
              </w:rPr>
              <w:t>Pre-Paid Legal Services, Inc., Tranche B</w:t>
            </w:r>
          </w:p>
        </w:tc>
        <w:tc>
          <w:tcPr>
            <w:tcW w:w="1380" w:type="dxa"/>
            <w:vAlign w:val="bottom"/>
          </w:tcPr>
          <w:p>
            <w:pPr>
              <w:jc w:val="center"/>
              <w:ind w:left="533"/>
              <w:spacing w:after="0" w:line="138" w:lineRule="exact"/>
              <w:rPr>
                <w:sz w:val="20"/>
                <w:szCs w:val="20"/>
                <w:color w:val="auto"/>
              </w:rPr>
            </w:pPr>
            <w:r>
              <w:rPr>
                <w:rFonts w:ascii="Arial" w:cs="Arial" w:eastAsia="Arial" w:hAnsi="Arial"/>
                <w:sz w:val="13"/>
                <w:szCs w:val="13"/>
                <w:color w:val="auto"/>
                <w:w w:val="95"/>
              </w:rPr>
              <w:t>12/30/2016</w:t>
            </w:r>
          </w:p>
        </w:tc>
        <w:tc>
          <w:tcPr>
            <w:tcW w:w="1300" w:type="dxa"/>
            <w:vAlign w:val="bottom"/>
          </w:tcPr>
          <w:p>
            <w:pPr>
              <w:jc w:val="center"/>
              <w:spacing w:after="0" w:line="138" w:lineRule="exact"/>
              <w:rPr>
                <w:sz w:val="20"/>
                <w:szCs w:val="20"/>
                <w:color w:val="auto"/>
              </w:rPr>
            </w:pPr>
            <w:r>
              <w:rPr>
                <w:rFonts w:ascii="Arial" w:cs="Arial" w:eastAsia="Arial" w:hAnsi="Arial"/>
                <w:sz w:val="13"/>
                <w:szCs w:val="13"/>
                <w:color w:val="auto"/>
                <w:w w:val="91"/>
              </w:rPr>
              <w:t>Personal, Food and</w:t>
            </w:r>
          </w:p>
        </w:tc>
        <w:tc>
          <w:tcPr>
            <w:tcW w:w="960" w:type="dxa"/>
            <w:vAlign w:val="bottom"/>
          </w:tcPr>
          <w:p>
            <w:pPr>
              <w:jc w:val="right"/>
              <w:ind w:right="73"/>
              <w:spacing w:after="0" w:line="138" w:lineRule="exact"/>
              <w:rPr>
                <w:sz w:val="20"/>
                <w:szCs w:val="20"/>
                <w:color w:val="auto"/>
              </w:rPr>
            </w:pPr>
            <w:r>
              <w:rPr>
                <w:rFonts w:ascii="Arial" w:cs="Arial" w:eastAsia="Arial" w:hAnsi="Arial"/>
                <w:sz w:val="13"/>
                <w:szCs w:val="13"/>
                <w:color w:val="auto"/>
              </w:rPr>
              <w:t>11.00%</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L+950</w:t>
            </w:r>
          </w:p>
        </w:tc>
        <w:tc>
          <w:tcPr>
            <w:tcW w:w="260" w:type="dxa"/>
            <w:vAlign w:val="bottom"/>
            <w:vMerge w:val="continue"/>
          </w:tcPr>
          <w:p>
            <w:pPr>
              <w:spacing w:after="0"/>
              <w:rPr>
                <w:sz w:val="12"/>
                <w:szCs w:val="12"/>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40,000,000</w:t>
            </w:r>
          </w:p>
        </w:tc>
        <w:tc>
          <w:tcPr>
            <w:tcW w:w="360" w:type="dxa"/>
            <w:vAlign w:val="bottom"/>
          </w:tcPr>
          <w:p>
            <w:pPr>
              <w:spacing w:after="0"/>
              <w:rPr>
                <w:sz w:val="12"/>
                <w:szCs w:val="12"/>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39,125,698</w:t>
            </w:r>
          </w:p>
        </w:tc>
        <w:tc>
          <w:tcPr>
            <w:tcW w:w="120" w:type="dxa"/>
            <w:vAlign w:val="bottom"/>
          </w:tcPr>
          <w:p>
            <w:pPr>
              <w:spacing w:after="0"/>
              <w:rPr>
                <w:sz w:val="12"/>
                <w:szCs w:val="12"/>
                <w:color w:val="auto"/>
              </w:rPr>
            </w:pPr>
          </w:p>
        </w:tc>
        <w:tc>
          <w:tcPr>
            <w:tcW w:w="92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40,400,000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94"/>
              </w:rPr>
              <w:t>Miscellaneous</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660" w:type="dxa"/>
            <w:vAlign w:val="bottom"/>
            <w:vMerge w:val="restart"/>
          </w:tcPr>
          <w:p>
            <w:pPr>
              <w:spacing w:after="0"/>
              <w:rPr>
                <w:sz w:val="20"/>
                <w:szCs w:val="20"/>
                <w:color w:val="auto"/>
              </w:rPr>
            </w:pPr>
            <w:r>
              <w:rPr>
                <w:rFonts w:ascii="Arial" w:cs="Arial" w:eastAsia="Arial" w:hAnsi="Arial"/>
                <w:sz w:val="13"/>
                <w:szCs w:val="13"/>
                <w:color w:val="auto"/>
              </w:rPr>
              <w:t xml:space="preserve">Prince Mineral Holding Corp. </w:t>
            </w:r>
            <w:r>
              <w:rPr>
                <w:rFonts w:ascii="Arial" w:cs="Arial" w:eastAsia="Arial" w:hAnsi="Arial"/>
                <w:sz w:val="22"/>
                <w:szCs w:val="22"/>
                <w:color w:val="auto"/>
                <w:vertAlign w:val="superscript"/>
              </w:rPr>
              <w:t>(5)</w:t>
            </w:r>
          </w:p>
        </w:tc>
        <w:tc>
          <w:tcPr>
            <w:tcW w:w="138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92"/>
              </w:rPr>
              <w:t>Services</w:t>
            </w: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660" w:type="dxa"/>
            <w:vAlign w:val="bottom"/>
            <w:vMerge w:val="continue"/>
          </w:tcPr>
          <w:p>
            <w:pPr>
              <w:spacing w:after="0"/>
              <w:rPr>
                <w:sz w:val="11"/>
                <w:szCs w:val="11"/>
                <w:color w:val="auto"/>
              </w:rPr>
            </w:pPr>
          </w:p>
        </w:tc>
        <w:tc>
          <w:tcPr>
            <w:tcW w:w="1380" w:type="dxa"/>
            <w:vAlign w:val="bottom"/>
          </w:tcPr>
          <w:p>
            <w:pPr>
              <w:jc w:val="center"/>
              <w:ind w:left="533"/>
              <w:spacing w:after="0" w:line="138" w:lineRule="exact"/>
              <w:rPr>
                <w:sz w:val="20"/>
                <w:szCs w:val="20"/>
                <w:color w:val="auto"/>
              </w:rPr>
            </w:pPr>
            <w:r>
              <w:rPr>
                <w:rFonts w:ascii="Arial" w:cs="Arial" w:eastAsia="Arial" w:hAnsi="Arial"/>
                <w:sz w:val="13"/>
                <w:szCs w:val="13"/>
                <w:color w:val="auto"/>
                <w:w w:val="95"/>
              </w:rPr>
              <w:t>12/15/2019</w:t>
            </w:r>
          </w:p>
        </w:tc>
        <w:tc>
          <w:tcPr>
            <w:tcW w:w="1300" w:type="dxa"/>
            <w:vAlign w:val="bottom"/>
          </w:tcPr>
          <w:p>
            <w:pPr>
              <w:jc w:val="center"/>
              <w:spacing w:after="0" w:line="138" w:lineRule="exact"/>
              <w:rPr>
                <w:sz w:val="20"/>
                <w:szCs w:val="20"/>
                <w:color w:val="auto"/>
              </w:rPr>
            </w:pPr>
            <w:r>
              <w:rPr>
                <w:rFonts w:ascii="Arial" w:cs="Arial" w:eastAsia="Arial" w:hAnsi="Arial"/>
                <w:sz w:val="13"/>
                <w:szCs w:val="13"/>
                <w:color w:val="auto"/>
                <w:w w:val="99"/>
              </w:rPr>
              <w:t>Mining, Steel, Iron</w:t>
            </w:r>
          </w:p>
        </w:tc>
        <w:tc>
          <w:tcPr>
            <w:tcW w:w="960" w:type="dxa"/>
            <w:vAlign w:val="bottom"/>
          </w:tcPr>
          <w:p>
            <w:pPr>
              <w:jc w:val="right"/>
              <w:ind w:right="73"/>
              <w:spacing w:after="0" w:line="138" w:lineRule="exact"/>
              <w:rPr>
                <w:sz w:val="20"/>
                <w:szCs w:val="20"/>
                <w:color w:val="auto"/>
              </w:rPr>
            </w:pPr>
            <w:r>
              <w:rPr>
                <w:rFonts w:ascii="Arial" w:cs="Arial" w:eastAsia="Arial" w:hAnsi="Arial"/>
                <w:sz w:val="13"/>
                <w:szCs w:val="13"/>
                <w:color w:val="auto"/>
              </w:rPr>
              <w:t>11.50%</w:t>
            </w:r>
          </w:p>
        </w:tc>
        <w:tc>
          <w:tcPr>
            <w:tcW w:w="740" w:type="dxa"/>
            <w:vAlign w:val="bottom"/>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14,250,000</w:t>
            </w:r>
          </w:p>
        </w:tc>
        <w:tc>
          <w:tcPr>
            <w:tcW w:w="36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14,083,839</w:t>
            </w:r>
          </w:p>
        </w:tc>
        <w:tc>
          <w:tcPr>
            <w:tcW w:w="120" w:type="dxa"/>
            <w:vAlign w:val="bottom"/>
          </w:tcPr>
          <w:p>
            <w:pPr>
              <w:spacing w:after="0"/>
              <w:rPr>
                <w:sz w:val="11"/>
                <w:szCs w:val="11"/>
                <w:color w:val="auto"/>
              </w:rPr>
            </w:pPr>
          </w:p>
        </w:tc>
        <w:tc>
          <w:tcPr>
            <w:tcW w:w="92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14,748,750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92"/>
              </w:rPr>
              <w:t>and Non-Precious</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6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93"/>
              </w:rPr>
              <w:t>Metals</w:t>
            </w: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vMerge w:val="restart"/>
          </w:tcPr>
          <w:p>
            <w:pPr>
              <w:jc w:val="right"/>
              <w:ind w:right="64"/>
              <w:spacing w:after="0"/>
              <w:rPr>
                <w:sz w:val="20"/>
                <w:szCs w:val="20"/>
                <w:color w:val="auto"/>
              </w:rPr>
            </w:pPr>
            <w:r>
              <w:rPr>
                <w:rFonts w:ascii="Arial" w:cs="Arial" w:eastAsia="Arial" w:hAnsi="Arial"/>
                <w:sz w:val="11"/>
                <w:szCs w:val="11"/>
                <w:color w:val="auto"/>
                <w:w w:val="88"/>
              </w:rPr>
              <w:t>(8)</w:t>
            </w: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20"/>
                <w:szCs w:val="20"/>
                <w:color w:val="auto"/>
              </w:rPr>
            </w:pPr>
            <w:r>
              <w:rPr>
                <w:rFonts w:ascii="Arial" w:cs="Arial" w:eastAsia="Arial" w:hAnsi="Arial"/>
                <w:sz w:val="13"/>
                <w:szCs w:val="13"/>
                <w:color w:val="auto"/>
              </w:rPr>
              <w:t>Tekelec Global Inc.</w:t>
            </w:r>
          </w:p>
        </w:tc>
        <w:tc>
          <w:tcPr>
            <w:tcW w:w="1380" w:type="dxa"/>
            <w:vAlign w:val="bottom"/>
          </w:tcPr>
          <w:p>
            <w:pPr>
              <w:jc w:val="center"/>
              <w:ind w:left="533"/>
              <w:spacing w:after="0"/>
              <w:rPr>
                <w:sz w:val="20"/>
                <w:szCs w:val="20"/>
                <w:color w:val="auto"/>
              </w:rPr>
            </w:pPr>
            <w:r>
              <w:rPr>
                <w:rFonts w:ascii="Arial" w:cs="Arial" w:eastAsia="Arial" w:hAnsi="Arial"/>
                <w:sz w:val="13"/>
                <w:szCs w:val="13"/>
                <w:color w:val="auto"/>
                <w:w w:val="95"/>
              </w:rPr>
              <w:t>01/29/2018</w:t>
            </w:r>
          </w:p>
        </w:tc>
        <w:tc>
          <w:tcPr>
            <w:tcW w:w="1300" w:type="dxa"/>
            <w:vAlign w:val="bottom"/>
          </w:tcPr>
          <w:p>
            <w:pPr>
              <w:jc w:val="center"/>
              <w:spacing w:after="0"/>
              <w:rPr>
                <w:sz w:val="20"/>
                <w:szCs w:val="20"/>
                <w:color w:val="auto"/>
              </w:rPr>
            </w:pPr>
            <w:r>
              <w:rPr>
                <w:rFonts w:ascii="Arial" w:cs="Arial" w:eastAsia="Arial" w:hAnsi="Arial"/>
                <w:sz w:val="13"/>
                <w:szCs w:val="13"/>
                <w:color w:val="auto"/>
                <w:w w:val="93"/>
              </w:rPr>
              <w:t>Telecommunications</w:t>
            </w: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13.50%</w:t>
            </w:r>
          </w:p>
        </w:tc>
        <w:tc>
          <w:tcPr>
            <w:tcW w:w="740" w:type="dxa"/>
            <w:vAlign w:val="bottom"/>
          </w:tcPr>
          <w:p>
            <w:pPr>
              <w:jc w:val="right"/>
              <w:spacing w:after="0"/>
              <w:rPr>
                <w:sz w:val="20"/>
                <w:szCs w:val="20"/>
                <w:color w:val="auto"/>
              </w:rPr>
            </w:pPr>
            <w:r>
              <w:rPr>
                <w:rFonts w:ascii="Arial" w:cs="Arial" w:eastAsia="Arial" w:hAnsi="Arial"/>
                <w:sz w:val="13"/>
                <w:szCs w:val="13"/>
                <w:color w:val="auto"/>
              </w:rPr>
              <w:t>L+1,200</w:t>
            </w:r>
          </w:p>
        </w:tc>
        <w:tc>
          <w:tcPr>
            <w:tcW w:w="260" w:type="dxa"/>
            <w:vAlign w:val="bottom"/>
            <w:vMerge w:val="continue"/>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10,625,000</w:t>
            </w:r>
          </w:p>
        </w:tc>
        <w:tc>
          <w:tcPr>
            <w:tcW w:w="3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10,347,723</w:t>
            </w:r>
          </w:p>
        </w:tc>
        <w:tc>
          <w:tcPr>
            <w:tcW w:w="120" w:type="dxa"/>
            <w:vAlign w:val="bottom"/>
          </w:tcPr>
          <w:p>
            <w:pPr>
              <w:spacing w:after="0"/>
              <w:rPr>
                <w:sz w:val="12"/>
                <w:szCs w:val="12"/>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10,837,500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spacing w:after="0"/>
              <w:rPr>
                <w:sz w:val="20"/>
                <w:szCs w:val="20"/>
                <w:color w:val="auto"/>
              </w:rPr>
            </w:pPr>
            <w:r>
              <w:rPr>
                <w:rFonts w:ascii="Arial" w:cs="Arial" w:eastAsia="Arial" w:hAnsi="Arial"/>
                <w:sz w:val="13"/>
                <w:szCs w:val="13"/>
                <w:color w:val="auto"/>
              </w:rPr>
              <w:t>Worley Claims Services, LLC</w:t>
            </w:r>
          </w:p>
        </w:tc>
        <w:tc>
          <w:tcPr>
            <w:tcW w:w="1380" w:type="dxa"/>
            <w:vAlign w:val="bottom"/>
            <w:shd w:val="clear" w:color="auto" w:fill="CCEEFF"/>
          </w:tcPr>
          <w:p>
            <w:pPr>
              <w:jc w:val="center"/>
              <w:ind w:left="533"/>
              <w:spacing w:after="0"/>
              <w:rPr>
                <w:sz w:val="20"/>
                <w:szCs w:val="20"/>
                <w:color w:val="auto"/>
              </w:rPr>
            </w:pPr>
            <w:r>
              <w:rPr>
                <w:rFonts w:ascii="Arial" w:cs="Arial" w:eastAsia="Arial" w:hAnsi="Arial"/>
                <w:sz w:val="13"/>
                <w:szCs w:val="13"/>
                <w:color w:val="auto"/>
                <w:w w:val="95"/>
              </w:rPr>
              <w:t>07/06/2017</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Insurance</w:t>
            </w: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12.50%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L+1,100</w:t>
            </w:r>
          </w:p>
        </w:tc>
        <w:tc>
          <w:tcPr>
            <w:tcW w:w="26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w w:val="88"/>
              </w:rPr>
              <w:t>(8)</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14,796,000</w:t>
            </w: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14,796,000</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14,722,020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660" w:type="dxa"/>
            <w:vAlign w:val="bottom"/>
          </w:tcPr>
          <w:p>
            <w:pPr>
              <w:spacing w:after="0" w:line="138" w:lineRule="exact"/>
              <w:rPr>
                <w:sz w:val="20"/>
                <w:szCs w:val="20"/>
                <w:color w:val="auto"/>
              </w:rPr>
            </w:pPr>
            <w:r>
              <w:rPr>
                <w:rFonts w:ascii="Arial" w:cs="Arial" w:eastAsia="Arial" w:hAnsi="Arial"/>
                <w:sz w:val="13"/>
                <w:szCs w:val="13"/>
                <w:color w:val="auto"/>
              </w:rPr>
              <w:t>Z Wireless</w:t>
            </w:r>
          </w:p>
        </w:tc>
        <w:tc>
          <w:tcPr>
            <w:tcW w:w="1380" w:type="dxa"/>
            <w:vAlign w:val="bottom"/>
          </w:tcPr>
          <w:p>
            <w:pPr>
              <w:jc w:val="center"/>
              <w:ind w:left="533"/>
              <w:spacing w:after="0" w:line="138" w:lineRule="exact"/>
              <w:rPr>
                <w:sz w:val="20"/>
                <w:szCs w:val="20"/>
                <w:color w:val="auto"/>
              </w:rPr>
            </w:pPr>
            <w:r>
              <w:rPr>
                <w:rFonts w:ascii="Arial" w:cs="Arial" w:eastAsia="Arial" w:hAnsi="Arial"/>
                <w:sz w:val="13"/>
                <w:szCs w:val="13"/>
                <w:color w:val="auto"/>
                <w:w w:val="95"/>
              </w:rPr>
              <w:t>12/21/2016</w:t>
            </w:r>
          </w:p>
        </w:tc>
        <w:tc>
          <w:tcPr>
            <w:tcW w:w="1300" w:type="dxa"/>
            <w:vAlign w:val="bottom"/>
          </w:tcPr>
          <w:p>
            <w:pPr>
              <w:jc w:val="center"/>
              <w:spacing w:after="0" w:line="138" w:lineRule="exact"/>
              <w:rPr>
                <w:sz w:val="20"/>
                <w:szCs w:val="20"/>
                <w:color w:val="auto"/>
              </w:rPr>
            </w:pPr>
            <w:r>
              <w:rPr>
                <w:rFonts w:ascii="Arial" w:cs="Arial" w:eastAsia="Arial" w:hAnsi="Arial"/>
                <w:sz w:val="13"/>
                <w:szCs w:val="13"/>
                <w:color w:val="auto"/>
                <w:w w:val="96"/>
              </w:rPr>
              <w:t>Retail</w:t>
            </w:r>
          </w:p>
        </w:tc>
        <w:tc>
          <w:tcPr>
            <w:tcW w:w="960" w:type="dxa"/>
            <w:vAlign w:val="bottom"/>
          </w:tcPr>
          <w:p>
            <w:pPr>
              <w:jc w:val="right"/>
              <w:ind w:right="73"/>
              <w:spacing w:after="0" w:line="138" w:lineRule="exact"/>
              <w:rPr>
                <w:sz w:val="20"/>
                <w:szCs w:val="20"/>
                <w:color w:val="auto"/>
              </w:rPr>
            </w:pPr>
            <w:r>
              <w:rPr>
                <w:rFonts w:ascii="Arial" w:cs="Arial" w:eastAsia="Arial" w:hAnsi="Arial"/>
                <w:sz w:val="13"/>
                <w:szCs w:val="13"/>
                <w:color w:val="auto"/>
              </w:rPr>
              <w:t>12.50%</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L+1,225</w:t>
            </w:r>
          </w:p>
        </w:tc>
        <w:tc>
          <w:tcPr>
            <w:tcW w:w="26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14,400,000</w:t>
            </w:r>
          </w:p>
        </w:tc>
        <w:tc>
          <w:tcPr>
            <w:tcW w:w="360" w:type="dxa"/>
            <w:vAlign w:val="bottom"/>
          </w:tcPr>
          <w:p>
            <w:pPr>
              <w:spacing w:after="0"/>
              <w:rPr>
                <w:sz w:val="11"/>
                <w:szCs w:val="11"/>
                <w:color w:val="auto"/>
              </w:rPr>
            </w:pPr>
          </w:p>
        </w:tc>
        <w:tc>
          <w:tcPr>
            <w:tcW w:w="86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14,112,442</w:t>
            </w:r>
          </w:p>
        </w:tc>
        <w:tc>
          <w:tcPr>
            <w:tcW w:w="92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14,400,000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6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60" w:type="dxa"/>
            <w:vAlign w:val="bottom"/>
          </w:tcPr>
          <w:p>
            <w:pPr>
              <w:jc w:val="right"/>
              <w:ind w:right="33"/>
              <w:spacing w:after="0"/>
              <w:rPr>
                <w:sz w:val="20"/>
                <w:szCs w:val="20"/>
                <w:color w:val="auto"/>
              </w:rPr>
            </w:pPr>
            <w:r>
              <w:rPr>
                <w:rFonts w:ascii="Arial" w:cs="Arial" w:eastAsia="Arial" w:hAnsi="Arial"/>
                <w:sz w:val="13"/>
                <w:szCs w:val="13"/>
                <w:color w:val="auto"/>
              </w:rPr>
              <w:t>(PIK 1.50%)</w:t>
            </w: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First Lien Secured Debt</w:t>
            </w:r>
          </w:p>
        </w:tc>
        <w:tc>
          <w:tcPr>
            <w:tcW w:w="13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296,489,357</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299,999,217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660" w:type="dxa"/>
            <w:vAlign w:val="bottom"/>
          </w:tcPr>
          <w:p>
            <w:pPr>
              <w:spacing w:after="0"/>
              <w:rPr>
                <w:sz w:val="20"/>
                <w:szCs w:val="20"/>
                <w:color w:val="auto"/>
              </w:rPr>
            </w:pPr>
            <w:r>
              <w:rPr>
                <w:rFonts w:ascii="Arial" w:cs="Arial" w:eastAsia="Arial" w:hAnsi="Arial"/>
                <w:sz w:val="13"/>
                <w:szCs w:val="13"/>
                <w:b w:val="1"/>
                <w:bCs w:val="1"/>
                <w:color w:val="auto"/>
              </w:rPr>
              <w:t>Second Lien Secured Debt—27.6%</w:t>
            </w:r>
          </w:p>
        </w:tc>
        <w:tc>
          <w:tcPr>
            <w:tcW w:w="13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66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American Gilsonite Company </w:t>
            </w:r>
            <w:r>
              <w:rPr>
                <w:rFonts w:ascii="Arial" w:cs="Arial" w:eastAsia="Arial" w:hAnsi="Arial"/>
                <w:sz w:val="15"/>
                <w:szCs w:val="15"/>
                <w:color w:val="auto"/>
                <w:vertAlign w:val="superscript"/>
              </w:rPr>
              <w:t>(5)</w:t>
            </w:r>
          </w:p>
        </w:tc>
        <w:tc>
          <w:tcPr>
            <w:tcW w:w="1380" w:type="dxa"/>
            <w:vAlign w:val="bottom"/>
            <w:shd w:val="clear" w:color="auto" w:fill="CCEEFF"/>
          </w:tcPr>
          <w:p>
            <w:pPr>
              <w:jc w:val="center"/>
              <w:ind w:left="533"/>
              <w:spacing w:after="0" w:line="138" w:lineRule="exact"/>
              <w:rPr>
                <w:sz w:val="20"/>
                <w:szCs w:val="20"/>
                <w:color w:val="auto"/>
              </w:rPr>
            </w:pPr>
            <w:r>
              <w:rPr>
                <w:rFonts w:ascii="Arial" w:cs="Arial" w:eastAsia="Arial" w:hAnsi="Arial"/>
                <w:sz w:val="13"/>
                <w:szCs w:val="13"/>
                <w:color w:val="auto"/>
                <w:w w:val="95"/>
              </w:rPr>
              <w:t>09/01/2017</w:t>
            </w:r>
          </w:p>
        </w:tc>
        <w:tc>
          <w:tcPr>
            <w:tcW w:w="13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7"/>
              </w:rPr>
              <w:t>Diversified Natural</w:t>
            </w:r>
          </w:p>
        </w:tc>
        <w:tc>
          <w:tcPr>
            <w:tcW w:w="960" w:type="dxa"/>
            <w:vAlign w:val="bottom"/>
            <w:shd w:val="clear" w:color="auto" w:fill="CCEEFF"/>
          </w:tcPr>
          <w:p>
            <w:pPr>
              <w:jc w:val="right"/>
              <w:ind w:right="73"/>
              <w:spacing w:after="0" w:line="138" w:lineRule="exact"/>
              <w:rPr>
                <w:sz w:val="20"/>
                <w:szCs w:val="20"/>
                <w:color w:val="auto"/>
              </w:rPr>
            </w:pPr>
            <w:r>
              <w:rPr>
                <w:rFonts w:ascii="Arial" w:cs="Arial" w:eastAsia="Arial" w:hAnsi="Arial"/>
                <w:sz w:val="13"/>
                <w:szCs w:val="13"/>
                <w:color w:val="auto"/>
              </w:rPr>
              <w:t>11.50%</w:t>
            </w:r>
          </w:p>
        </w:tc>
        <w:tc>
          <w:tcPr>
            <w:tcW w:w="74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25,400,000</w:t>
            </w:r>
          </w:p>
        </w:tc>
        <w:tc>
          <w:tcPr>
            <w:tcW w:w="3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25,400,000</w:t>
            </w: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26,162,000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Resources, Precious</w:t>
            </w:r>
          </w:p>
        </w:tc>
        <w:tc>
          <w:tcPr>
            <w:tcW w:w="9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6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Metals and Minerals</w:t>
            </w:r>
          </w:p>
        </w:tc>
        <w:tc>
          <w:tcPr>
            <w:tcW w:w="9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20"/>
                <w:szCs w:val="20"/>
                <w:color w:val="auto"/>
              </w:rPr>
            </w:pPr>
            <w:r>
              <w:rPr>
                <w:rFonts w:ascii="Arial" w:cs="Arial" w:eastAsia="Arial" w:hAnsi="Arial"/>
                <w:sz w:val="13"/>
                <w:szCs w:val="13"/>
                <w:color w:val="auto"/>
              </w:rPr>
              <w:t>Brand Energy and Infrastructure Services, Inc.</w:t>
            </w:r>
          </w:p>
        </w:tc>
        <w:tc>
          <w:tcPr>
            <w:tcW w:w="1380" w:type="dxa"/>
            <w:vAlign w:val="bottom"/>
          </w:tcPr>
          <w:p>
            <w:pPr>
              <w:jc w:val="center"/>
              <w:ind w:left="533"/>
              <w:spacing w:after="0"/>
              <w:rPr>
                <w:sz w:val="20"/>
                <w:szCs w:val="20"/>
                <w:color w:val="auto"/>
              </w:rPr>
            </w:pPr>
            <w:r>
              <w:rPr>
                <w:rFonts w:ascii="Arial" w:cs="Arial" w:eastAsia="Arial" w:hAnsi="Arial"/>
                <w:sz w:val="13"/>
                <w:szCs w:val="13"/>
                <w:color w:val="auto"/>
                <w:w w:val="95"/>
              </w:rPr>
              <w:t>10/23/2019</w:t>
            </w:r>
          </w:p>
        </w:tc>
        <w:tc>
          <w:tcPr>
            <w:tcW w:w="1300" w:type="dxa"/>
            <w:vAlign w:val="bottom"/>
          </w:tcPr>
          <w:p>
            <w:pPr>
              <w:jc w:val="center"/>
              <w:spacing w:after="0"/>
              <w:rPr>
                <w:sz w:val="20"/>
                <w:szCs w:val="20"/>
                <w:color w:val="auto"/>
              </w:rPr>
            </w:pPr>
            <w:r>
              <w:rPr>
                <w:rFonts w:ascii="Arial" w:cs="Arial" w:eastAsia="Arial" w:hAnsi="Arial"/>
                <w:sz w:val="13"/>
                <w:szCs w:val="13"/>
                <w:color w:val="auto"/>
                <w:w w:val="97"/>
              </w:rPr>
              <w:t>Energy / Utilities</w:t>
            </w: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11.00%</w:t>
            </w:r>
          </w:p>
        </w:tc>
        <w:tc>
          <w:tcPr>
            <w:tcW w:w="740" w:type="dxa"/>
            <w:vAlign w:val="bottom"/>
          </w:tcPr>
          <w:p>
            <w:pPr>
              <w:jc w:val="right"/>
              <w:spacing w:after="0"/>
              <w:rPr>
                <w:sz w:val="20"/>
                <w:szCs w:val="20"/>
                <w:color w:val="auto"/>
              </w:rPr>
            </w:pPr>
            <w:r>
              <w:rPr>
                <w:rFonts w:ascii="Arial" w:cs="Arial" w:eastAsia="Arial" w:hAnsi="Arial"/>
                <w:sz w:val="13"/>
                <w:szCs w:val="13"/>
                <w:color w:val="auto"/>
              </w:rPr>
              <w:t>L+975</w:t>
            </w:r>
          </w:p>
        </w:tc>
        <w:tc>
          <w:tcPr>
            <w:tcW w:w="260" w:type="dxa"/>
            <w:vAlign w:val="bottom"/>
          </w:tcPr>
          <w:p>
            <w:pPr>
              <w:jc w:val="right"/>
              <w:ind w:right="64"/>
              <w:spacing w:after="0"/>
              <w:rPr>
                <w:sz w:val="20"/>
                <w:szCs w:val="20"/>
                <w:color w:val="auto"/>
              </w:rPr>
            </w:pPr>
            <w:r>
              <w:rPr>
                <w:rFonts w:ascii="Arial" w:cs="Arial" w:eastAsia="Arial" w:hAnsi="Arial"/>
                <w:sz w:val="11"/>
                <w:szCs w:val="11"/>
                <w:color w:val="auto"/>
                <w:w w:val="88"/>
              </w:rPr>
              <w:t>(8)</w:t>
            </w:r>
          </w:p>
        </w:tc>
        <w:tc>
          <w:tcPr>
            <w:tcW w:w="740" w:type="dxa"/>
            <w:vAlign w:val="bottom"/>
          </w:tcPr>
          <w:p>
            <w:pPr>
              <w:jc w:val="right"/>
              <w:spacing w:after="0"/>
              <w:rPr>
                <w:sz w:val="20"/>
                <w:szCs w:val="20"/>
                <w:color w:val="auto"/>
              </w:rPr>
            </w:pPr>
            <w:r>
              <w:rPr>
                <w:rFonts w:ascii="Arial" w:cs="Arial" w:eastAsia="Arial" w:hAnsi="Arial"/>
                <w:sz w:val="13"/>
                <w:szCs w:val="13"/>
                <w:color w:val="auto"/>
              </w:rPr>
              <w:t>23,750,000</w:t>
            </w:r>
          </w:p>
        </w:tc>
        <w:tc>
          <w:tcPr>
            <w:tcW w:w="3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23,282,130</w:t>
            </w:r>
          </w:p>
        </w:tc>
        <w:tc>
          <w:tcPr>
            <w:tcW w:w="120" w:type="dxa"/>
            <w:vAlign w:val="bottom"/>
          </w:tcPr>
          <w:p>
            <w:pPr>
              <w:spacing w:after="0"/>
              <w:rPr>
                <w:sz w:val="12"/>
                <w:szCs w:val="12"/>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23,275,000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spacing w:after="0"/>
              <w:rPr>
                <w:sz w:val="20"/>
                <w:szCs w:val="20"/>
                <w:color w:val="auto"/>
              </w:rPr>
            </w:pPr>
            <w:r>
              <w:rPr>
                <w:rFonts w:ascii="Arial" w:cs="Arial" w:eastAsia="Arial" w:hAnsi="Arial"/>
                <w:sz w:val="13"/>
                <w:szCs w:val="13"/>
                <w:color w:val="auto"/>
              </w:rPr>
              <w:t>Eureka Hunter Pipeline, LLC</w:t>
            </w:r>
          </w:p>
        </w:tc>
        <w:tc>
          <w:tcPr>
            <w:tcW w:w="1380" w:type="dxa"/>
            <w:vAlign w:val="bottom"/>
            <w:shd w:val="clear" w:color="auto" w:fill="CCEEFF"/>
          </w:tcPr>
          <w:p>
            <w:pPr>
              <w:jc w:val="center"/>
              <w:ind w:left="533"/>
              <w:spacing w:after="0"/>
              <w:rPr>
                <w:sz w:val="20"/>
                <w:szCs w:val="20"/>
                <w:color w:val="auto"/>
              </w:rPr>
            </w:pPr>
            <w:r>
              <w:rPr>
                <w:rFonts w:ascii="Arial" w:cs="Arial" w:eastAsia="Arial" w:hAnsi="Arial"/>
                <w:sz w:val="13"/>
                <w:szCs w:val="13"/>
                <w:color w:val="auto"/>
                <w:w w:val="95"/>
              </w:rPr>
              <w:t>08/16/2018</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Energy / Utilities</w:t>
            </w: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12.50%</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45,000,000</w:t>
            </w: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44,564,415</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45,450,000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660" w:type="dxa"/>
            <w:vAlign w:val="bottom"/>
          </w:tcPr>
          <w:p>
            <w:pPr>
              <w:spacing w:after="0" w:line="138" w:lineRule="exact"/>
              <w:rPr>
                <w:sz w:val="20"/>
                <w:szCs w:val="20"/>
                <w:color w:val="auto"/>
              </w:rPr>
            </w:pPr>
            <w:r>
              <w:rPr>
                <w:rFonts w:ascii="Arial" w:cs="Arial" w:eastAsia="Arial" w:hAnsi="Arial"/>
                <w:sz w:val="13"/>
                <w:szCs w:val="13"/>
                <w:color w:val="auto"/>
              </w:rPr>
              <w:t>Greatwide Logistics Services, L.L.C.</w:t>
            </w:r>
          </w:p>
        </w:tc>
        <w:tc>
          <w:tcPr>
            <w:tcW w:w="1380" w:type="dxa"/>
            <w:vAlign w:val="bottom"/>
          </w:tcPr>
          <w:p>
            <w:pPr>
              <w:jc w:val="center"/>
              <w:ind w:left="533"/>
              <w:spacing w:after="0" w:line="138" w:lineRule="exact"/>
              <w:rPr>
                <w:sz w:val="20"/>
                <w:szCs w:val="20"/>
                <w:color w:val="auto"/>
              </w:rPr>
            </w:pPr>
            <w:r>
              <w:rPr>
                <w:rFonts w:ascii="Arial" w:cs="Arial" w:eastAsia="Arial" w:hAnsi="Arial"/>
                <w:sz w:val="13"/>
                <w:szCs w:val="13"/>
                <w:color w:val="auto"/>
                <w:w w:val="95"/>
              </w:rPr>
              <w:t>03/01/2014</w:t>
            </w:r>
          </w:p>
        </w:tc>
        <w:tc>
          <w:tcPr>
            <w:tcW w:w="1300" w:type="dxa"/>
            <w:vAlign w:val="bottom"/>
          </w:tcPr>
          <w:p>
            <w:pPr>
              <w:jc w:val="center"/>
              <w:spacing w:after="0" w:line="138" w:lineRule="exact"/>
              <w:rPr>
                <w:sz w:val="20"/>
                <w:szCs w:val="20"/>
                <w:color w:val="auto"/>
              </w:rPr>
            </w:pPr>
            <w:r>
              <w:rPr>
                <w:rFonts w:ascii="Arial" w:cs="Arial" w:eastAsia="Arial" w:hAnsi="Arial"/>
                <w:sz w:val="13"/>
                <w:szCs w:val="13"/>
                <w:color w:val="auto"/>
                <w:w w:val="92"/>
              </w:rPr>
              <w:t>Cargo Transport</w:t>
            </w:r>
          </w:p>
        </w:tc>
        <w:tc>
          <w:tcPr>
            <w:tcW w:w="960" w:type="dxa"/>
            <w:vAlign w:val="bottom"/>
          </w:tcPr>
          <w:p>
            <w:pPr>
              <w:jc w:val="right"/>
              <w:ind w:right="73"/>
              <w:spacing w:after="0" w:line="138" w:lineRule="exact"/>
              <w:rPr>
                <w:sz w:val="20"/>
                <w:szCs w:val="20"/>
                <w:color w:val="auto"/>
              </w:rPr>
            </w:pPr>
            <w:r>
              <w:rPr>
                <w:rFonts w:ascii="Arial" w:cs="Arial" w:eastAsia="Arial" w:hAnsi="Arial"/>
                <w:sz w:val="13"/>
                <w:szCs w:val="13"/>
                <w:color w:val="auto"/>
              </w:rPr>
              <w:t>11.00%</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L+700</w:t>
            </w:r>
          </w:p>
        </w:tc>
        <w:tc>
          <w:tcPr>
            <w:tcW w:w="260" w:type="dxa"/>
            <w:vAlign w:val="bottom"/>
          </w:tcPr>
          <w:p>
            <w:pPr>
              <w:jc w:val="right"/>
              <w:ind w:right="64"/>
              <w:spacing w:after="0"/>
              <w:rPr>
                <w:sz w:val="20"/>
                <w:szCs w:val="20"/>
                <w:color w:val="auto"/>
              </w:rPr>
            </w:pPr>
            <w:r>
              <w:rPr>
                <w:rFonts w:ascii="Arial" w:cs="Arial" w:eastAsia="Arial" w:hAnsi="Arial"/>
                <w:sz w:val="11"/>
                <w:szCs w:val="11"/>
                <w:color w:val="auto"/>
                <w:w w:val="88"/>
              </w:rPr>
              <w:t>(8)</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3,184,219</w:t>
            </w:r>
          </w:p>
        </w:tc>
        <w:tc>
          <w:tcPr>
            <w:tcW w:w="36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3,184,222</w:t>
            </w:r>
          </w:p>
        </w:tc>
        <w:tc>
          <w:tcPr>
            <w:tcW w:w="120" w:type="dxa"/>
            <w:vAlign w:val="bottom"/>
          </w:tcPr>
          <w:p>
            <w:pPr>
              <w:spacing w:after="0"/>
              <w:rPr>
                <w:sz w:val="11"/>
                <w:szCs w:val="11"/>
                <w:color w:val="auto"/>
              </w:rPr>
            </w:pPr>
          </w:p>
        </w:tc>
        <w:tc>
          <w:tcPr>
            <w:tcW w:w="92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1,751,320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60" w:type="dxa"/>
            <w:vAlign w:val="bottom"/>
          </w:tcPr>
          <w:p>
            <w:pPr>
              <w:jc w:val="right"/>
              <w:ind w:right="33"/>
              <w:spacing w:after="0"/>
              <w:rPr>
                <w:sz w:val="20"/>
                <w:szCs w:val="20"/>
                <w:color w:val="auto"/>
              </w:rPr>
            </w:pPr>
            <w:r>
              <w:rPr>
                <w:rFonts w:ascii="Arial" w:cs="Arial" w:eastAsia="Arial" w:hAnsi="Arial"/>
                <w:sz w:val="13"/>
                <w:szCs w:val="13"/>
                <w:color w:val="auto"/>
              </w:rPr>
              <w:t>(PIK 11.00%)</w:t>
            </w: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6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Jacobs Entertainment, Inc.</w:t>
            </w:r>
          </w:p>
        </w:tc>
        <w:tc>
          <w:tcPr>
            <w:tcW w:w="1380" w:type="dxa"/>
            <w:vAlign w:val="bottom"/>
            <w:shd w:val="clear" w:color="auto" w:fill="CCEEFF"/>
          </w:tcPr>
          <w:p>
            <w:pPr>
              <w:jc w:val="center"/>
              <w:ind w:left="533"/>
              <w:spacing w:after="0" w:line="138" w:lineRule="exact"/>
              <w:rPr>
                <w:sz w:val="20"/>
                <w:szCs w:val="20"/>
                <w:color w:val="auto"/>
              </w:rPr>
            </w:pPr>
            <w:r>
              <w:rPr>
                <w:rFonts w:ascii="Arial" w:cs="Arial" w:eastAsia="Arial" w:hAnsi="Arial"/>
                <w:sz w:val="13"/>
                <w:szCs w:val="13"/>
                <w:color w:val="auto"/>
                <w:w w:val="95"/>
              </w:rPr>
              <w:t>10/29/2019</w:t>
            </w:r>
          </w:p>
        </w:tc>
        <w:tc>
          <w:tcPr>
            <w:tcW w:w="13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7"/>
              </w:rPr>
              <w:t>Hotels, Motels,</w:t>
            </w:r>
          </w:p>
        </w:tc>
        <w:tc>
          <w:tcPr>
            <w:tcW w:w="960" w:type="dxa"/>
            <w:vAlign w:val="bottom"/>
            <w:shd w:val="clear" w:color="auto" w:fill="CCEEFF"/>
          </w:tcPr>
          <w:p>
            <w:pPr>
              <w:jc w:val="right"/>
              <w:ind w:right="73"/>
              <w:spacing w:after="0" w:line="138" w:lineRule="exact"/>
              <w:rPr>
                <w:sz w:val="20"/>
                <w:szCs w:val="20"/>
                <w:color w:val="auto"/>
              </w:rPr>
            </w:pPr>
            <w:r>
              <w:rPr>
                <w:rFonts w:ascii="Arial" w:cs="Arial" w:eastAsia="Arial" w:hAnsi="Arial"/>
                <w:sz w:val="13"/>
                <w:szCs w:val="13"/>
                <w:color w:val="auto"/>
              </w:rPr>
              <w:t>13.00%</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L+1,175</w:t>
            </w:r>
          </w:p>
        </w:tc>
        <w:tc>
          <w:tcPr>
            <w:tcW w:w="26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w w:val="88"/>
              </w:rPr>
              <w:t>(8)</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38,950,000</w:t>
            </w:r>
          </w:p>
        </w:tc>
        <w:tc>
          <w:tcPr>
            <w:tcW w:w="3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38,187,667</w:t>
            </w: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38,171,000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6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Inns and Gaming</w:t>
            </w:r>
          </w:p>
        </w:tc>
        <w:tc>
          <w:tcPr>
            <w:tcW w:w="9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line="149" w:lineRule="exact"/>
              <w:rPr>
                <w:sz w:val="20"/>
                <w:szCs w:val="20"/>
                <w:color w:val="auto"/>
              </w:rPr>
            </w:pPr>
            <w:r>
              <w:rPr>
                <w:rFonts w:ascii="Arial" w:cs="Arial" w:eastAsia="Arial" w:hAnsi="Arial"/>
                <w:sz w:val="11"/>
                <w:szCs w:val="11"/>
                <w:color w:val="auto"/>
              </w:rPr>
              <w:t xml:space="preserve">Linc USA GP and Linc Energy Finance (USA), Inc </w:t>
            </w:r>
            <w:r>
              <w:rPr>
                <w:rFonts w:ascii="Arial" w:cs="Arial" w:eastAsia="Arial" w:hAnsi="Arial"/>
                <w:sz w:val="17"/>
                <w:szCs w:val="17"/>
                <w:color w:val="auto"/>
                <w:vertAlign w:val="superscript"/>
              </w:rPr>
              <w:t>(5)</w:t>
            </w:r>
          </w:p>
        </w:tc>
        <w:tc>
          <w:tcPr>
            <w:tcW w:w="1380" w:type="dxa"/>
            <w:vAlign w:val="bottom"/>
          </w:tcPr>
          <w:p>
            <w:pPr>
              <w:jc w:val="center"/>
              <w:ind w:left="533"/>
              <w:spacing w:after="0"/>
              <w:rPr>
                <w:sz w:val="20"/>
                <w:szCs w:val="20"/>
                <w:color w:val="auto"/>
              </w:rPr>
            </w:pPr>
            <w:r>
              <w:rPr>
                <w:rFonts w:ascii="Arial" w:cs="Arial" w:eastAsia="Arial" w:hAnsi="Arial"/>
                <w:sz w:val="13"/>
                <w:szCs w:val="13"/>
                <w:color w:val="auto"/>
                <w:w w:val="95"/>
              </w:rPr>
              <w:t>10/31/2017</w:t>
            </w:r>
          </w:p>
        </w:tc>
        <w:tc>
          <w:tcPr>
            <w:tcW w:w="1300" w:type="dxa"/>
            <w:vAlign w:val="bottom"/>
          </w:tcPr>
          <w:p>
            <w:pPr>
              <w:jc w:val="center"/>
              <w:spacing w:after="0"/>
              <w:rPr>
                <w:sz w:val="20"/>
                <w:szCs w:val="20"/>
                <w:color w:val="auto"/>
              </w:rPr>
            </w:pPr>
            <w:r>
              <w:rPr>
                <w:rFonts w:ascii="Arial" w:cs="Arial" w:eastAsia="Arial" w:hAnsi="Arial"/>
                <w:sz w:val="13"/>
                <w:szCs w:val="13"/>
                <w:color w:val="auto"/>
                <w:w w:val="93"/>
              </w:rPr>
              <w:t>Oil and Gas</w:t>
            </w: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12.50%</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3"/>
                <w:szCs w:val="13"/>
                <w:color w:val="auto"/>
              </w:rPr>
              <w:t>11,875,000</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11,462,542</w:t>
            </w:r>
          </w:p>
        </w:tc>
        <w:tc>
          <w:tcPr>
            <w:tcW w:w="980" w:type="dxa"/>
            <w:vAlign w:val="bottom"/>
            <w:gridSpan w:val="3"/>
          </w:tcPr>
          <w:p>
            <w:pPr>
              <w:jc w:val="right"/>
              <w:ind w:right="60"/>
              <w:spacing w:after="0"/>
              <w:rPr>
                <w:sz w:val="20"/>
                <w:szCs w:val="20"/>
                <w:color w:val="auto"/>
              </w:rPr>
            </w:pPr>
            <w:r>
              <w:rPr>
                <w:rFonts w:ascii="Arial" w:cs="Arial" w:eastAsia="Arial" w:hAnsi="Arial"/>
                <w:sz w:val="13"/>
                <w:szCs w:val="13"/>
                <w:color w:val="auto"/>
              </w:rPr>
              <w:t>11,756,250</w:t>
            </w:r>
          </w:p>
        </w:tc>
        <w:tc>
          <w:tcPr>
            <w:tcW w:w="0" w:type="dxa"/>
            <w:vAlign w:val="bottom"/>
          </w:tcPr>
          <w:p>
            <w:pPr>
              <w:spacing w:after="0"/>
              <w:rPr>
                <w:sz w:val="1"/>
                <w:szCs w:val="1"/>
                <w:color w:val="auto"/>
              </w:rPr>
            </w:pPr>
          </w:p>
        </w:tc>
      </w:tr>
      <w:tr>
        <w:trPr>
          <w:trHeight w:val="138"/>
        </w:trPr>
        <w:tc>
          <w:tcPr>
            <w:tcW w:w="36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Paradigm Management Services, LLC</w:t>
            </w:r>
          </w:p>
        </w:tc>
        <w:tc>
          <w:tcPr>
            <w:tcW w:w="1380" w:type="dxa"/>
            <w:vAlign w:val="bottom"/>
            <w:shd w:val="clear" w:color="auto" w:fill="CCEEFF"/>
          </w:tcPr>
          <w:p>
            <w:pPr>
              <w:jc w:val="center"/>
              <w:ind w:left="533"/>
              <w:spacing w:after="0" w:line="138" w:lineRule="exact"/>
              <w:rPr>
                <w:sz w:val="20"/>
                <w:szCs w:val="20"/>
                <w:color w:val="auto"/>
              </w:rPr>
            </w:pPr>
            <w:r>
              <w:rPr>
                <w:rFonts w:ascii="Arial" w:cs="Arial" w:eastAsia="Arial" w:hAnsi="Arial"/>
                <w:sz w:val="13"/>
                <w:szCs w:val="13"/>
                <w:color w:val="auto"/>
                <w:w w:val="95"/>
              </w:rPr>
              <w:t>07/31/2017</w:t>
            </w:r>
          </w:p>
        </w:tc>
        <w:tc>
          <w:tcPr>
            <w:tcW w:w="13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Healthcare,</w:t>
            </w:r>
          </w:p>
        </w:tc>
        <w:tc>
          <w:tcPr>
            <w:tcW w:w="960" w:type="dxa"/>
            <w:vAlign w:val="bottom"/>
            <w:shd w:val="clear" w:color="auto" w:fill="CCEEFF"/>
          </w:tcPr>
          <w:p>
            <w:pPr>
              <w:jc w:val="right"/>
              <w:ind w:right="73"/>
              <w:spacing w:after="0" w:line="138" w:lineRule="exact"/>
              <w:rPr>
                <w:sz w:val="20"/>
                <w:szCs w:val="20"/>
                <w:color w:val="auto"/>
              </w:rPr>
            </w:pPr>
            <w:r>
              <w:rPr>
                <w:rFonts w:ascii="Arial" w:cs="Arial" w:eastAsia="Arial" w:hAnsi="Arial"/>
                <w:sz w:val="13"/>
                <w:szCs w:val="13"/>
                <w:color w:val="auto"/>
              </w:rPr>
              <w:t>12.50%</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L+1,100</w:t>
            </w:r>
          </w:p>
        </w:tc>
        <w:tc>
          <w:tcPr>
            <w:tcW w:w="26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w w:val="88"/>
              </w:rPr>
              <w:t>(8)</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20,512,821</w:t>
            </w:r>
          </w:p>
        </w:tc>
        <w:tc>
          <w:tcPr>
            <w:tcW w:w="3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20,078,694</w:t>
            </w: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20,512,821</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Education and</w:t>
            </w:r>
          </w:p>
        </w:tc>
        <w:tc>
          <w:tcPr>
            <w:tcW w:w="9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Childcare</w:t>
            </w:r>
          </w:p>
        </w:tc>
        <w:tc>
          <w:tcPr>
            <w:tcW w:w="9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20"/>
                <w:szCs w:val="20"/>
                <w:color w:val="auto"/>
              </w:rPr>
            </w:pPr>
            <w:r>
              <w:rPr>
                <w:rFonts w:ascii="Arial" w:cs="Arial" w:eastAsia="Arial" w:hAnsi="Arial"/>
                <w:sz w:val="13"/>
                <w:szCs w:val="13"/>
                <w:color w:val="auto"/>
              </w:rPr>
              <w:t>Questex Media Group LLC, Term Loan A</w:t>
            </w:r>
          </w:p>
        </w:tc>
        <w:tc>
          <w:tcPr>
            <w:tcW w:w="1380" w:type="dxa"/>
            <w:vAlign w:val="bottom"/>
          </w:tcPr>
          <w:p>
            <w:pPr>
              <w:jc w:val="center"/>
              <w:ind w:left="533"/>
              <w:spacing w:after="0"/>
              <w:rPr>
                <w:sz w:val="20"/>
                <w:szCs w:val="20"/>
                <w:color w:val="auto"/>
              </w:rPr>
            </w:pPr>
            <w:r>
              <w:rPr>
                <w:rFonts w:ascii="Arial" w:cs="Arial" w:eastAsia="Arial" w:hAnsi="Arial"/>
                <w:sz w:val="13"/>
                <w:szCs w:val="13"/>
                <w:color w:val="auto"/>
                <w:w w:val="95"/>
              </w:rPr>
              <w:t>12/15/2014</w:t>
            </w:r>
          </w:p>
        </w:tc>
        <w:tc>
          <w:tcPr>
            <w:tcW w:w="1300" w:type="dxa"/>
            <w:vAlign w:val="bottom"/>
          </w:tcPr>
          <w:p>
            <w:pPr>
              <w:jc w:val="center"/>
              <w:spacing w:after="0"/>
              <w:rPr>
                <w:sz w:val="20"/>
                <w:szCs w:val="20"/>
                <w:color w:val="auto"/>
              </w:rPr>
            </w:pPr>
            <w:r>
              <w:rPr>
                <w:rFonts w:ascii="Arial" w:cs="Arial" w:eastAsia="Arial" w:hAnsi="Arial"/>
                <w:sz w:val="13"/>
                <w:szCs w:val="13"/>
                <w:color w:val="auto"/>
                <w:w w:val="95"/>
              </w:rPr>
              <w:t>Other Media</w:t>
            </w: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9.50%</w:t>
            </w:r>
          </w:p>
        </w:tc>
        <w:tc>
          <w:tcPr>
            <w:tcW w:w="740" w:type="dxa"/>
            <w:vAlign w:val="bottom"/>
          </w:tcPr>
          <w:p>
            <w:pPr>
              <w:jc w:val="right"/>
              <w:spacing w:after="0"/>
              <w:rPr>
                <w:sz w:val="20"/>
                <w:szCs w:val="20"/>
                <w:color w:val="auto"/>
              </w:rPr>
            </w:pPr>
            <w:r>
              <w:rPr>
                <w:rFonts w:ascii="Arial" w:cs="Arial" w:eastAsia="Arial" w:hAnsi="Arial"/>
                <w:sz w:val="13"/>
                <w:szCs w:val="13"/>
                <w:color w:val="auto"/>
              </w:rPr>
              <w:t>L+650</w:t>
            </w:r>
          </w:p>
        </w:tc>
        <w:tc>
          <w:tcPr>
            <w:tcW w:w="260" w:type="dxa"/>
            <w:vAlign w:val="bottom"/>
          </w:tcPr>
          <w:p>
            <w:pPr>
              <w:jc w:val="right"/>
              <w:ind w:right="64"/>
              <w:spacing w:after="0"/>
              <w:rPr>
                <w:sz w:val="20"/>
                <w:szCs w:val="20"/>
                <w:color w:val="auto"/>
              </w:rPr>
            </w:pPr>
            <w:r>
              <w:rPr>
                <w:rFonts w:ascii="Arial" w:cs="Arial" w:eastAsia="Arial" w:hAnsi="Arial"/>
                <w:sz w:val="11"/>
                <w:szCs w:val="11"/>
                <w:color w:val="auto"/>
                <w:w w:val="88"/>
              </w:rPr>
              <w:t>(8)</w:t>
            </w:r>
          </w:p>
        </w:tc>
        <w:tc>
          <w:tcPr>
            <w:tcW w:w="740" w:type="dxa"/>
            <w:vAlign w:val="bottom"/>
          </w:tcPr>
          <w:p>
            <w:pPr>
              <w:jc w:val="right"/>
              <w:spacing w:after="0"/>
              <w:rPr>
                <w:sz w:val="20"/>
                <w:szCs w:val="20"/>
                <w:color w:val="auto"/>
              </w:rPr>
            </w:pPr>
            <w:r>
              <w:rPr>
                <w:rFonts w:ascii="Arial" w:cs="Arial" w:eastAsia="Arial" w:hAnsi="Arial"/>
                <w:sz w:val="13"/>
                <w:szCs w:val="13"/>
                <w:color w:val="auto"/>
              </w:rPr>
              <w:t>2,744,557</w:t>
            </w:r>
          </w:p>
        </w:tc>
        <w:tc>
          <w:tcPr>
            <w:tcW w:w="3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2,744,557</w:t>
            </w:r>
          </w:p>
        </w:tc>
        <w:tc>
          <w:tcPr>
            <w:tcW w:w="120" w:type="dxa"/>
            <w:vAlign w:val="bottom"/>
          </w:tcPr>
          <w:p>
            <w:pPr>
              <w:spacing w:after="0"/>
              <w:rPr>
                <w:sz w:val="12"/>
                <w:szCs w:val="12"/>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2,579,883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6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Questex Media Group LLC, Term Loan B</w:t>
            </w:r>
          </w:p>
        </w:tc>
        <w:tc>
          <w:tcPr>
            <w:tcW w:w="1380" w:type="dxa"/>
            <w:vAlign w:val="bottom"/>
            <w:shd w:val="clear" w:color="auto" w:fill="CCEEFF"/>
          </w:tcPr>
          <w:p>
            <w:pPr>
              <w:jc w:val="center"/>
              <w:ind w:left="533"/>
              <w:spacing w:after="0" w:line="138" w:lineRule="exact"/>
              <w:rPr>
                <w:sz w:val="20"/>
                <w:szCs w:val="20"/>
                <w:color w:val="auto"/>
              </w:rPr>
            </w:pPr>
            <w:r>
              <w:rPr>
                <w:rFonts w:ascii="Arial" w:cs="Arial" w:eastAsia="Arial" w:hAnsi="Arial"/>
                <w:sz w:val="13"/>
                <w:szCs w:val="13"/>
                <w:color w:val="auto"/>
                <w:w w:val="95"/>
              </w:rPr>
              <w:t>12/15/2015</w:t>
            </w:r>
          </w:p>
        </w:tc>
        <w:tc>
          <w:tcPr>
            <w:tcW w:w="13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Other Media</w:t>
            </w:r>
          </w:p>
        </w:tc>
        <w:tc>
          <w:tcPr>
            <w:tcW w:w="960" w:type="dxa"/>
            <w:vAlign w:val="bottom"/>
            <w:shd w:val="clear" w:color="auto" w:fill="CCEEFF"/>
          </w:tcPr>
          <w:p>
            <w:pPr>
              <w:jc w:val="right"/>
              <w:ind w:right="73"/>
              <w:spacing w:after="0" w:line="138" w:lineRule="exact"/>
              <w:rPr>
                <w:sz w:val="20"/>
                <w:szCs w:val="20"/>
                <w:color w:val="auto"/>
              </w:rPr>
            </w:pPr>
            <w:r>
              <w:rPr>
                <w:rFonts w:ascii="Arial" w:cs="Arial" w:eastAsia="Arial" w:hAnsi="Arial"/>
                <w:sz w:val="13"/>
                <w:szCs w:val="13"/>
                <w:color w:val="auto"/>
              </w:rPr>
              <w:t>11.50%</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L+850</w:t>
            </w:r>
          </w:p>
        </w:tc>
        <w:tc>
          <w:tcPr>
            <w:tcW w:w="26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w w:val="88"/>
              </w:rPr>
              <w:t>(8)</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2,297,037</w:t>
            </w:r>
          </w:p>
        </w:tc>
        <w:tc>
          <w:tcPr>
            <w:tcW w:w="3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2,297,037</w:t>
            </w: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2,067,333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6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(PIK 11.50%)</w:t>
            </w:r>
          </w:p>
        </w:tc>
        <w:tc>
          <w:tcPr>
            <w:tcW w:w="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660" w:type="dxa"/>
            <w:vAlign w:val="bottom"/>
          </w:tcPr>
          <w:p>
            <w:pPr>
              <w:spacing w:after="0" w:line="138" w:lineRule="exact"/>
              <w:rPr>
                <w:sz w:val="20"/>
                <w:szCs w:val="20"/>
                <w:color w:val="auto"/>
              </w:rPr>
            </w:pPr>
            <w:r>
              <w:rPr>
                <w:rFonts w:ascii="Arial" w:cs="Arial" w:eastAsia="Arial" w:hAnsi="Arial"/>
                <w:sz w:val="13"/>
                <w:szCs w:val="13"/>
                <w:color w:val="auto"/>
              </w:rPr>
              <w:t>ROC Finance LLC and ROC Finance 1 Corp.</w:t>
            </w:r>
          </w:p>
        </w:tc>
        <w:tc>
          <w:tcPr>
            <w:tcW w:w="1380" w:type="dxa"/>
            <w:vAlign w:val="bottom"/>
          </w:tcPr>
          <w:p>
            <w:pPr>
              <w:jc w:val="center"/>
              <w:ind w:left="533"/>
              <w:spacing w:after="0" w:line="138" w:lineRule="exact"/>
              <w:rPr>
                <w:sz w:val="20"/>
                <w:szCs w:val="20"/>
                <w:color w:val="auto"/>
              </w:rPr>
            </w:pPr>
            <w:r>
              <w:rPr>
                <w:rFonts w:ascii="Arial" w:cs="Arial" w:eastAsia="Arial" w:hAnsi="Arial"/>
                <w:sz w:val="13"/>
                <w:szCs w:val="13"/>
                <w:color w:val="auto"/>
                <w:w w:val="95"/>
              </w:rPr>
              <w:t>09/01/2018</w:t>
            </w:r>
          </w:p>
        </w:tc>
        <w:tc>
          <w:tcPr>
            <w:tcW w:w="1300" w:type="dxa"/>
            <w:vAlign w:val="bottom"/>
          </w:tcPr>
          <w:p>
            <w:pPr>
              <w:jc w:val="center"/>
              <w:spacing w:after="0" w:line="138" w:lineRule="exact"/>
              <w:rPr>
                <w:sz w:val="20"/>
                <w:szCs w:val="20"/>
                <w:color w:val="auto"/>
              </w:rPr>
            </w:pPr>
            <w:r>
              <w:rPr>
                <w:rFonts w:ascii="Arial" w:cs="Arial" w:eastAsia="Arial" w:hAnsi="Arial"/>
                <w:sz w:val="13"/>
                <w:szCs w:val="13"/>
                <w:color w:val="auto"/>
                <w:w w:val="97"/>
              </w:rPr>
              <w:t>Hotels, Motels,</w:t>
            </w:r>
          </w:p>
        </w:tc>
        <w:tc>
          <w:tcPr>
            <w:tcW w:w="960" w:type="dxa"/>
            <w:vAlign w:val="bottom"/>
          </w:tcPr>
          <w:p>
            <w:pPr>
              <w:jc w:val="right"/>
              <w:ind w:right="73"/>
              <w:spacing w:after="0" w:line="138" w:lineRule="exact"/>
              <w:rPr>
                <w:sz w:val="20"/>
                <w:szCs w:val="20"/>
                <w:color w:val="auto"/>
              </w:rPr>
            </w:pPr>
            <w:r>
              <w:rPr>
                <w:rFonts w:ascii="Arial" w:cs="Arial" w:eastAsia="Arial" w:hAnsi="Arial"/>
                <w:sz w:val="13"/>
                <w:szCs w:val="13"/>
                <w:color w:val="auto"/>
              </w:rPr>
              <w:t>12.13%</w:t>
            </w:r>
          </w:p>
        </w:tc>
        <w:tc>
          <w:tcPr>
            <w:tcW w:w="740" w:type="dxa"/>
            <w:vAlign w:val="bottom"/>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16,000,000</w:t>
            </w:r>
          </w:p>
        </w:tc>
        <w:tc>
          <w:tcPr>
            <w:tcW w:w="36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15,765,416</w:t>
            </w:r>
          </w:p>
        </w:tc>
        <w:tc>
          <w:tcPr>
            <w:tcW w:w="120" w:type="dxa"/>
            <w:vAlign w:val="bottom"/>
          </w:tcPr>
          <w:p>
            <w:pPr>
              <w:spacing w:after="0"/>
              <w:rPr>
                <w:sz w:val="11"/>
                <w:szCs w:val="11"/>
                <w:color w:val="auto"/>
              </w:rPr>
            </w:pPr>
          </w:p>
        </w:tc>
        <w:tc>
          <w:tcPr>
            <w:tcW w:w="92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18,480,000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6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92"/>
              </w:rPr>
              <w:t>Inns and Gaming</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6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Second Lien Secured Debt</w:t>
            </w:r>
          </w:p>
        </w:tc>
        <w:tc>
          <w:tcPr>
            <w:tcW w:w="13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9"/>
              </w:rPr>
              <w:t>186,966,680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190,205,607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-5682615</wp:posOffset>
            </wp:positionV>
            <wp:extent cx="7132320" cy="939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-4739640</wp:posOffset>
            </wp:positionV>
            <wp:extent cx="713232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-4268470</wp:posOffset>
            </wp:positionV>
            <wp:extent cx="7132320" cy="4718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718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-3608070</wp:posOffset>
            </wp:positionV>
            <wp:extent cx="7132320" cy="2825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-3230880</wp:posOffset>
            </wp:positionV>
            <wp:extent cx="7132320" cy="196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-2750820</wp:posOffset>
            </wp:positionV>
            <wp:extent cx="7132320" cy="2825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Basis Point</w:t>
            </w: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Spread</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5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right"/>
              <w:ind w:right="220"/>
              <w:spacing w:after="0" w:line="134" w:lineRule="exact"/>
              <w:rPr>
                <w:sz w:val="20"/>
                <w:szCs w:val="20"/>
                <w:color w:val="auto"/>
              </w:rPr>
            </w:pPr>
            <w:r>
              <w:rPr>
                <w:rFonts w:ascii="Arial" w:cs="Arial" w:eastAsia="Arial" w:hAnsi="Arial"/>
                <w:sz w:val="13"/>
                <w:szCs w:val="13"/>
                <w:b w:val="1"/>
                <w:bCs w:val="1"/>
                <w:color w:val="auto"/>
              </w:rPr>
              <w:t>Current</w:t>
            </w:r>
          </w:p>
        </w:tc>
        <w:tc>
          <w:tcPr>
            <w:tcW w:w="360" w:type="dxa"/>
            <w:vAlign w:val="bottom"/>
          </w:tcPr>
          <w:p>
            <w:pPr>
              <w:spacing w:after="0"/>
              <w:rPr>
                <w:sz w:val="11"/>
                <w:szCs w:val="11"/>
                <w:color w:val="auto"/>
              </w:rPr>
            </w:pPr>
          </w:p>
        </w:tc>
        <w:tc>
          <w:tcPr>
            <w:tcW w:w="960" w:type="dxa"/>
            <w:vAlign w:val="bottom"/>
            <w:gridSpan w:val="2"/>
          </w:tcPr>
          <w:p>
            <w:pPr>
              <w:jc w:val="center"/>
              <w:ind w:right="260"/>
              <w:spacing w:after="0" w:line="134" w:lineRule="exact"/>
              <w:rPr>
                <w:sz w:val="20"/>
                <w:szCs w:val="20"/>
                <w:color w:val="auto"/>
              </w:rPr>
            </w:pPr>
            <w:r>
              <w:rPr>
                <w:rFonts w:ascii="Arial" w:cs="Arial" w:eastAsia="Arial" w:hAnsi="Arial"/>
                <w:sz w:val="13"/>
                <w:szCs w:val="13"/>
                <w:b w:val="1"/>
                <w:bCs w:val="1"/>
                <w:color w:val="auto"/>
                <w:w w:val="95"/>
              </w:rPr>
              <w:t>Above</w:t>
            </w:r>
          </w:p>
        </w:tc>
        <w:tc>
          <w:tcPr>
            <w:tcW w:w="940" w:type="dxa"/>
            <w:vAlign w:val="bottom"/>
            <w:gridSpan w:val="2"/>
          </w:tcPr>
          <w:p>
            <w:pPr>
              <w:jc w:val="right"/>
              <w:ind w:right="480"/>
              <w:spacing w:after="0" w:line="134" w:lineRule="exact"/>
              <w:rPr>
                <w:sz w:val="20"/>
                <w:szCs w:val="20"/>
                <w:color w:val="auto"/>
              </w:rPr>
            </w:pPr>
            <w:r>
              <w:rPr>
                <w:rFonts w:ascii="Arial" w:cs="Arial" w:eastAsia="Arial" w:hAnsi="Arial"/>
                <w:sz w:val="13"/>
                <w:szCs w:val="13"/>
                <w:b w:val="1"/>
                <w:bCs w:val="1"/>
                <w:color w:val="auto"/>
              </w:rPr>
              <w:t>Par/</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22"/>
                <w:szCs w:val="22"/>
                <w:b w:val="1"/>
                <w:bCs w:val="1"/>
                <w:color w:val="auto"/>
                <w:vertAlign w:val="superscript"/>
              </w:rPr>
              <w:t>(3)</w:t>
            </w:r>
          </w:p>
        </w:tc>
        <w:tc>
          <w:tcPr>
            <w:tcW w:w="0" w:type="dxa"/>
            <w:vAlign w:val="bottom"/>
          </w:tcPr>
          <w:p>
            <w:pPr>
              <w:spacing w:after="0"/>
              <w:rPr>
                <w:sz w:val="1"/>
                <w:szCs w:val="1"/>
                <w:color w:val="auto"/>
              </w:rPr>
            </w:pPr>
          </w:p>
        </w:tc>
      </w:tr>
      <w:tr>
        <w:trPr>
          <w:trHeight w:val="176"/>
        </w:trPr>
        <w:tc>
          <w:tcPr>
            <w:tcW w:w="3500" w:type="dxa"/>
            <w:vAlign w:val="bottom"/>
          </w:tcPr>
          <w:p>
            <w:pPr>
              <w:spacing w:after="0"/>
              <w:rPr>
                <w:sz w:val="20"/>
                <w:szCs w:val="20"/>
                <w:color w:val="auto"/>
              </w:rPr>
            </w:pPr>
            <w:r>
              <w:rPr>
                <w:rFonts w:ascii="Arial" w:cs="Arial" w:eastAsia="Arial" w:hAnsi="Arial"/>
                <w:sz w:val="13"/>
                <w:szCs w:val="13"/>
                <w:b w:val="1"/>
                <w:bCs w:val="1"/>
                <w:color w:val="auto"/>
              </w:rPr>
              <w:t>Issuer Name</w:t>
            </w:r>
          </w:p>
        </w:tc>
        <w:tc>
          <w:tcPr>
            <w:tcW w:w="1320" w:type="dxa"/>
            <w:vAlign w:val="bottom"/>
          </w:tcPr>
          <w:p>
            <w:pPr>
              <w:jc w:val="center"/>
              <w:ind w:left="433"/>
              <w:spacing w:after="0"/>
              <w:rPr>
                <w:sz w:val="20"/>
                <w:szCs w:val="20"/>
                <w:color w:val="auto"/>
              </w:rPr>
            </w:pPr>
            <w:r>
              <w:rPr>
                <w:rFonts w:ascii="Arial" w:cs="Arial" w:eastAsia="Arial" w:hAnsi="Arial"/>
                <w:sz w:val="13"/>
                <w:szCs w:val="13"/>
                <w:b w:val="1"/>
                <w:bCs w:val="1"/>
                <w:color w:val="auto"/>
              </w:rPr>
              <w:t>Maturity</w:t>
            </w:r>
          </w:p>
        </w:tc>
        <w:tc>
          <w:tcPr>
            <w:tcW w:w="14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Industry</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Coupon</w:t>
            </w:r>
          </w:p>
        </w:tc>
        <w:tc>
          <w:tcPr>
            <w:tcW w:w="360" w:type="dxa"/>
            <w:vAlign w:val="bottom"/>
          </w:tcPr>
          <w:p>
            <w:pPr>
              <w:spacing w:after="0"/>
              <w:rPr>
                <w:sz w:val="15"/>
                <w:szCs w:val="15"/>
                <w:color w:val="auto"/>
              </w:rPr>
            </w:pPr>
          </w:p>
        </w:tc>
        <w:tc>
          <w:tcPr>
            <w:tcW w:w="960" w:type="dxa"/>
            <w:vAlign w:val="bottom"/>
            <w:gridSpan w:val="2"/>
          </w:tcPr>
          <w:p>
            <w:pPr>
              <w:jc w:val="center"/>
              <w:ind w:right="260"/>
              <w:spacing w:after="0" w:line="176" w:lineRule="exact"/>
              <w:rPr>
                <w:sz w:val="20"/>
                <w:szCs w:val="20"/>
                <w:color w:val="auto"/>
              </w:rPr>
            </w:pPr>
            <w:r>
              <w:rPr>
                <w:rFonts w:ascii="Arial" w:cs="Arial" w:eastAsia="Arial" w:hAnsi="Arial"/>
                <w:sz w:val="12"/>
                <w:szCs w:val="12"/>
                <w:b w:val="1"/>
                <w:bCs w:val="1"/>
                <w:color w:val="auto"/>
                <w:w w:val="97"/>
              </w:rPr>
              <w:t xml:space="preserve">Index </w:t>
            </w:r>
            <w:r>
              <w:rPr>
                <w:rFonts w:ascii="Arial" w:cs="Arial" w:eastAsia="Arial" w:hAnsi="Arial"/>
                <w:sz w:val="20"/>
                <w:szCs w:val="20"/>
                <w:b w:val="1"/>
                <w:bCs w:val="1"/>
                <w:color w:val="auto"/>
                <w:w w:val="97"/>
                <w:vertAlign w:val="superscript"/>
              </w:rPr>
              <w:t>(4)</w:t>
            </w:r>
          </w:p>
        </w:tc>
        <w:tc>
          <w:tcPr>
            <w:tcW w:w="94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Shares</w:t>
            </w:r>
          </w:p>
        </w:tc>
        <w:tc>
          <w:tcPr>
            <w:tcW w:w="880" w:type="dxa"/>
            <w:vAlign w:val="bottom"/>
            <w:gridSpan w:val="2"/>
          </w:tcPr>
          <w:p>
            <w:pPr>
              <w:ind w:left="260"/>
              <w:spacing w:after="0"/>
              <w:rPr>
                <w:sz w:val="20"/>
                <w:szCs w:val="20"/>
                <w:color w:val="auto"/>
              </w:rPr>
            </w:pPr>
            <w:r>
              <w:rPr>
                <w:rFonts w:ascii="Arial" w:cs="Arial" w:eastAsia="Arial" w:hAnsi="Arial"/>
                <w:sz w:val="13"/>
                <w:szCs w:val="13"/>
                <w:b w:val="1"/>
                <w:bCs w:val="1"/>
                <w:color w:val="auto"/>
              </w:rPr>
              <w:t>Cost</w:t>
            </w:r>
          </w:p>
        </w:tc>
        <w:tc>
          <w:tcPr>
            <w:tcW w:w="1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Subordinated Debt/Corporate Notes—50.9%</w:t>
            </w:r>
          </w:p>
        </w:tc>
        <w:tc>
          <w:tcPr>
            <w:tcW w:w="132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20"/>
                <w:szCs w:val="20"/>
                <w:color w:val="auto"/>
              </w:rPr>
            </w:pPr>
            <w:r>
              <w:rPr>
                <w:rFonts w:ascii="Arial" w:cs="Arial" w:eastAsia="Arial" w:hAnsi="Arial"/>
                <w:sz w:val="13"/>
                <w:szCs w:val="13"/>
                <w:color w:val="auto"/>
              </w:rPr>
              <w:t>Acentia, LLC</w:t>
            </w:r>
          </w:p>
        </w:tc>
        <w:tc>
          <w:tcPr>
            <w:tcW w:w="1320" w:type="dxa"/>
            <w:vAlign w:val="bottom"/>
          </w:tcPr>
          <w:p>
            <w:pPr>
              <w:jc w:val="center"/>
              <w:ind w:left="433"/>
              <w:spacing w:after="0"/>
              <w:rPr>
                <w:sz w:val="20"/>
                <w:szCs w:val="20"/>
                <w:color w:val="auto"/>
              </w:rPr>
            </w:pPr>
            <w:r>
              <w:rPr>
                <w:rFonts w:ascii="Arial" w:cs="Arial" w:eastAsia="Arial" w:hAnsi="Arial"/>
                <w:sz w:val="13"/>
                <w:szCs w:val="13"/>
                <w:color w:val="auto"/>
                <w:w w:val="95"/>
              </w:rPr>
              <w:t>10/02/2017</w:t>
            </w:r>
          </w:p>
        </w:tc>
        <w:tc>
          <w:tcPr>
            <w:tcW w:w="1480" w:type="dxa"/>
            <w:vAlign w:val="bottom"/>
            <w:gridSpan w:val="2"/>
          </w:tcPr>
          <w:p>
            <w:pPr>
              <w:jc w:val="center"/>
              <w:ind w:right="100"/>
              <w:spacing w:after="0"/>
              <w:rPr>
                <w:sz w:val="20"/>
                <w:szCs w:val="20"/>
                <w:color w:val="auto"/>
              </w:rPr>
            </w:pPr>
            <w:r>
              <w:rPr>
                <w:rFonts w:ascii="Arial" w:cs="Arial" w:eastAsia="Arial" w:hAnsi="Arial"/>
                <w:sz w:val="13"/>
                <w:szCs w:val="13"/>
                <w:color w:val="auto"/>
                <w:w w:val="97"/>
              </w:rPr>
              <w:t>Electronics</w:t>
            </w:r>
          </w:p>
        </w:tc>
        <w:tc>
          <w:tcPr>
            <w:tcW w:w="780" w:type="dxa"/>
            <w:vAlign w:val="bottom"/>
            <w:gridSpan w:val="2"/>
          </w:tcPr>
          <w:p>
            <w:pPr>
              <w:jc w:val="right"/>
              <w:ind w:right="20"/>
              <w:spacing w:after="0"/>
              <w:rPr>
                <w:sz w:val="20"/>
                <w:szCs w:val="20"/>
                <w:color w:val="auto"/>
              </w:rPr>
            </w:pPr>
            <w:r>
              <w:rPr>
                <w:rFonts w:ascii="Arial" w:cs="Arial" w:eastAsia="Arial" w:hAnsi="Arial"/>
                <w:sz w:val="13"/>
                <w:szCs w:val="13"/>
                <w:color w:val="auto"/>
              </w:rPr>
              <w:t>13.75%</w:t>
            </w:r>
          </w:p>
        </w:tc>
        <w:tc>
          <w:tcPr>
            <w:tcW w:w="360" w:type="dxa"/>
            <w:vAlign w:val="bottom"/>
          </w:tcPr>
          <w:p>
            <w:pPr>
              <w:spacing w:after="0"/>
              <w:rPr>
                <w:sz w:val="12"/>
                <w:szCs w:val="12"/>
                <w:color w:val="auto"/>
              </w:rPr>
            </w:pPr>
          </w:p>
        </w:tc>
        <w:tc>
          <w:tcPr>
            <w:tcW w:w="96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19,000,000</w:t>
            </w:r>
          </w:p>
        </w:tc>
        <w:tc>
          <w:tcPr>
            <w:tcW w:w="760" w:type="dxa"/>
            <w:vAlign w:val="bottom"/>
          </w:tcPr>
          <w:p>
            <w:pPr>
              <w:jc w:val="right"/>
              <w:spacing w:after="0"/>
              <w:rPr>
                <w:sz w:val="20"/>
                <w:szCs w:val="20"/>
                <w:color w:val="auto"/>
              </w:rPr>
            </w:pPr>
            <w:r>
              <w:rPr>
                <w:rFonts w:ascii="Arial" w:cs="Arial" w:eastAsia="Arial" w:hAnsi="Arial"/>
                <w:sz w:val="13"/>
                <w:szCs w:val="13"/>
                <w:color w:val="auto"/>
                <w:w w:val="97"/>
              </w:rPr>
              <w:t>$ 18,565,089</w:t>
            </w:r>
          </w:p>
        </w:tc>
        <w:tc>
          <w:tcPr>
            <w:tcW w:w="12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  18,970,545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Affinion Group Holdings, Inc.</w:t>
            </w:r>
          </w:p>
        </w:tc>
        <w:tc>
          <w:tcPr>
            <w:tcW w:w="1320" w:type="dxa"/>
            <w:vAlign w:val="bottom"/>
            <w:shd w:val="clear" w:color="auto" w:fill="CCEEFF"/>
          </w:tcPr>
          <w:p>
            <w:pPr>
              <w:jc w:val="center"/>
              <w:ind w:left="433"/>
              <w:spacing w:after="0"/>
              <w:rPr>
                <w:sz w:val="20"/>
                <w:szCs w:val="20"/>
                <w:color w:val="auto"/>
              </w:rPr>
            </w:pPr>
            <w:r>
              <w:rPr>
                <w:rFonts w:ascii="Arial" w:cs="Arial" w:eastAsia="Arial" w:hAnsi="Arial"/>
                <w:sz w:val="13"/>
                <w:szCs w:val="13"/>
                <w:color w:val="auto"/>
                <w:w w:val="95"/>
              </w:rPr>
              <w:t>11/15/2015</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2"/>
              </w:rPr>
              <w:t>Consumer Products</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11.63%</w:t>
            </w:r>
          </w:p>
        </w:tc>
        <w:tc>
          <w:tcPr>
            <w:tcW w:w="3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35,552,000</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34,243,502</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22,931,040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20"/>
                <w:szCs w:val="20"/>
                <w:color w:val="auto"/>
              </w:rPr>
            </w:pPr>
            <w:r>
              <w:rPr>
                <w:rFonts w:ascii="Arial" w:cs="Arial" w:eastAsia="Arial" w:hAnsi="Arial"/>
                <w:sz w:val="13"/>
                <w:szCs w:val="13"/>
                <w:color w:val="auto"/>
              </w:rPr>
              <w:t>Alegeus Technologies, LLC</w:t>
            </w:r>
          </w:p>
        </w:tc>
        <w:tc>
          <w:tcPr>
            <w:tcW w:w="1320" w:type="dxa"/>
            <w:vAlign w:val="bottom"/>
          </w:tcPr>
          <w:p>
            <w:pPr>
              <w:jc w:val="center"/>
              <w:ind w:left="433"/>
              <w:spacing w:after="0"/>
              <w:rPr>
                <w:sz w:val="20"/>
                <w:szCs w:val="20"/>
                <w:color w:val="auto"/>
              </w:rPr>
            </w:pPr>
            <w:r>
              <w:rPr>
                <w:rFonts w:ascii="Arial" w:cs="Arial" w:eastAsia="Arial" w:hAnsi="Arial"/>
                <w:sz w:val="13"/>
                <w:szCs w:val="13"/>
                <w:color w:val="auto"/>
                <w:w w:val="95"/>
              </w:rPr>
              <w:t>02/15/2019</w:t>
            </w:r>
          </w:p>
        </w:tc>
        <w:tc>
          <w:tcPr>
            <w:tcW w:w="148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Financial Services</w:t>
            </w:r>
          </w:p>
        </w:tc>
        <w:tc>
          <w:tcPr>
            <w:tcW w:w="780" w:type="dxa"/>
            <w:vAlign w:val="bottom"/>
            <w:gridSpan w:val="2"/>
          </w:tcPr>
          <w:p>
            <w:pPr>
              <w:jc w:val="right"/>
              <w:ind w:right="20"/>
              <w:spacing w:after="0"/>
              <w:rPr>
                <w:sz w:val="20"/>
                <w:szCs w:val="20"/>
                <w:color w:val="auto"/>
              </w:rPr>
            </w:pPr>
            <w:r>
              <w:rPr>
                <w:rFonts w:ascii="Arial" w:cs="Arial" w:eastAsia="Arial" w:hAnsi="Arial"/>
                <w:sz w:val="13"/>
                <w:szCs w:val="13"/>
                <w:color w:val="auto"/>
              </w:rPr>
              <w:t>12.00%</w:t>
            </w:r>
          </w:p>
        </w:tc>
        <w:tc>
          <w:tcPr>
            <w:tcW w:w="360" w:type="dxa"/>
            <w:vAlign w:val="bottom"/>
          </w:tcPr>
          <w:p>
            <w:pPr>
              <w:spacing w:after="0"/>
              <w:rPr>
                <w:sz w:val="12"/>
                <w:szCs w:val="12"/>
                <w:color w:val="auto"/>
              </w:rPr>
            </w:pPr>
          </w:p>
        </w:tc>
        <w:tc>
          <w:tcPr>
            <w:tcW w:w="96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8,930,000</w:t>
            </w:r>
          </w:p>
        </w:tc>
        <w:tc>
          <w:tcPr>
            <w:tcW w:w="760" w:type="dxa"/>
            <w:vAlign w:val="bottom"/>
          </w:tcPr>
          <w:p>
            <w:pPr>
              <w:jc w:val="right"/>
              <w:spacing w:after="0"/>
              <w:rPr>
                <w:sz w:val="20"/>
                <w:szCs w:val="20"/>
                <w:color w:val="auto"/>
              </w:rPr>
            </w:pPr>
            <w:r>
              <w:rPr>
                <w:rFonts w:ascii="Arial" w:cs="Arial" w:eastAsia="Arial" w:hAnsi="Arial"/>
                <w:sz w:val="13"/>
                <w:szCs w:val="13"/>
                <w:color w:val="auto"/>
              </w:rPr>
              <w:t>8,760,960</w:t>
            </w:r>
          </w:p>
        </w:tc>
        <w:tc>
          <w:tcPr>
            <w:tcW w:w="12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9,023,409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5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Convergint Technologies LLC</w:t>
            </w:r>
          </w:p>
        </w:tc>
        <w:tc>
          <w:tcPr>
            <w:tcW w:w="1320" w:type="dxa"/>
            <w:vAlign w:val="bottom"/>
            <w:shd w:val="clear" w:color="auto" w:fill="CCEEFF"/>
          </w:tcPr>
          <w:p>
            <w:pPr>
              <w:jc w:val="center"/>
              <w:ind w:left="433"/>
              <w:spacing w:after="0" w:line="138" w:lineRule="exact"/>
              <w:rPr>
                <w:sz w:val="20"/>
                <w:szCs w:val="20"/>
                <w:color w:val="auto"/>
              </w:rPr>
            </w:pPr>
            <w:r>
              <w:rPr>
                <w:rFonts w:ascii="Arial" w:cs="Arial" w:eastAsia="Arial" w:hAnsi="Arial"/>
                <w:sz w:val="13"/>
                <w:szCs w:val="13"/>
                <w:color w:val="auto"/>
                <w:w w:val="95"/>
              </w:rPr>
              <w:t>03/26/2018</w:t>
            </w:r>
          </w:p>
        </w:tc>
        <w:tc>
          <w:tcPr>
            <w:tcW w:w="148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7"/>
              </w:rPr>
              <w:t>Electronics</w:t>
            </w:r>
          </w:p>
        </w:tc>
        <w:tc>
          <w:tcPr>
            <w:tcW w:w="78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12.00%</w:t>
            </w:r>
          </w:p>
        </w:tc>
        <w:tc>
          <w:tcPr>
            <w:tcW w:w="3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500"/>
              <w:spacing w:after="0" w:line="138"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3"/>
                <w:szCs w:val="13"/>
                <w:color w:val="auto"/>
                <w:w w:val="96"/>
              </w:rPr>
              <w:t>23,337,073.</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22,887,488</w:t>
            </w: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23,510,830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5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gridSpan w:val="3"/>
            <w:shd w:val="clear" w:color="auto" w:fill="CCEEFF"/>
          </w:tcPr>
          <w:p>
            <w:pPr>
              <w:jc w:val="right"/>
              <w:ind w:right="284"/>
              <w:spacing w:after="0"/>
              <w:rPr>
                <w:sz w:val="20"/>
                <w:szCs w:val="20"/>
                <w:color w:val="auto"/>
              </w:rPr>
            </w:pPr>
            <w:r>
              <w:rPr>
                <w:rFonts w:ascii="Arial" w:cs="Arial" w:eastAsia="Arial" w:hAnsi="Arial"/>
                <w:sz w:val="13"/>
                <w:szCs w:val="13"/>
                <w:color w:val="auto"/>
              </w:rPr>
              <w:t>(PIK 1.00%)</w:t>
            </w: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500" w:type="dxa"/>
            <w:vAlign w:val="bottom"/>
          </w:tcPr>
          <w:p>
            <w:pPr>
              <w:spacing w:after="0" w:line="138" w:lineRule="exact"/>
              <w:rPr>
                <w:sz w:val="20"/>
                <w:szCs w:val="20"/>
                <w:color w:val="auto"/>
              </w:rPr>
            </w:pPr>
            <w:r>
              <w:rPr>
                <w:rFonts w:ascii="Arial" w:cs="Arial" w:eastAsia="Arial" w:hAnsi="Arial"/>
                <w:sz w:val="13"/>
                <w:szCs w:val="13"/>
                <w:color w:val="auto"/>
              </w:rPr>
              <w:t>Escort, Inc.</w:t>
            </w:r>
          </w:p>
        </w:tc>
        <w:tc>
          <w:tcPr>
            <w:tcW w:w="1320" w:type="dxa"/>
            <w:vAlign w:val="bottom"/>
          </w:tcPr>
          <w:p>
            <w:pPr>
              <w:jc w:val="center"/>
              <w:ind w:left="433"/>
              <w:spacing w:after="0" w:line="138" w:lineRule="exact"/>
              <w:rPr>
                <w:sz w:val="20"/>
                <w:szCs w:val="20"/>
                <w:color w:val="auto"/>
              </w:rPr>
            </w:pPr>
            <w:r>
              <w:rPr>
                <w:rFonts w:ascii="Arial" w:cs="Arial" w:eastAsia="Arial" w:hAnsi="Arial"/>
                <w:sz w:val="13"/>
                <w:szCs w:val="13"/>
                <w:color w:val="auto"/>
                <w:w w:val="95"/>
              </w:rPr>
              <w:t>06/01/2016</w:t>
            </w:r>
          </w:p>
        </w:tc>
        <w:tc>
          <w:tcPr>
            <w:tcW w:w="1480" w:type="dxa"/>
            <w:vAlign w:val="bottom"/>
            <w:gridSpan w:val="2"/>
          </w:tcPr>
          <w:p>
            <w:pPr>
              <w:jc w:val="center"/>
              <w:ind w:right="100"/>
              <w:spacing w:after="0" w:line="138" w:lineRule="exact"/>
              <w:rPr>
                <w:sz w:val="20"/>
                <w:szCs w:val="20"/>
                <w:color w:val="auto"/>
              </w:rPr>
            </w:pPr>
            <w:r>
              <w:rPr>
                <w:rFonts w:ascii="Arial" w:cs="Arial" w:eastAsia="Arial" w:hAnsi="Arial"/>
                <w:sz w:val="13"/>
                <w:szCs w:val="13"/>
                <w:color w:val="auto"/>
                <w:w w:val="97"/>
              </w:rPr>
              <w:t>Electronics</w:t>
            </w:r>
          </w:p>
        </w:tc>
        <w:tc>
          <w:tcPr>
            <w:tcW w:w="78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14.75%</w:t>
            </w:r>
          </w:p>
        </w:tc>
        <w:tc>
          <w:tcPr>
            <w:tcW w:w="360" w:type="dxa"/>
            <w:vAlign w:val="bottom"/>
          </w:tcPr>
          <w:p>
            <w:pPr>
              <w:spacing w:after="0"/>
              <w:rPr>
                <w:sz w:val="11"/>
                <w:szCs w:val="11"/>
                <w:color w:val="auto"/>
              </w:rPr>
            </w:pPr>
          </w:p>
        </w:tc>
        <w:tc>
          <w:tcPr>
            <w:tcW w:w="960" w:type="dxa"/>
            <w:vAlign w:val="bottom"/>
            <w:gridSpan w:val="2"/>
          </w:tcPr>
          <w:p>
            <w:pPr>
              <w:ind w:left="500"/>
              <w:spacing w:after="0" w:line="138"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60"/>
              <w:spacing w:after="0" w:line="138" w:lineRule="exact"/>
              <w:rPr>
                <w:sz w:val="20"/>
                <w:szCs w:val="20"/>
                <w:color w:val="auto"/>
              </w:rPr>
            </w:pPr>
            <w:r>
              <w:rPr>
                <w:rFonts w:ascii="Arial" w:cs="Arial" w:eastAsia="Arial" w:hAnsi="Arial"/>
                <w:sz w:val="13"/>
                <w:szCs w:val="13"/>
                <w:color w:val="auto"/>
              </w:rPr>
              <w:t>25,431,515</w:t>
            </w: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24,957,852</w:t>
            </w:r>
          </w:p>
        </w:tc>
        <w:tc>
          <w:tcPr>
            <w:tcW w:w="120" w:type="dxa"/>
            <w:vAlign w:val="bottom"/>
          </w:tcPr>
          <w:p>
            <w:pPr>
              <w:spacing w:after="0"/>
              <w:rPr>
                <w:sz w:val="11"/>
                <w:szCs w:val="11"/>
                <w:color w:val="auto"/>
              </w:rPr>
            </w:pPr>
          </w:p>
        </w:tc>
        <w:tc>
          <w:tcPr>
            <w:tcW w:w="96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25,431,515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3"/>
          </w:tcPr>
          <w:p>
            <w:pPr>
              <w:jc w:val="right"/>
              <w:ind w:right="284"/>
              <w:spacing w:after="0"/>
              <w:rPr>
                <w:sz w:val="20"/>
                <w:szCs w:val="20"/>
                <w:color w:val="auto"/>
              </w:rPr>
            </w:pPr>
            <w:r>
              <w:rPr>
                <w:rFonts w:ascii="Arial" w:cs="Arial" w:eastAsia="Arial" w:hAnsi="Arial"/>
                <w:sz w:val="13"/>
                <w:szCs w:val="13"/>
                <w:color w:val="auto"/>
              </w:rPr>
              <w:t>(PIK 2.75%)</w:t>
            </w: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5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Galls, LLC; Quartermaster Inc.</w:t>
            </w:r>
          </w:p>
        </w:tc>
        <w:tc>
          <w:tcPr>
            <w:tcW w:w="1320" w:type="dxa"/>
            <w:vAlign w:val="bottom"/>
            <w:shd w:val="clear" w:color="auto" w:fill="CCEEFF"/>
          </w:tcPr>
          <w:p>
            <w:pPr>
              <w:jc w:val="center"/>
              <w:ind w:left="433"/>
              <w:spacing w:after="0" w:line="138" w:lineRule="exact"/>
              <w:rPr>
                <w:sz w:val="20"/>
                <w:szCs w:val="20"/>
                <w:color w:val="auto"/>
              </w:rPr>
            </w:pPr>
            <w:r>
              <w:rPr>
                <w:rFonts w:ascii="Arial" w:cs="Arial" w:eastAsia="Arial" w:hAnsi="Arial"/>
                <w:sz w:val="13"/>
                <w:szCs w:val="13"/>
                <w:color w:val="auto"/>
                <w:w w:val="95"/>
              </w:rPr>
              <w:t>03/31/2017</w:t>
            </w:r>
          </w:p>
        </w:tc>
        <w:tc>
          <w:tcPr>
            <w:tcW w:w="148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rPr>
              <w:t>Distribution</w:t>
            </w:r>
          </w:p>
        </w:tc>
        <w:tc>
          <w:tcPr>
            <w:tcW w:w="78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13.00%</w:t>
            </w:r>
          </w:p>
        </w:tc>
        <w:tc>
          <w:tcPr>
            <w:tcW w:w="3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500"/>
              <w:spacing w:after="0" w:line="138"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3"/>
                <w:szCs w:val="13"/>
                <w:color w:val="auto"/>
              </w:rPr>
              <w:t>21,906,249</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21,525,345</w:t>
            </w: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21,906,249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5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gridSpan w:val="3"/>
            <w:shd w:val="clear" w:color="auto" w:fill="CCEEFF"/>
          </w:tcPr>
          <w:p>
            <w:pPr>
              <w:jc w:val="right"/>
              <w:ind w:right="284"/>
              <w:spacing w:after="0"/>
              <w:rPr>
                <w:sz w:val="20"/>
                <w:szCs w:val="20"/>
                <w:color w:val="auto"/>
              </w:rPr>
            </w:pPr>
            <w:r>
              <w:rPr>
                <w:rFonts w:ascii="Arial" w:cs="Arial" w:eastAsia="Arial" w:hAnsi="Arial"/>
                <w:sz w:val="13"/>
                <w:szCs w:val="13"/>
                <w:color w:val="auto"/>
              </w:rPr>
              <w:t>(PIK 2.00%)</w:t>
            </w: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500" w:type="dxa"/>
            <w:vAlign w:val="bottom"/>
          </w:tcPr>
          <w:p>
            <w:pPr>
              <w:spacing w:after="0" w:line="138" w:lineRule="exact"/>
              <w:rPr>
                <w:sz w:val="20"/>
                <w:szCs w:val="20"/>
                <w:color w:val="auto"/>
              </w:rPr>
            </w:pPr>
            <w:r>
              <w:rPr>
                <w:rFonts w:ascii="Arial" w:cs="Arial" w:eastAsia="Arial" w:hAnsi="Arial"/>
                <w:sz w:val="13"/>
                <w:szCs w:val="13"/>
                <w:color w:val="auto"/>
              </w:rPr>
              <w:t>JF Acquisition, LLC</w:t>
            </w:r>
          </w:p>
        </w:tc>
        <w:tc>
          <w:tcPr>
            <w:tcW w:w="1320" w:type="dxa"/>
            <w:vAlign w:val="bottom"/>
          </w:tcPr>
          <w:p>
            <w:pPr>
              <w:jc w:val="center"/>
              <w:ind w:left="433"/>
              <w:spacing w:after="0" w:line="138" w:lineRule="exact"/>
              <w:rPr>
                <w:sz w:val="20"/>
                <w:szCs w:val="20"/>
                <w:color w:val="auto"/>
              </w:rPr>
            </w:pPr>
            <w:r>
              <w:rPr>
                <w:rFonts w:ascii="Arial" w:cs="Arial" w:eastAsia="Arial" w:hAnsi="Arial"/>
                <w:sz w:val="13"/>
                <w:szCs w:val="13"/>
                <w:color w:val="auto"/>
                <w:w w:val="95"/>
              </w:rPr>
              <w:t>06/30/2017</w:t>
            </w:r>
          </w:p>
        </w:tc>
        <w:tc>
          <w:tcPr>
            <w:tcW w:w="1480" w:type="dxa"/>
            <w:vAlign w:val="bottom"/>
            <w:gridSpan w:val="2"/>
          </w:tcPr>
          <w:p>
            <w:pPr>
              <w:jc w:val="center"/>
              <w:ind w:right="100"/>
              <w:spacing w:after="0" w:line="138" w:lineRule="exact"/>
              <w:rPr>
                <w:sz w:val="20"/>
                <w:szCs w:val="20"/>
                <w:color w:val="auto"/>
              </w:rPr>
            </w:pPr>
            <w:r>
              <w:rPr>
                <w:rFonts w:ascii="Arial" w:cs="Arial" w:eastAsia="Arial" w:hAnsi="Arial"/>
                <w:sz w:val="13"/>
                <w:szCs w:val="13"/>
                <w:color w:val="auto"/>
              </w:rPr>
              <w:t>Distribution</w:t>
            </w:r>
          </w:p>
        </w:tc>
        <w:tc>
          <w:tcPr>
            <w:tcW w:w="78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14.00%</w:t>
            </w:r>
          </w:p>
        </w:tc>
        <w:tc>
          <w:tcPr>
            <w:tcW w:w="360" w:type="dxa"/>
            <w:vAlign w:val="bottom"/>
          </w:tcPr>
          <w:p>
            <w:pPr>
              <w:spacing w:after="0"/>
              <w:rPr>
                <w:sz w:val="11"/>
                <w:szCs w:val="11"/>
                <w:color w:val="auto"/>
              </w:rPr>
            </w:pPr>
          </w:p>
        </w:tc>
        <w:tc>
          <w:tcPr>
            <w:tcW w:w="960" w:type="dxa"/>
            <w:vAlign w:val="bottom"/>
            <w:gridSpan w:val="2"/>
          </w:tcPr>
          <w:p>
            <w:pPr>
              <w:ind w:left="500"/>
              <w:spacing w:after="0" w:line="138"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60"/>
              <w:spacing w:after="0" w:line="138" w:lineRule="exact"/>
              <w:rPr>
                <w:sz w:val="20"/>
                <w:szCs w:val="20"/>
                <w:color w:val="auto"/>
              </w:rPr>
            </w:pPr>
            <w:r>
              <w:rPr>
                <w:rFonts w:ascii="Arial" w:cs="Arial" w:eastAsia="Arial" w:hAnsi="Arial"/>
                <w:sz w:val="13"/>
                <w:szCs w:val="13"/>
                <w:color w:val="auto"/>
              </w:rPr>
              <w:t>17,257,231</w:t>
            </w: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16,849,863</w:t>
            </w:r>
          </w:p>
        </w:tc>
        <w:tc>
          <w:tcPr>
            <w:tcW w:w="120" w:type="dxa"/>
            <w:vAlign w:val="bottom"/>
          </w:tcPr>
          <w:p>
            <w:pPr>
              <w:spacing w:after="0"/>
              <w:rPr>
                <w:sz w:val="11"/>
                <w:szCs w:val="11"/>
                <w:color w:val="auto"/>
              </w:rPr>
            </w:pPr>
          </w:p>
        </w:tc>
        <w:tc>
          <w:tcPr>
            <w:tcW w:w="96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17,429,803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3"/>
          </w:tcPr>
          <w:p>
            <w:pPr>
              <w:jc w:val="right"/>
              <w:ind w:right="284"/>
              <w:spacing w:after="0"/>
              <w:rPr>
                <w:sz w:val="20"/>
                <w:szCs w:val="20"/>
                <w:color w:val="auto"/>
              </w:rPr>
            </w:pPr>
            <w:r>
              <w:rPr>
                <w:rFonts w:ascii="Arial" w:cs="Arial" w:eastAsia="Arial" w:hAnsi="Arial"/>
                <w:sz w:val="13"/>
                <w:szCs w:val="13"/>
                <w:color w:val="auto"/>
              </w:rPr>
              <w:t>(PIK 2.00%)</w:t>
            </w: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5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Last Mile Funding Corp.</w:t>
            </w:r>
          </w:p>
        </w:tc>
        <w:tc>
          <w:tcPr>
            <w:tcW w:w="1320" w:type="dxa"/>
            <w:vAlign w:val="bottom"/>
            <w:shd w:val="clear" w:color="auto" w:fill="CCEEFF"/>
          </w:tcPr>
          <w:p>
            <w:pPr>
              <w:jc w:val="center"/>
              <w:ind w:left="433"/>
              <w:spacing w:after="0" w:line="138" w:lineRule="exact"/>
              <w:rPr>
                <w:sz w:val="20"/>
                <w:szCs w:val="20"/>
                <w:color w:val="auto"/>
              </w:rPr>
            </w:pPr>
            <w:r>
              <w:rPr>
                <w:rFonts w:ascii="Arial" w:cs="Arial" w:eastAsia="Arial" w:hAnsi="Arial"/>
                <w:sz w:val="13"/>
                <w:szCs w:val="13"/>
                <w:color w:val="auto"/>
                <w:w w:val="95"/>
              </w:rPr>
              <w:t>06/30/2016</w:t>
            </w:r>
          </w:p>
        </w:tc>
        <w:tc>
          <w:tcPr>
            <w:tcW w:w="148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5"/>
              </w:rPr>
              <w:t>Cargo Transport</w:t>
            </w:r>
          </w:p>
        </w:tc>
        <w:tc>
          <w:tcPr>
            <w:tcW w:w="78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14.50%</w:t>
            </w:r>
          </w:p>
        </w:tc>
        <w:tc>
          <w:tcPr>
            <w:tcW w:w="3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500"/>
              <w:spacing w:after="0" w:line="138"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3"/>
                <w:szCs w:val="13"/>
                <w:color w:val="auto"/>
              </w:rPr>
              <w:t>45,888,454</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45,027,785</w:t>
            </w: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45,888,454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5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gridSpan w:val="3"/>
            <w:shd w:val="clear" w:color="auto" w:fill="CCEEFF"/>
          </w:tcPr>
          <w:p>
            <w:pPr>
              <w:jc w:val="right"/>
              <w:ind w:right="284"/>
              <w:spacing w:after="0"/>
              <w:rPr>
                <w:sz w:val="20"/>
                <w:szCs w:val="20"/>
                <w:color w:val="auto"/>
              </w:rPr>
            </w:pPr>
            <w:r>
              <w:rPr>
                <w:rFonts w:ascii="Arial" w:cs="Arial" w:eastAsia="Arial" w:hAnsi="Arial"/>
                <w:sz w:val="13"/>
                <w:szCs w:val="13"/>
                <w:color w:val="auto"/>
              </w:rPr>
              <w:t>(PIK 2.50%)</w:t>
            </w: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500" w:type="dxa"/>
            <w:vAlign w:val="bottom"/>
          </w:tcPr>
          <w:p>
            <w:pPr>
              <w:spacing w:after="0" w:line="138" w:lineRule="exact"/>
              <w:rPr>
                <w:sz w:val="20"/>
                <w:szCs w:val="20"/>
                <w:color w:val="auto"/>
              </w:rPr>
            </w:pPr>
            <w:r>
              <w:rPr>
                <w:rFonts w:ascii="Arial" w:cs="Arial" w:eastAsia="Arial" w:hAnsi="Arial"/>
                <w:sz w:val="13"/>
                <w:szCs w:val="13"/>
                <w:color w:val="auto"/>
              </w:rPr>
              <w:t>Learning Care Group (US) Inc.</w:t>
            </w:r>
          </w:p>
        </w:tc>
        <w:tc>
          <w:tcPr>
            <w:tcW w:w="1320" w:type="dxa"/>
            <w:vAlign w:val="bottom"/>
          </w:tcPr>
          <w:p>
            <w:pPr>
              <w:jc w:val="center"/>
              <w:ind w:left="433"/>
              <w:spacing w:after="0" w:line="138" w:lineRule="exact"/>
              <w:rPr>
                <w:sz w:val="20"/>
                <w:szCs w:val="20"/>
                <w:color w:val="auto"/>
              </w:rPr>
            </w:pPr>
            <w:r>
              <w:rPr>
                <w:rFonts w:ascii="Arial" w:cs="Arial" w:eastAsia="Arial" w:hAnsi="Arial"/>
                <w:sz w:val="13"/>
                <w:szCs w:val="13"/>
                <w:color w:val="auto"/>
                <w:w w:val="95"/>
              </w:rPr>
              <w:t>06/30/2016</w:t>
            </w:r>
          </w:p>
        </w:tc>
        <w:tc>
          <w:tcPr>
            <w:tcW w:w="1480" w:type="dxa"/>
            <w:vAlign w:val="bottom"/>
            <w:gridSpan w:val="2"/>
          </w:tcPr>
          <w:p>
            <w:pPr>
              <w:jc w:val="center"/>
              <w:ind w:right="100"/>
              <w:spacing w:after="0" w:line="138" w:lineRule="exact"/>
              <w:rPr>
                <w:sz w:val="20"/>
                <w:szCs w:val="20"/>
                <w:color w:val="auto"/>
              </w:rPr>
            </w:pPr>
            <w:r>
              <w:rPr>
                <w:rFonts w:ascii="Arial" w:cs="Arial" w:eastAsia="Arial" w:hAnsi="Arial"/>
                <w:sz w:val="13"/>
                <w:szCs w:val="13"/>
                <w:color w:val="auto"/>
                <w:w w:val="93"/>
              </w:rPr>
              <w:t>Education</w:t>
            </w:r>
          </w:p>
        </w:tc>
        <w:tc>
          <w:tcPr>
            <w:tcW w:w="78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15.00%</w:t>
            </w:r>
          </w:p>
        </w:tc>
        <w:tc>
          <w:tcPr>
            <w:tcW w:w="360" w:type="dxa"/>
            <w:vAlign w:val="bottom"/>
          </w:tcPr>
          <w:p>
            <w:pPr>
              <w:spacing w:after="0"/>
              <w:rPr>
                <w:sz w:val="11"/>
                <w:szCs w:val="11"/>
                <w:color w:val="auto"/>
              </w:rPr>
            </w:pPr>
          </w:p>
        </w:tc>
        <w:tc>
          <w:tcPr>
            <w:tcW w:w="960" w:type="dxa"/>
            <w:vAlign w:val="bottom"/>
            <w:gridSpan w:val="2"/>
          </w:tcPr>
          <w:p>
            <w:pPr>
              <w:ind w:left="500"/>
              <w:spacing w:after="0" w:line="138"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60"/>
              <w:spacing w:after="0" w:line="138" w:lineRule="exact"/>
              <w:rPr>
                <w:sz w:val="20"/>
                <w:szCs w:val="20"/>
                <w:color w:val="auto"/>
              </w:rPr>
            </w:pPr>
            <w:r>
              <w:rPr>
                <w:rFonts w:ascii="Arial" w:cs="Arial" w:eastAsia="Arial" w:hAnsi="Arial"/>
                <w:sz w:val="13"/>
                <w:szCs w:val="13"/>
                <w:color w:val="auto"/>
              </w:rPr>
              <w:t>5,673,547</w:t>
            </w: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5,120,749</w:t>
            </w:r>
          </w:p>
        </w:tc>
        <w:tc>
          <w:tcPr>
            <w:tcW w:w="120" w:type="dxa"/>
            <w:vAlign w:val="bottom"/>
          </w:tcPr>
          <w:p>
            <w:pPr>
              <w:spacing w:after="0"/>
              <w:rPr>
                <w:sz w:val="11"/>
                <w:szCs w:val="11"/>
                <w:color w:val="auto"/>
              </w:rPr>
            </w:pPr>
          </w:p>
        </w:tc>
        <w:tc>
          <w:tcPr>
            <w:tcW w:w="96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5,233,847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3"/>
          </w:tcPr>
          <w:p>
            <w:pPr>
              <w:jc w:val="right"/>
              <w:ind w:right="284"/>
              <w:spacing w:after="0"/>
              <w:rPr>
                <w:sz w:val="20"/>
                <w:szCs w:val="20"/>
                <w:color w:val="auto"/>
              </w:rPr>
            </w:pPr>
            <w:r>
              <w:rPr>
                <w:rFonts w:ascii="Arial" w:cs="Arial" w:eastAsia="Arial" w:hAnsi="Arial"/>
                <w:sz w:val="13"/>
                <w:szCs w:val="13"/>
                <w:color w:val="auto"/>
              </w:rPr>
              <w:t>(PIK 15.00%)</w:t>
            </w: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5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LTI Flexible Products, Inc.</w:t>
            </w:r>
          </w:p>
        </w:tc>
        <w:tc>
          <w:tcPr>
            <w:tcW w:w="1320" w:type="dxa"/>
            <w:vAlign w:val="bottom"/>
            <w:shd w:val="clear" w:color="auto" w:fill="CCEEFF"/>
          </w:tcPr>
          <w:p>
            <w:pPr>
              <w:jc w:val="center"/>
              <w:ind w:left="433"/>
              <w:spacing w:after="0" w:line="138" w:lineRule="exact"/>
              <w:rPr>
                <w:sz w:val="20"/>
                <w:szCs w:val="20"/>
                <w:color w:val="auto"/>
              </w:rPr>
            </w:pPr>
            <w:r>
              <w:rPr>
                <w:rFonts w:ascii="Arial" w:cs="Arial" w:eastAsia="Arial" w:hAnsi="Arial"/>
                <w:sz w:val="13"/>
                <w:szCs w:val="13"/>
                <w:color w:val="auto"/>
                <w:w w:val="95"/>
              </w:rPr>
              <w:t>01/19/2019</w:t>
            </w:r>
          </w:p>
        </w:tc>
        <w:tc>
          <w:tcPr>
            <w:tcW w:w="148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4"/>
              </w:rPr>
              <w:t>Chemical, Plastic and</w:t>
            </w:r>
          </w:p>
        </w:tc>
        <w:tc>
          <w:tcPr>
            <w:tcW w:w="78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12.50%</w:t>
            </w:r>
          </w:p>
        </w:tc>
        <w:tc>
          <w:tcPr>
            <w:tcW w:w="3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500"/>
              <w:spacing w:after="0" w:line="138"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3"/>
                <w:szCs w:val="13"/>
                <w:color w:val="auto"/>
              </w:rPr>
              <w:t>30,000,000</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30,000,000</w:t>
            </w: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30,000,000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5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9"/>
              </w:rPr>
              <w:t>Rubber</w:t>
            </w: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500" w:type="dxa"/>
            <w:vAlign w:val="bottom"/>
          </w:tcPr>
          <w:p>
            <w:pPr>
              <w:spacing w:after="0" w:line="138" w:lineRule="exact"/>
              <w:rPr>
                <w:sz w:val="20"/>
                <w:szCs w:val="20"/>
                <w:color w:val="auto"/>
              </w:rPr>
            </w:pPr>
            <w:r>
              <w:rPr>
                <w:rFonts w:ascii="Arial" w:cs="Arial" w:eastAsia="Arial" w:hAnsi="Arial"/>
                <w:sz w:val="10"/>
                <w:szCs w:val="10"/>
                <w:color w:val="auto"/>
              </w:rPr>
              <w:t>LTI Flexible Products, Inc.</w:t>
            </w:r>
            <w:r>
              <w:rPr>
                <w:rFonts w:ascii="Arial" w:cs="Arial" w:eastAsia="Arial" w:hAnsi="Arial"/>
                <w:sz w:val="15"/>
                <w:szCs w:val="15"/>
                <w:color w:val="auto"/>
                <w:vertAlign w:val="superscript"/>
              </w:rPr>
              <w:t>(9)</w:t>
            </w:r>
          </w:p>
        </w:tc>
        <w:tc>
          <w:tcPr>
            <w:tcW w:w="1320" w:type="dxa"/>
            <w:vAlign w:val="bottom"/>
          </w:tcPr>
          <w:p>
            <w:pPr>
              <w:jc w:val="center"/>
              <w:ind w:left="433"/>
              <w:spacing w:after="0" w:line="138" w:lineRule="exact"/>
              <w:rPr>
                <w:sz w:val="20"/>
                <w:szCs w:val="20"/>
                <w:color w:val="auto"/>
              </w:rPr>
            </w:pPr>
            <w:r>
              <w:rPr>
                <w:rFonts w:ascii="Arial" w:cs="Arial" w:eastAsia="Arial" w:hAnsi="Arial"/>
                <w:sz w:val="13"/>
                <w:szCs w:val="13"/>
                <w:color w:val="auto"/>
                <w:w w:val="95"/>
              </w:rPr>
              <w:t>01/11/2014</w:t>
            </w:r>
          </w:p>
        </w:tc>
        <w:tc>
          <w:tcPr>
            <w:tcW w:w="1480" w:type="dxa"/>
            <w:vAlign w:val="bottom"/>
            <w:gridSpan w:val="2"/>
          </w:tcPr>
          <w:p>
            <w:pPr>
              <w:jc w:val="center"/>
              <w:ind w:right="100"/>
              <w:spacing w:after="0" w:line="138" w:lineRule="exact"/>
              <w:rPr>
                <w:sz w:val="20"/>
                <w:szCs w:val="20"/>
                <w:color w:val="auto"/>
              </w:rPr>
            </w:pPr>
            <w:r>
              <w:rPr>
                <w:rFonts w:ascii="Arial" w:cs="Arial" w:eastAsia="Arial" w:hAnsi="Arial"/>
                <w:sz w:val="13"/>
                <w:szCs w:val="13"/>
                <w:color w:val="auto"/>
                <w:w w:val="94"/>
              </w:rPr>
              <w:t>Chemical, Plastic and</w:t>
            </w:r>
          </w:p>
        </w:tc>
        <w:tc>
          <w:tcPr>
            <w:tcW w:w="780" w:type="dxa"/>
            <w:vAlign w:val="bottom"/>
            <w:gridSpan w:val="2"/>
          </w:tcPr>
          <w:p>
            <w:pPr>
              <w:jc w:val="right"/>
              <w:ind w:right="200"/>
              <w:spacing w:after="0" w:line="138" w:lineRule="exact"/>
              <w:rPr>
                <w:sz w:val="20"/>
                <w:szCs w:val="20"/>
                <w:color w:val="auto"/>
              </w:rPr>
            </w:pPr>
            <w:r>
              <w:rPr>
                <w:rFonts w:ascii="Arial" w:cs="Arial" w:eastAsia="Arial" w:hAnsi="Arial"/>
                <w:sz w:val="13"/>
                <w:szCs w:val="13"/>
                <w:color w:val="auto"/>
              </w:rPr>
              <w:t>—</w:t>
            </w:r>
          </w:p>
        </w:tc>
        <w:tc>
          <w:tcPr>
            <w:tcW w:w="360" w:type="dxa"/>
            <w:vAlign w:val="bottom"/>
          </w:tcPr>
          <w:p>
            <w:pPr>
              <w:spacing w:after="0"/>
              <w:rPr>
                <w:sz w:val="11"/>
                <w:szCs w:val="11"/>
                <w:color w:val="auto"/>
              </w:rPr>
            </w:pPr>
          </w:p>
        </w:tc>
        <w:tc>
          <w:tcPr>
            <w:tcW w:w="960" w:type="dxa"/>
            <w:vAlign w:val="bottom"/>
            <w:gridSpan w:val="2"/>
          </w:tcPr>
          <w:p>
            <w:pPr>
              <w:ind w:left="500"/>
              <w:spacing w:after="0" w:line="138"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60"/>
              <w:spacing w:after="0" w:line="138" w:lineRule="exact"/>
              <w:rPr>
                <w:sz w:val="20"/>
                <w:szCs w:val="20"/>
                <w:color w:val="auto"/>
              </w:rPr>
            </w:pPr>
            <w:r>
              <w:rPr>
                <w:rFonts w:ascii="Arial" w:cs="Arial" w:eastAsia="Arial" w:hAnsi="Arial"/>
                <w:sz w:val="13"/>
                <w:szCs w:val="13"/>
                <w:color w:val="auto"/>
              </w:rPr>
              <w:t>5,000,000</w:t>
            </w: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4,825,000</w:t>
            </w:r>
          </w:p>
        </w:tc>
        <w:tc>
          <w:tcPr>
            <w:tcW w:w="120" w:type="dxa"/>
            <w:vAlign w:val="bottom"/>
          </w:tcPr>
          <w:p>
            <w:pPr>
              <w:spacing w:after="0"/>
              <w:rPr>
                <w:sz w:val="11"/>
                <w:szCs w:val="11"/>
                <w:color w:val="auto"/>
              </w:rPr>
            </w:pPr>
          </w:p>
        </w:tc>
        <w:tc>
          <w:tcPr>
            <w:tcW w:w="96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5,000,000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5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Rubber</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5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Mailsouth, Inc.</w:t>
            </w:r>
          </w:p>
        </w:tc>
        <w:tc>
          <w:tcPr>
            <w:tcW w:w="1320" w:type="dxa"/>
            <w:vAlign w:val="bottom"/>
            <w:shd w:val="clear" w:color="auto" w:fill="CCEEFF"/>
          </w:tcPr>
          <w:p>
            <w:pPr>
              <w:jc w:val="center"/>
              <w:ind w:left="433"/>
              <w:spacing w:after="0" w:line="138" w:lineRule="exact"/>
              <w:rPr>
                <w:sz w:val="20"/>
                <w:szCs w:val="20"/>
                <w:color w:val="auto"/>
              </w:rPr>
            </w:pPr>
            <w:r>
              <w:rPr>
                <w:rFonts w:ascii="Arial" w:cs="Arial" w:eastAsia="Arial" w:hAnsi="Arial"/>
                <w:sz w:val="13"/>
                <w:szCs w:val="13"/>
                <w:color w:val="auto"/>
                <w:w w:val="95"/>
              </w:rPr>
              <w:t>06/15/2017</w:t>
            </w:r>
          </w:p>
        </w:tc>
        <w:tc>
          <w:tcPr>
            <w:tcW w:w="148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5"/>
              </w:rPr>
              <w:t>Printing</w:t>
            </w:r>
          </w:p>
        </w:tc>
        <w:tc>
          <w:tcPr>
            <w:tcW w:w="78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14.50%</w:t>
            </w:r>
          </w:p>
        </w:tc>
        <w:tc>
          <w:tcPr>
            <w:tcW w:w="3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500"/>
              <w:spacing w:after="0" w:line="138"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3"/>
                <w:szCs w:val="13"/>
                <w:color w:val="auto"/>
              </w:rPr>
              <w:t>15,000,000</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14,647,038</w:t>
            </w: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15,000,000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5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6"/>
              </w:rPr>
              <w:t>and Publishing</w:t>
            </w: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500" w:type="dxa"/>
            <w:vAlign w:val="bottom"/>
          </w:tcPr>
          <w:p>
            <w:pPr>
              <w:spacing w:after="0" w:line="138" w:lineRule="exact"/>
              <w:rPr>
                <w:sz w:val="20"/>
                <w:szCs w:val="20"/>
                <w:color w:val="auto"/>
              </w:rPr>
            </w:pPr>
            <w:r>
              <w:rPr>
                <w:rFonts w:ascii="Arial" w:cs="Arial" w:eastAsia="Arial" w:hAnsi="Arial"/>
                <w:sz w:val="13"/>
                <w:szCs w:val="13"/>
                <w:color w:val="auto"/>
              </w:rPr>
              <w:t>PAS Technologies, Inc.</w:t>
            </w:r>
          </w:p>
        </w:tc>
        <w:tc>
          <w:tcPr>
            <w:tcW w:w="1320" w:type="dxa"/>
            <w:vAlign w:val="bottom"/>
          </w:tcPr>
          <w:p>
            <w:pPr>
              <w:jc w:val="center"/>
              <w:ind w:left="433"/>
              <w:spacing w:after="0" w:line="138" w:lineRule="exact"/>
              <w:rPr>
                <w:sz w:val="20"/>
                <w:szCs w:val="20"/>
                <w:color w:val="auto"/>
              </w:rPr>
            </w:pPr>
            <w:r>
              <w:rPr>
                <w:rFonts w:ascii="Arial" w:cs="Arial" w:eastAsia="Arial" w:hAnsi="Arial"/>
                <w:sz w:val="13"/>
                <w:szCs w:val="13"/>
                <w:color w:val="auto"/>
                <w:w w:val="95"/>
              </w:rPr>
              <w:t>05/12/2017</w:t>
            </w:r>
          </w:p>
        </w:tc>
        <w:tc>
          <w:tcPr>
            <w:tcW w:w="1480" w:type="dxa"/>
            <w:vAlign w:val="bottom"/>
            <w:gridSpan w:val="2"/>
          </w:tcPr>
          <w:p>
            <w:pPr>
              <w:jc w:val="center"/>
              <w:ind w:right="100"/>
              <w:spacing w:after="0" w:line="138" w:lineRule="exact"/>
              <w:rPr>
                <w:sz w:val="20"/>
                <w:szCs w:val="20"/>
                <w:color w:val="auto"/>
              </w:rPr>
            </w:pPr>
            <w:r>
              <w:rPr>
                <w:rFonts w:ascii="Arial" w:cs="Arial" w:eastAsia="Arial" w:hAnsi="Arial"/>
                <w:sz w:val="13"/>
                <w:szCs w:val="13"/>
                <w:color w:val="auto"/>
                <w:w w:val="93"/>
              </w:rPr>
              <w:t>Aerospace</w:t>
            </w:r>
          </w:p>
        </w:tc>
        <w:tc>
          <w:tcPr>
            <w:tcW w:w="78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15.02%</w:t>
            </w:r>
          </w:p>
        </w:tc>
        <w:tc>
          <w:tcPr>
            <w:tcW w:w="360" w:type="dxa"/>
            <w:vAlign w:val="bottom"/>
          </w:tcPr>
          <w:p>
            <w:pPr>
              <w:spacing w:after="0"/>
              <w:rPr>
                <w:sz w:val="11"/>
                <w:szCs w:val="11"/>
                <w:color w:val="auto"/>
              </w:rPr>
            </w:pPr>
          </w:p>
        </w:tc>
        <w:tc>
          <w:tcPr>
            <w:tcW w:w="960" w:type="dxa"/>
            <w:vAlign w:val="bottom"/>
            <w:gridSpan w:val="2"/>
          </w:tcPr>
          <w:p>
            <w:pPr>
              <w:ind w:left="500"/>
              <w:spacing w:after="0" w:line="138"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60"/>
              <w:spacing w:after="0" w:line="138" w:lineRule="exact"/>
              <w:rPr>
                <w:sz w:val="20"/>
                <w:szCs w:val="20"/>
                <w:color w:val="auto"/>
              </w:rPr>
            </w:pPr>
            <w:r>
              <w:rPr>
                <w:rFonts w:ascii="Arial" w:cs="Arial" w:eastAsia="Arial" w:hAnsi="Arial"/>
                <w:sz w:val="13"/>
                <w:szCs w:val="13"/>
                <w:color w:val="auto"/>
              </w:rPr>
              <w:t>17,577,649</w:t>
            </w: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17,248,456</w:t>
            </w:r>
          </w:p>
        </w:tc>
        <w:tc>
          <w:tcPr>
            <w:tcW w:w="120" w:type="dxa"/>
            <w:vAlign w:val="bottom"/>
          </w:tcPr>
          <w:p>
            <w:pPr>
              <w:spacing w:after="0"/>
              <w:rPr>
                <w:sz w:val="11"/>
                <w:szCs w:val="11"/>
                <w:color w:val="auto"/>
              </w:rPr>
            </w:pPr>
          </w:p>
        </w:tc>
        <w:tc>
          <w:tcPr>
            <w:tcW w:w="96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16,347,214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and Defense</w:t>
            </w:r>
          </w:p>
        </w:tc>
        <w:tc>
          <w:tcPr>
            <w:tcW w:w="1140" w:type="dxa"/>
            <w:vAlign w:val="bottom"/>
            <w:gridSpan w:val="3"/>
          </w:tcPr>
          <w:p>
            <w:pPr>
              <w:jc w:val="right"/>
              <w:ind w:right="284"/>
              <w:spacing w:after="0"/>
              <w:rPr>
                <w:sz w:val="20"/>
                <w:szCs w:val="20"/>
                <w:color w:val="auto"/>
              </w:rPr>
            </w:pPr>
            <w:r>
              <w:rPr>
                <w:rFonts w:ascii="Arial" w:cs="Arial" w:eastAsia="Arial" w:hAnsi="Arial"/>
                <w:sz w:val="13"/>
                <w:szCs w:val="13"/>
                <w:color w:val="auto"/>
              </w:rPr>
              <w:t>(PIK 3.02%)</w:t>
            </w: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TRAK Acquisition Corp.</w:t>
            </w:r>
          </w:p>
        </w:tc>
        <w:tc>
          <w:tcPr>
            <w:tcW w:w="1320" w:type="dxa"/>
            <w:vAlign w:val="bottom"/>
            <w:shd w:val="clear" w:color="auto" w:fill="CCEEFF"/>
          </w:tcPr>
          <w:p>
            <w:pPr>
              <w:jc w:val="center"/>
              <w:ind w:left="433"/>
              <w:spacing w:after="0"/>
              <w:rPr>
                <w:sz w:val="20"/>
                <w:szCs w:val="20"/>
                <w:color w:val="auto"/>
              </w:rPr>
            </w:pPr>
            <w:r>
              <w:rPr>
                <w:rFonts w:ascii="Arial" w:cs="Arial" w:eastAsia="Arial" w:hAnsi="Arial"/>
                <w:sz w:val="13"/>
                <w:szCs w:val="13"/>
                <w:color w:val="auto"/>
                <w:w w:val="95"/>
              </w:rPr>
              <w:t>12/29/2015</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2"/>
              </w:rPr>
              <w:t>Business Services</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15.00%</w:t>
            </w:r>
          </w:p>
        </w:tc>
        <w:tc>
          <w:tcPr>
            <w:tcW w:w="360" w:type="dxa"/>
            <w:vAlign w:val="bottom"/>
            <w:shd w:val="clear" w:color="auto" w:fill="CCEEFF"/>
          </w:tcPr>
          <w:p>
            <w:pPr>
              <w:jc w:val="right"/>
              <w:ind w:right="164"/>
              <w:spacing w:after="0"/>
              <w:rPr>
                <w:sz w:val="20"/>
                <w:szCs w:val="20"/>
                <w:color w:val="auto"/>
              </w:rPr>
            </w:pPr>
            <w:r>
              <w:rPr>
                <w:rFonts w:ascii="Arial" w:cs="Arial" w:eastAsia="Arial" w:hAnsi="Arial"/>
                <w:sz w:val="11"/>
                <w:szCs w:val="11"/>
                <w:color w:val="auto"/>
                <w:w w:val="88"/>
              </w:rPr>
              <w:t>(7)</w:t>
            </w: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12,020,950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11,702,105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12,020,950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500" w:type="dxa"/>
            <w:vAlign w:val="bottom"/>
          </w:tcPr>
          <w:p>
            <w:pPr>
              <w:spacing w:after="0" w:line="138" w:lineRule="exact"/>
              <w:rPr>
                <w:sz w:val="20"/>
                <w:szCs w:val="20"/>
                <w:color w:val="auto"/>
              </w:rPr>
            </w:pPr>
            <w:r>
              <w:rPr>
                <w:rFonts w:ascii="Arial" w:cs="Arial" w:eastAsia="Arial" w:hAnsi="Arial"/>
                <w:sz w:val="13"/>
                <w:szCs w:val="13"/>
                <w:color w:val="auto"/>
              </w:rPr>
              <w:t>TrustHouse Services Group, Inc.</w:t>
            </w:r>
          </w:p>
        </w:tc>
        <w:tc>
          <w:tcPr>
            <w:tcW w:w="1320" w:type="dxa"/>
            <w:vAlign w:val="bottom"/>
          </w:tcPr>
          <w:p>
            <w:pPr>
              <w:jc w:val="center"/>
              <w:ind w:left="433"/>
              <w:spacing w:after="0" w:line="138" w:lineRule="exact"/>
              <w:rPr>
                <w:sz w:val="20"/>
                <w:szCs w:val="20"/>
                <w:color w:val="auto"/>
              </w:rPr>
            </w:pPr>
            <w:r>
              <w:rPr>
                <w:rFonts w:ascii="Arial" w:cs="Arial" w:eastAsia="Arial" w:hAnsi="Arial"/>
                <w:sz w:val="13"/>
                <w:szCs w:val="13"/>
                <w:color w:val="auto"/>
                <w:w w:val="95"/>
              </w:rPr>
              <w:t>06/03/2019</w:t>
            </w:r>
          </w:p>
        </w:tc>
        <w:tc>
          <w:tcPr>
            <w:tcW w:w="1480" w:type="dxa"/>
            <w:vAlign w:val="bottom"/>
            <w:gridSpan w:val="2"/>
          </w:tcPr>
          <w:p>
            <w:pPr>
              <w:jc w:val="center"/>
              <w:ind w:right="100"/>
              <w:spacing w:after="0" w:line="138" w:lineRule="exact"/>
              <w:rPr>
                <w:sz w:val="20"/>
                <w:szCs w:val="20"/>
                <w:color w:val="auto"/>
              </w:rPr>
            </w:pPr>
            <w:r>
              <w:rPr>
                <w:rFonts w:ascii="Arial" w:cs="Arial" w:eastAsia="Arial" w:hAnsi="Arial"/>
                <w:sz w:val="13"/>
                <w:szCs w:val="13"/>
                <w:color w:val="auto"/>
                <w:w w:val="90"/>
              </w:rPr>
              <w:t>Beverage, Food, and</w:t>
            </w:r>
          </w:p>
        </w:tc>
        <w:tc>
          <w:tcPr>
            <w:tcW w:w="78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14.25%</w:t>
            </w:r>
          </w:p>
        </w:tc>
        <w:tc>
          <w:tcPr>
            <w:tcW w:w="360" w:type="dxa"/>
            <w:vAlign w:val="bottom"/>
          </w:tcPr>
          <w:p>
            <w:pPr>
              <w:spacing w:after="0"/>
              <w:rPr>
                <w:sz w:val="11"/>
                <w:szCs w:val="11"/>
                <w:color w:val="auto"/>
              </w:rPr>
            </w:pPr>
          </w:p>
        </w:tc>
        <w:tc>
          <w:tcPr>
            <w:tcW w:w="960" w:type="dxa"/>
            <w:vAlign w:val="bottom"/>
            <w:gridSpan w:val="2"/>
          </w:tcPr>
          <w:p>
            <w:pPr>
              <w:ind w:left="500"/>
              <w:spacing w:after="0" w:line="138"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60"/>
              <w:spacing w:after="0" w:line="138" w:lineRule="exact"/>
              <w:rPr>
                <w:sz w:val="20"/>
                <w:szCs w:val="20"/>
                <w:color w:val="auto"/>
              </w:rPr>
            </w:pPr>
            <w:r>
              <w:rPr>
                <w:rFonts w:ascii="Arial" w:cs="Arial" w:eastAsia="Arial" w:hAnsi="Arial"/>
                <w:sz w:val="13"/>
                <w:szCs w:val="13"/>
                <w:color w:val="auto"/>
              </w:rPr>
              <w:t>14,947,163</w:t>
            </w: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14,703,631</w:t>
            </w:r>
          </w:p>
        </w:tc>
        <w:tc>
          <w:tcPr>
            <w:tcW w:w="120" w:type="dxa"/>
            <w:vAlign w:val="bottom"/>
          </w:tcPr>
          <w:p>
            <w:pPr>
              <w:spacing w:after="0"/>
              <w:rPr>
                <w:sz w:val="11"/>
                <w:szCs w:val="11"/>
                <w:color w:val="auto"/>
              </w:rPr>
            </w:pPr>
          </w:p>
        </w:tc>
        <w:tc>
          <w:tcPr>
            <w:tcW w:w="96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14,947,163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Tobacco</w:t>
            </w:r>
          </w:p>
        </w:tc>
        <w:tc>
          <w:tcPr>
            <w:tcW w:w="1140" w:type="dxa"/>
            <w:vAlign w:val="bottom"/>
            <w:gridSpan w:val="3"/>
          </w:tcPr>
          <w:p>
            <w:pPr>
              <w:jc w:val="right"/>
              <w:ind w:right="284"/>
              <w:spacing w:after="0"/>
              <w:rPr>
                <w:sz w:val="20"/>
                <w:szCs w:val="20"/>
                <w:color w:val="auto"/>
              </w:rPr>
            </w:pPr>
            <w:r>
              <w:rPr>
                <w:rFonts w:ascii="Arial" w:cs="Arial" w:eastAsia="Arial" w:hAnsi="Arial"/>
                <w:sz w:val="13"/>
                <w:szCs w:val="13"/>
                <w:color w:val="auto"/>
              </w:rPr>
              <w:t>(PIK 2.25%)</w:t>
            </w: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50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TrustHouse Services Group, Inc. </w:t>
            </w:r>
            <w:r>
              <w:rPr>
                <w:rFonts w:ascii="Arial" w:cs="Arial" w:eastAsia="Arial" w:hAnsi="Arial"/>
                <w:sz w:val="15"/>
                <w:szCs w:val="15"/>
                <w:color w:val="auto"/>
                <w:vertAlign w:val="superscript"/>
              </w:rPr>
              <w:t>(9)</w:t>
            </w:r>
          </w:p>
        </w:tc>
        <w:tc>
          <w:tcPr>
            <w:tcW w:w="1320" w:type="dxa"/>
            <w:vAlign w:val="bottom"/>
            <w:shd w:val="clear" w:color="auto" w:fill="CCEEFF"/>
          </w:tcPr>
          <w:p>
            <w:pPr>
              <w:jc w:val="center"/>
              <w:ind w:left="433"/>
              <w:spacing w:after="0" w:line="138" w:lineRule="exact"/>
              <w:rPr>
                <w:sz w:val="20"/>
                <w:szCs w:val="20"/>
                <w:color w:val="auto"/>
              </w:rPr>
            </w:pPr>
            <w:r>
              <w:rPr>
                <w:rFonts w:ascii="Arial" w:cs="Arial" w:eastAsia="Arial" w:hAnsi="Arial"/>
                <w:sz w:val="13"/>
                <w:szCs w:val="13"/>
                <w:color w:val="auto"/>
                <w:w w:val="95"/>
              </w:rPr>
              <w:t>06/02/2014</w:t>
            </w:r>
          </w:p>
        </w:tc>
        <w:tc>
          <w:tcPr>
            <w:tcW w:w="148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0"/>
              </w:rPr>
              <w:t>Beverage, Food, and</w:t>
            </w:r>
          </w:p>
        </w:tc>
        <w:tc>
          <w:tcPr>
            <w:tcW w:w="78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500"/>
              <w:spacing w:after="0" w:line="138"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3"/>
                <w:szCs w:val="13"/>
                <w:color w:val="auto"/>
              </w:rPr>
              <w:t>4,000,000</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3,920,000</w:t>
            </w: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4,000,000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5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2"/>
              </w:rPr>
              <w:t>Tobacco</w:t>
            </w: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20"/>
                <w:szCs w:val="20"/>
                <w:color w:val="auto"/>
              </w:rPr>
            </w:pPr>
            <w:r>
              <w:rPr>
                <w:rFonts w:ascii="Arial" w:cs="Arial" w:eastAsia="Arial" w:hAnsi="Arial"/>
                <w:sz w:val="13"/>
                <w:szCs w:val="13"/>
                <w:color w:val="auto"/>
              </w:rPr>
              <w:t>Veritext Corp.</w:t>
            </w:r>
          </w:p>
        </w:tc>
        <w:tc>
          <w:tcPr>
            <w:tcW w:w="1320" w:type="dxa"/>
            <w:vAlign w:val="bottom"/>
          </w:tcPr>
          <w:p>
            <w:pPr>
              <w:jc w:val="center"/>
              <w:ind w:left="433"/>
              <w:spacing w:after="0"/>
              <w:rPr>
                <w:sz w:val="20"/>
                <w:szCs w:val="20"/>
                <w:color w:val="auto"/>
              </w:rPr>
            </w:pPr>
            <w:r>
              <w:rPr>
                <w:rFonts w:ascii="Arial" w:cs="Arial" w:eastAsia="Arial" w:hAnsi="Arial"/>
                <w:sz w:val="13"/>
                <w:szCs w:val="13"/>
                <w:color w:val="auto"/>
                <w:w w:val="95"/>
              </w:rPr>
              <w:t>12/31/2015</w:t>
            </w:r>
          </w:p>
        </w:tc>
        <w:tc>
          <w:tcPr>
            <w:tcW w:w="148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Business Services</w:t>
            </w:r>
          </w:p>
        </w:tc>
        <w:tc>
          <w:tcPr>
            <w:tcW w:w="780" w:type="dxa"/>
            <w:vAlign w:val="bottom"/>
            <w:gridSpan w:val="2"/>
          </w:tcPr>
          <w:p>
            <w:pPr>
              <w:jc w:val="right"/>
              <w:ind w:right="20"/>
              <w:spacing w:after="0"/>
              <w:rPr>
                <w:sz w:val="20"/>
                <w:szCs w:val="20"/>
                <w:color w:val="auto"/>
              </w:rPr>
            </w:pPr>
            <w:r>
              <w:rPr>
                <w:rFonts w:ascii="Arial" w:cs="Arial" w:eastAsia="Arial" w:hAnsi="Arial"/>
                <w:sz w:val="13"/>
                <w:szCs w:val="13"/>
                <w:color w:val="auto"/>
              </w:rPr>
              <w:t>13.00%</w:t>
            </w:r>
          </w:p>
        </w:tc>
        <w:tc>
          <w:tcPr>
            <w:tcW w:w="360" w:type="dxa"/>
            <w:vAlign w:val="bottom"/>
          </w:tcPr>
          <w:p>
            <w:pPr>
              <w:spacing w:after="0"/>
              <w:rPr>
                <w:sz w:val="12"/>
                <w:szCs w:val="12"/>
                <w:color w:val="auto"/>
              </w:rPr>
            </w:pPr>
          </w:p>
        </w:tc>
        <w:tc>
          <w:tcPr>
            <w:tcW w:w="96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16,200,000</w:t>
            </w:r>
          </w:p>
        </w:tc>
        <w:tc>
          <w:tcPr>
            <w:tcW w:w="760" w:type="dxa"/>
            <w:vAlign w:val="bottom"/>
          </w:tcPr>
          <w:p>
            <w:pPr>
              <w:jc w:val="right"/>
              <w:spacing w:after="0"/>
              <w:rPr>
                <w:sz w:val="20"/>
                <w:szCs w:val="20"/>
                <w:color w:val="auto"/>
              </w:rPr>
            </w:pPr>
            <w:r>
              <w:rPr>
                <w:rFonts w:ascii="Arial" w:cs="Arial" w:eastAsia="Arial" w:hAnsi="Arial"/>
                <w:sz w:val="13"/>
                <w:szCs w:val="13"/>
                <w:color w:val="auto"/>
              </w:rPr>
              <w:t>15,934,353</w:t>
            </w:r>
          </w:p>
        </w:tc>
        <w:tc>
          <w:tcPr>
            <w:tcW w:w="12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16,200,000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5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Vestcom International, Inc.</w:t>
            </w:r>
          </w:p>
        </w:tc>
        <w:tc>
          <w:tcPr>
            <w:tcW w:w="1320" w:type="dxa"/>
            <w:vAlign w:val="bottom"/>
            <w:shd w:val="clear" w:color="auto" w:fill="CCEEFF"/>
          </w:tcPr>
          <w:p>
            <w:pPr>
              <w:jc w:val="center"/>
              <w:ind w:left="433"/>
              <w:spacing w:after="0" w:line="138" w:lineRule="exact"/>
              <w:rPr>
                <w:sz w:val="20"/>
                <w:szCs w:val="20"/>
                <w:color w:val="auto"/>
              </w:rPr>
            </w:pPr>
            <w:r>
              <w:rPr>
                <w:rFonts w:ascii="Arial" w:cs="Arial" w:eastAsia="Arial" w:hAnsi="Arial"/>
                <w:sz w:val="13"/>
                <w:szCs w:val="13"/>
                <w:color w:val="auto"/>
                <w:w w:val="95"/>
              </w:rPr>
              <w:t>06/27/2019</w:t>
            </w:r>
          </w:p>
        </w:tc>
        <w:tc>
          <w:tcPr>
            <w:tcW w:w="148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5"/>
              </w:rPr>
              <w:t>Printing and</w:t>
            </w:r>
          </w:p>
        </w:tc>
        <w:tc>
          <w:tcPr>
            <w:tcW w:w="78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12.00%</w:t>
            </w:r>
          </w:p>
        </w:tc>
        <w:tc>
          <w:tcPr>
            <w:tcW w:w="3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500"/>
              <w:spacing w:after="0" w:line="138"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3"/>
                <w:szCs w:val="13"/>
                <w:color w:val="auto"/>
              </w:rPr>
              <w:t>46,511,091</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45,582,215</w:t>
            </w:r>
          </w:p>
        </w:tc>
        <w:tc>
          <w:tcPr>
            <w:tcW w:w="120" w:type="dxa"/>
            <w:vAlign w:val="bottom"/>
            <w:shd w:val="clear" w:color="auto" w:fill="CCEEFF"/>
          </w:tcPr>
          <w:p>
            <w:pPr>
              <w:spacing w:after="0"/>
              <w:rPr>
                <w:sz w:val="11"/>
                <w:szCs w:val="11"/>
                <w:color w:val="auto"/>
              </w:rPr>
            </w:pPr>
          </w:p>
        </w:tc>
        <w:tc>
          <w:tcPr>
            <w:tcW w:w="1020" w:type="dxa"/>
            <w:vAlign w:val="bottom"/>
            <w:gridSpan w:val="3"/>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46,511,091</w:t>
            </w:r>
          </w:p>
        </w:tc>
        <w:tc>
          <w:tcPr>
            <w:tcW w:w="0" w:type="dxa"/>
            <w:vAlign w:val="bottom"/>
          </w:tcPr>
          <w:p>
            <w:pPr>
              <w:spacing w:after="0"/>
              <w:rPr>
                <w:sz w:val="1"/>
                <w:szCs w:val="1"/>
                <w:color w:val="auto"/>
              </w:rPr>
            </w:pPr>
          </w:p>
        </w:tc>
      </w:tr>
      <w:tr>
        <w:trPr>
          <w:trHeight w:val="159"/>
        </w:trPr>
        <w:tc>
          <w:tcPr>
            <w:tcW w:w="35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6"/>
              </w:rPr>
              <w:t>Publishing</w:t>
            </w: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500" w:type="dxa"/>
            <w:vAlign w:val="bottom"/>
          </w:tcPr>
          <w:p>
            <w:pPr>
              <w:spacing w:after="0"/>
              <w:rPr>
                <w:sz w:val="20"/>
                <w:szCs w:val="20"/>
                <w:color w:val="auto"/>
              </w:rPr>
            </w:pPr>
            <w:r>
              <w:rPr>
                <w:rFonts w:ascii="Arial" w:cs="Arial" w:eastAsia="Arial" w:hAnsi="Arial"/>
                <w:sz w:val="13"/>
                <w:szCs w:val="13"/>
                <w:b w:val="1"/>
                <w:bCs w:val="1"/>
                <w:color w:val="auto"/>
              </w:rPr>
              <w:t>Total Subordinated Debt/Corporate Notes</w:t>
            </w: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356,501,431</w:t>
            </w:r>
          </w:p>
        </w:tc>
        <w:tc>
          <w:tcPr>
            <w:tcW w:w="120" w:type="dxa"/>
            <w:vAlign w:val="bottom"/>
          </w:tcPr>
          <w:p>
            <w:pPr>
              <w:spacing w:after="0"/>
              <w:rPr>
                <w:sz w:val="14"/>
                <w:szCs w:val="14"/>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3"/>
                <w:szCs w:val="13"/>
                <w:color w:val="auto"/>
              </w:rPr>
              <w:t>350,352,110</w:t>
            </w:r>
          </w:p>
        </w:tc>
        <w:tc>
          <w:tcPr>
            <w:tcW w:w="0" w:type="dxa"/>
            <w:vAlign w:val="bottom"/>
          </w:tcPr>
          <w:p>
            <w:pPr>
              <w:spacing w:after="0"/>
              <w:rPr>
                <w:sz w:val="1"/>
                <w:szCs w:val="1"/>
                <w:color w:val="auto"/>
              </w:rPr>
            </w:pPr>
          </w:p>
        </w:tc>
      </w:tr>
      <w:tr>
        <w:trPr>
          <w:trHeight w:val="149"/>
        </w:trPr>
        <w:tc>
          <w:tcPr>
            <w:tcW w:w="350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Preferred Equity/Partnership Interests —1.7% </w:t>
            </w:r>
            <w:r>
              <w:rPr>
                <w:rFonts w:ascii="Arial" w:cs="Arial" w:eastAsia="Arial" w:hAnsi="Arial"/>
                <w:sz w:val="17"/>
                <w:szCs w:val="17"/>
                <w:b w:val="1"/>
                <w:bCs w:val="1"/>
                <w:color w:val="auto"/>
                <w:vertAlign w:val="superscript"/>
              </w:rPr>
              <w:t>(6)</w:t>
            </w:r>
          </w:p>
        </w:tc>
        <w:tc>
          <w:tcPr>
            <w:tcW w:w="13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500" w:type="dxa"/>
            <w:vAlign w:val="bottom"/>
          </w:tcPr>
          <w:p>
            <w:pPr>
              <w:spacing w:after="0" w:line="138" w:lineRule="exact"/>
              <w:rPr>
                <w:sz w:val="20"/>
                <w:szCs w:val="20"/>
                <w:color w:val="auto"/>
              </w:rPr>
            </w:pPr>
            <w:r>
              <w:rPr>
                <w:rFonts w:ascii="Arial" w:cs="Arial" w:eastAsia="Arial" w:hAnsi="Arial"/>
                <w:sz w:val="13"/>
                <w:szCs w:val="13"/>
                <w:color w:val="auto"/>
              </w:rPr>
              <w:t>AH Holdings, Inc.</w:t>
            </w:r>
          </w:p>
        </w:tc>
        <w:tc>
          <w:tcPr>
            <w:tcW w:w="1320" w:type="dxa"/>
            <w:vAlign w:val="bottom"/>
          </w:tcPr>
          <w:p>
            <w:pPr>
              <w:ind w:left="800"/>
              <w:spacing w:after="0" w:line="138" w:lineRule="exact"/>
              <w:rPr>
                <w:sz w:val="20"/>
                <w:szCs w:val="20"/>
                <w:color w:val="auto"/>
              </w:rPr>
            </w:pPr>
            <w:r>
              <w:rPr>
                <w:rFonts w:ascii="Arial" w:cs="Arial" w:eastAsia="Arial" w:hAnsi="Arial"/>
                <w:sz w:val="13"/>
                <w:szCs w:val="13"/>
                <w:color w:val="auto"/>
              </w:rPr>
              <w:t>—</w:t>
            </w:r>
          </w:p>
        </w:tc>
        <w:tc>
          <w:tcPr>
            <w:tcW w:w="1480" w:type="dxa"/>
            <w:vAlign w:val="bottom"/>
            <w:gridSpan w:val="2"/>
          </w:tcPr>
          <w:p>
            <w:pPr>
              <w:jc w:val="center"/>
              <w:ind w:right="120"/>
              <w:spacing w:after="0" w:line="138" w:lineRule="exact"/>
              <w:rPr>
                <w:sz w:val="20"/>
                <w:szCs w:val="20"/>
                <w:color w:val="auto"/>
              </w:rPr>
            </w:pPr>
            <w:r>
              <w:rPr>
                <w:rFonts w:ascii="Arial" w:cs="Arial" w:eastAsia="Arial" w:hAnsi="Arial"/>
                <w:sz w:val="13"/>
                <w:szCs w:val="13"/>
                <w:color w:val="auto"/>
                <w:w w:val="93"/>
              </w:rPr>
              <w:t>Healthcare, Education</w:t>
            </w:r>
          </w:p>
        </w:tc>
        <w:tc>
          <w:tcPr>
            <w:tcW w:w="78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6.00%</w:t>
            </w:r>
          </w:p>
        </w:tc>
        <w:tc>
          <w:tcPr>
            <w:tcW w:w="360" w:type="dxa"/>
            <w:vAlign w:val="bottom"/>
          </w:tcPr>
          <w:p>
            <w:pPr>
              <w:spacing w:after="0"/>
              <w:rPr>
                <w:sz w:val="11"/>
                <w:szCs w:val="11"/>
                <w:color w:val="auto"/>
              </w:rPr>
            </w:pPr>
          </w:p>
        </w:tc>
        <w:tc>
          <w:tcPr>
            <w:tcW w:w="960" w:type="dxa"/>
            <w:vAlign w:val="bottom"/>
            <w:gridSpan w:val="2"/>
          </w:tcPr>
          <w:p>
            <w:pPr>
              <w:ind w:left="500"/>
              <w:spacing w:after="0" w:line="138"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60"/>
              <w:spacing w:after="0" w:line="138" w:lineRule="exact"/>
              <w:rPr>
                <w:sz w:val="20"/>
                <w:szCs w:val="20"/>
                <w:color w:val="auto"/>
              </w:rPr>
            </w:pPr>
            <w:r>
              <w:rPr>
                <w:rFonts w:ascii="Arial" w:cs="Arial" w:eastAsia="Arial" w:hAnsi="Arial"/>
                <w:sz w:val="13"/>
                <w:szCs w:val="13"/>
                <w:color w:val="auto"/>
              </w:rPr>
              <w:t>211</w:t>
            </w: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500,000</w:t>
            </w:r>
          </w:p>
        </w:tc>
        <w:tc>
          <w:tcPr>
            <w:tcW w:w="120" w:type="dxa"/>
            <w:vAlign w:val="bottom"/>
          </w:tcPr>
          <w:p>
            <w:pPr>
              <w:spacing w:after="0"/>
              <w:rPr>
                <w:sz w:val="11"/>
                <w:szCs w:val="11"/>
                <w:color w:val="auto"/>
              </w:rPr>
            </w:pPr>
          </w:p>
        </w:tc>
        <w:tc>
          <w:tcPr>
            <w:tcW w:w="96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649,174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and Childcare</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AHC Mezzanine, LLC</w:t>
            </w:r>
          </w:p>
        </w:tc>
        <w:tc>
          <w:tcPr>
            <w:tcW w:w="1320" w:type="dxa"/>
            <w:vAlign w:val="bottom"/>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7"/>
              </w:rPr>
              <w:t>Other Media</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7,505</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318,896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3500" w:type="dxa"/>
            <w:vAlign w:val="bottom"/>
          </w:tcPr>
          <w:p>
            <w:pPr>
              <w:spacing w:after="0" w:line="138" w:lineRule="exact"/>
              <w:rPr>
                <w:sz w:val="20"/>
                <w:szCs w:val="20"/>
                <w:color w:val="auto"/>
              </w:rPr>
            </w:pPr>
            <w:r>
              <w:rPr>
                <w:rFonts w:ascii="Arial" w:cs="Arial" w:eastAsia="Arial" w:hAnsi="Arial"/>
                <w:sz w:val="13"/>
                <w:szCs w:val="13"/>
                <w:color w:val="auto"/>
              </w:rPr>
              <w:t>Alegeus Technologies Holdings Corp., Series A</w:t>
            </w:r>
          </w:p>
        </w:tc>
        <w:tc>
          <w:tcPr>
            <w:tcW w:w="1320" w:type="dxa"/>
            <w:vAlign w:val="bottom"/>
          </w:tcPr>
          <w:p>
            <w:pPr>
              <w:ind w:left="800"/>
              <w:spacing w:after="0" w:line="138" w:lineRule="exact"/>
              <w:rPr>
                <w:sz w:val="20"/>
                <w:szCs w:val="20"/>
                <w:color w:val="auto"/>
              </w:rPr>
            </w:pPr>
            <w:r>
              <w:rPr>
                <w:rFonts w:ascii="Arial" w:cs="Arial" w:eastAsia="Arial" w:hAnsi="Arial"/>
                <w:sz w:val="13"/>
                <w:szCs w:val="13"/>
                <w:color w:val="auto"/>
              </w:rPr>
              <w:t>—</w:t>
            </w:r>
          </w:p>
        </w:tc>
        <w:tc>
          <w:tcPr>
            <w:tcW w:w="1480" w:type="dxa"/>
            <w:vAlign w:val="bottom"/>
            <w:gridSpan w:val="2"/>
          </w:tcPr>
          <w:p>
            <w:pPr>
              <w:jc w:val="center"/>
              <w:ind w:right="100"/>
              <w:spacing w:after="0" w:line="138" w:lineRule="exact"/>
              <w:rPr>
                <w:sz w:val="20"/>
                <w:szCs w:val="20"/>
                <w:color w:val="auto"/>
              </w:rPr>
            </w:pPr>
            <w:r>
              <w:rPr>
                <w:rFonts w:ascii="Arial" w:cs="Arial" w:eastAsia="Arial" w:hAnsi="Arial"/>
                <w:sz w:val="13"/>
                <w:szCs w:val="13"/>
                <w:color w:val="auto"/>
                <w:w w:val="92"/>
              </w:rPr>
              <w:t>Financial Services</w:t>
            </w:r>
          </w:p>
        </w:tc>
        <w:tc>
          <w:tcPr>
            <w:tcW w:w="780" w:type="dxa"/>
            <w:vAlign w:val="bottom"/>
            <w:gridSpan w:val="2"/>
          </w:tcPr>
          <w:p>
            <w:pPr>
              <w:jc w:val="right"/>
              <w:ind w:right="200"/>
              <w:spacing w:after="0" w:line="138" w:lineRule="exact"/>
              <w:rPr>
                <w:sz w:val="20"/>
                <w:szCs w:val="20"/>
                <w:color w:val="auto"/>
              </w:rPr>
            </w:pPr>
            <w:r>
              <w:rPr>
                <w:rFonts w:ascii="Arial" w:cs="Arial" w:eastAsia="Arial" w:hAnsi="Arial"/>
                <w:sz w:val="13"/>
                <w:szCs w:val="13"/>
                <w:color w:val="auto"/>
              </w:rPr>
              <w:t>—</w:t>
            </w:r>
          </w:p>
        </w:tc>
        <w:tc>
          <w:tcPr>
            <w:tcW w:w="360" w:type="dxa"/>
            <w:vAlign w:val="bottom"/>
          </w:tcPr>
          <w:p>
            <w:pPr>
              <w:spacing w:after="0"/>
              <w:rPr>
                <w:sz w:val="11"/>
                <w:szCs w:val="11"/>
                <w:color w:val="auto"/>
              </w:rPr>
            </w:pPr>
          </w:p>
        </w:tc>
        <w:tc>
          <w:tcPr>
            <w:tcW w:w="960" w:type="dxa"/>
            <w:vAlign w:val="bottom"/>
            <w:gridSpan w:val="2"/>
          </w:tcPr>
          <w:p>
            <w:pPr>
              <w:ind w:left="500"/>
              <w:spacing w:after="0" w:line="138"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60"/>
              <w:spacing w:after="0" w:line="138" w:lineRule="exact"/>
              <w:rPr>
                <w:sz w:val="20"/>
                <w:szCs w:val="20"/>
                <w:color w:val="auto"/>
              </w:rPr>
            </w:pPr>
            <w:r>
              <w:rPr>
                <w:rFonts w:ascii="Arial" w:cs="Arial" w:eastAsia="Arial" w:hAnsi="Arial"/>
                <w:sz w:val="13"/>
                <w:szCs w:val="13"/>
                <w:color w:val="auto"/>
              </w:rPr>
              <w:t>949</w:t>
            </w: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949,050</w:t>
            </w:r>
          </w:p>
        </w:tc>
        <w:tc>
          <w:tcPr>
            <w:tcW w:w="120" w:type="dxa"/>
            <w:vAlign w:val="bottom"/>
          </w:tcPr>
          <w:p>
            <w:pPr>
              <w:spacing w:after="0"/>
              <w:rPr>
                <w:sz w:val="11"/>
                <w:szCs w:val="11"/>
                <w:color w:val="auto"/>
              </w:rPr>
            </w:pPr>
          </w:p>
        </w:tc>
        <w:tc>
          <w:tcPr>
            <w:tcW w:w="96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1,077,842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500" w:type="dxa"/>
            <w:vAlign w:val="bottom"/>
          </w:tcPr>
          <w:p>
            <w:pPr>
              <w:ind w:left="220"/>
              <w:spacing w:after="0"/>
              <w:rPr>
                <w:sz w:val="20"/>
                <w:szCs w:val="20"/>
                <w:color w:val="auto"/>
              </w:rPr>
            </w:pPr>
            <w:r>
              <w:rPr>
                <w:rFonts w:ascii="Arial" w:cs="Arial" w:eastAsia="Arial" w:hAnsi="Arial"/>
                <w:sz w:val="13"/>
                <w:szCs w:val="13"/>
                <w:color w:val="auto"/>
              </w:rPr>
              <w:t>(Alegeus Technologies, LLC)</w:t>
            </w:r>
          </w:p>
        </w:tc>
        <w:tc>
          <w:tcPr>
            <w:tcW w:w="1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5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CI (IHS) Investment Holdings, LLC</w:t>
            </w:r>
          </w:p>
        </w:tc>
        <w:tc>
          <w:tcPr>
            <w:tcW w:w="1320" w:type="dxa"/>
            <w:vAlign w:val="bottom"/>
            <w:shd w:val="clear" w:color="auto" w:fill="CCEEFF"/>
          </w:tcPr>
          <w:p>
            <w:pPr>
              <w:ind w:left="800"/>
              <w:spacing w:after="0" w:line="138" w:lineRule="exact"/>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3"/>
                <w:szCs w:val="13"/>
                <w:color w:val="auto"/>
                <w:w w:val="93"/>
              </w:rPr>
              <w:t>Healthcare, Education</w:t>
            </w:r>
          </w:p>
        </w:tc>
        <w:tc>
          <w:tcPr>
            <w:tcW w:w="78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8.00%</w:t>
            </w:r>
          </w:p>
        </w:tc>
        <w:tc>
          <w:tcPr>
            <w:tcW w:w="3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500"/>
              <w:spacing w:after="0" w:line="138"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3"/>
                <w:szCs w:val="13"/>
                <w:color w:val="auto"/>
              </w:rPr>
              <w:t>76,357</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765,307</w:t>
            </w: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1,036,350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5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(Interactive Health Solutions, Inc.)</w:t>
            </w:r>
          </w:p>
        </w:tc>
        <w:tc>
          <w:tcPr>
            <w:tcW w:w="13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2"/>
              </w:rPr>
              <w:t>and Childcare</w:t>
            </w: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500" w:type="dxa"/>
            <w:vAlign w:val="bottom"/>
          </w:tcPr>
          <w:p>
            <w:pPr>
              <w:spacing w:after="0" w:line="138" w:lineRule="exact"/>
              <w:rPr>
                <w:sz w:val="20"/>
                <w:szCs w:val="20"/>
                <w:color w:val="auto"/>
              </w:rPr>
            </w:pPr>
            <w:r>
              <w:rPr>
                <w:rFonts w:ascii="Arial" w:cs="Arial" w:eastAsia="Arial" w:hAnsi="Arial"/>
                <w:sz w:val="10"/>
                <w:szCs w:val="10"/>
                <w:color w:val="auto"/>
              </w:rPr>
              <w:t xml:space="preserve">CI (IHS) Investment Holdings, LLC </w:t>
            </w:r>
            <w:r>
              <w:rPr>
                <w:rFonts w:ascii="Arial" w:cs="Arial" w:eastAsia="Arial" w:hAnsi="Arial"/>
                <w:sz w:val="15"/>
                <w:szCs w:val="15"/>
                <w:color w:val="auto"/>
                <w:vertAlign w:val="superscript"/>
              </w:rPr>
              <w:t>(9)</w:t>
            </w:r>
          </w:p>
        </w:tc>
        <w:tc>
          <w:tcPr>
            <w:tcW w:w="1320" w:type="dxa"/>
            <w:vAlign w:val="bottom"/>
          </w:tcPr>
          <w:p>
            <w:pPr>
              <w:ind w:left="800"/>
              <w:spacing w:after="0" w:line="138" w:lineRule="exact"/>
              <w:rPr>
                <w:sz w:val="20"/>
                <w:szCs w:val="20"/>
                <w:color w:val="auto"/>
              </w:rPr>
            </w:pPr>
            <w:r>
              <w:rPr>
                <w:rFonts w:ascii="Arial" w:cs="Arial" w:eastAsia="Arial" w:hAnsi="Arial"/>
                <w:sz w:val="13"/>
                <w:szCs w:val="13"/>
                <w:color w:val="auto"/>
              </w:rPr>
              <w:t>—</w:t>
            </w:r>
          </w:p>
        </w:tc>
        <w:tc>
          <w:tcPr>
            <w:tcW w:w="1480" w:type="dxa"/>
            <w:vAlign w:val="bottom"/>
            <w:gridSpan w:val="2"/>
          </w:tcPr>
          <w:p>
            <w:pPr>
              <w:jc w:val="center"/>
              <w:ind w:right="120"/>
              <w:spacing w:after="0" w:line="138" w:lineRule="exact"/>
              <w:rPr>
                <w:sz w:val="20"/>
                <w:szCs w:val="20"/>
                <w:color w:val="auto"/>
              </w:rPr>
            </w:pPr>
            <w:r>
              <w:rPr>
                <w:rFonts w:ascii="Arial" w:cs="Arial" w:eastAsia="Arial" w:hAnsi="Arial"/>
                <w:sz w:val="13"/>
                <w:szCs w:val="13"/>
                <w:color w:val="auto"/>
                <w:w w:val="93"/>
              </w:rPr>
              <w:t>Healthcare, Education</w:t>
            </w:r>
          </w:p>
        </w:tc>
        <w:tc>
          <w:tcPr>
            <w:tcW w:w="780" w:type="dxa"/>
            <w:vAlign w:val="bottom"/>
            <w:gridSpan w:val="2"/>
          </w:tcPr>
          <w:p>
            <w:pPr>
              <w:jc w:val="right"/>
              <w:ind w:right="200"/>
              <w:spacing w:after="0" w:line="138" w:lineRule="exact"/>
              <w:rPr>
                <w:sz w:val="20"/>
                <w:szCs w:val="20"/>
                <w:color w:val="auto"/>
              </w:rPr>
            </w:pPr>
            <w:r>
              <w:rPr>
                <w:rFonts w:ascii="Arial" w:cs="Arial" w:eastAsia="Arial" w:hAnsi="Arial"/>
                <w:sz w:val="13"/>
                <w:szCs w:val="13"/>
                <w:color w:val="auto"/>
              </w:rPr>
              <w:t>—</w:t>
            </w:r>
          </w:p>
        </w:tc>
        <w:tc>
          <w:tcPr>
            <w:tcW w:w="360" w:type="dxa"/>
            <w:vAlign w:val="bottom"/>
          </w:tcPr>
          <w:p>
            <w:pPr>
              <w:spacing w:after="0"/>
              <w:rPr>
                <w:sz w:val="11"/>
                <w:szCs w:val="11"/>
                <w:color w:val="auto"/>
              </w:rPr>
            </w:pPr>
          </w:p>
        </w:tc>
        <w:tc>
          <w:tcPr>
            <w:tcW w:w="960" w:type="dxa"/>
            <w:vAlign w:val="bottom"/>
            <w:gridSpan w:val="2"/>
          </w:tcPr>
          <w:p>
            <w:pPr>
              <w:ind w:left="500"/>
              <w:spacing w:after="0" w:line="138"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60"/>
              <w:spacing w:after="0" w:line="138" w:lineRule="exact"/>
              <w:rPr>
                <w:sz w:val="20"/>
                <w:szCs w:val="20"/>
                <w:color w:val="auto"/>
              </w:rPr>
            </w:pPr>
            <w:r>
              <w:rPr>
                <w:rFonts w:ascii="Arial" w:cs="Arial" w:eastAsia="Arial" w:hAnsi="Arial"/>
                <w:sz w:val="13"/>
                <w:szCs w:val="13"/>
                <w:color w:val="auto"/>
              </w:rPr>
              <w:t>38,179</w:t>
            </w: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382,654</w:t>
            </w:r>
          </w:p>
        </w:tc>
        <w:tc>
          <w:tcPr>
            <w:tcW w:w="120" w:type="dxa"/>
            <w:vAlign w:val="bottom"/>
          </w:tcPr>
          <w:p>
            <w:pPr>
              <w:spacing w:after="0"/>
              <w:rPr>
                <w:sz w:val="11"/>
                <w:szCs w:val="11"/>
                <w:color w:val="auto"/>
              </w:rPr>
            </w:pPr>
          </w:p>
        </w:tc>
        <w:tc>
          <w:tcPr>
            <w:tcW w:w="96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518,175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500" w:type="dxa"/>
            <w:vAlign w:val="bottom"/>
          </w:tcPr>
          <w:p>
            <w:pPr>
              <w:ind w:left="220"/>
              <w:spacing w:after="0"/>
              <w:rPr>
                <w:sz w:val="20"/>
                <w:szCs w:val="20"/>
                <w:color w:val="auto"/>
              </w:rPr>
            </w:pPr>
            <w:r>
              <w:rPr>
                <w:rFonts w:ascii="Arial" w:cs="Arial" w:eastAsia="Arial" w:hAnsi="Arial"/>
                <w:sz w:val="13"/>
                <w:szCs w:val="13"/>
                <w:color w:val="auto"/>
              </w:rPr>
              <w:t>(Interactive Health Solutions, Inc.)</w:t>
            </w:r>
          </w:p>
        </w:tc>
        <w:tc>
          <w:tcPr>
            <w:tcW w:w="1320" w:type="dxa"/>
            <w:vAlign w:val="bottom"/>
          </w:tcPr>
          <w:p>
            <w:pPr>
              <w:spacing w:after="0"/>
              <w:rPr>
                <w:sz w:val="15"/>
                <w:szCs w:val="15"/>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and Childcare</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Convergint Technologies Holdings, LLC</w:t>
            </w:r>
          </w:p>
        </w:tc>
        <w:tc>
          <w:tcPr>
            <w:tcW w:w="1320" w:type="dxa"/>
            <w:vAlign w:val="bottom"/>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7"/>
              </w:rPr>
              <w:t>Electronics</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8.00%</w:t>
            </w:r>
          </w:p>
        </w:tc>
        <w:tc>
          <w:tcPr>
            <w:tcW w:w="3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2,375</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2,375,000</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2,333,216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20"/>
                <w:szCs w:val="20"/>
                <w:color w:val="auto"/>
              </w:rPr>
            </w:pPr>
            <w:r>
              <w:rPr>
                <w:rFonts w:ascii="Arial" w:cs="Arial" w:eastAsia="Arial" w:hAnsi="Arial"/>
                <w:sz w:val="13"/>
                <w:szCs w:val="13"/>
                <w:color w:val="auto"/>
              </w:rPr>
              <w:t>CT Technologies Holdings, LLC</w:t>
            </w:r>
          </w:p>
        </w:tc>
        <w:tc>
          <w:tcPr>
            <w:tcW w:w="1320" w:type="dxa"/>
            <w:vAlign w:val="bottom"/>
          </w:tcPr>
          <w:p>
            <w:pPr>
              <w:ind w:left="800"/>
              <w:spacing w:after="0"/>
              <w:rPr>
                <w:sz w:val="20"/>
                <w:szCs w:val="20"/>
                <w:color w:val="auto"/>
              </w:rPr>
            </w:pPr>
            <w:r>
              <w:rPr>
                <w:rFonts w:ascii="Arial" w:cs="Arial" w:eastAsia="Arial" w:hAnsi="Arial"/>
                <w:sz w:val="13"/>
                <w:szCs w:val="13"/>
                <w:color w:val="auto"/>
              </w:rPr>
              <w:t>—</w:t>
            </w:r>
          </w:p>
        </w:tc>
        <w:tc>
          <w:tcPr>
            <w:tcW w:w="148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Business Services</w:t>
            </w:r>
          </w:p>
        </w:tc>
        <w:tc>
          <w:tcPr>
            <w:tcW w:w="780" w:type="dxa"/>
            <w:vAlign w:val="bottom"/>
            <w:gridSpan w:val="2"/>
          </w:tcPr>
          <w:p>
            <w:pPr>
              <w:jc w:val="right"/>
              <w:ind w:right="20"/>
              <w:spacing w:after="0"/>
              <w:rPr>
                <w:sz w:val="20"/>
                <w:szCs w:val="20"/>
                <w:color w:val="auto"/>
              </w:rPr>
            </w:pPr>
            <w:r>
              <w:rPr>
                <w:rFonts w:ascii="Arial" w:cs="Arial" w:eastAsia="Arial" w:hAnsi="Arial"/>
                <w:sz w:val="13"/>
                <w:szCs w:val="13"/>
                <w:color w:val="auto"/>
              </w:rPr>
              <w:t>9.00%</w:t>
            </w:r>
          </w:p>
        </w:tc>
        <w:tc>
          <w:tcPr>
            <w:tcW w:w="360" w:type="dxa"/>
            <w:vAlign w:val="bottom"/>
          </w:tcPr>
          <w:p>
            <w:pPr>
              <w:spacing w:after="0"/>
              <w:rPr>
                <w:sz w:val="12"/>
                <w:szCs w:val="12"/>
                <w:color w:val="auto"/>
              </w:rPr>
            </w:pPr>
          </w:p>
        </w:tc>
        <w:tc>
          <w:tcPr>
            <w:tcW w:w="96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326,215</w:t>
            </w:r>
          </w:p>
        </w:tc>
        <w:tc>
          <w:tcPr>
            <w:tcW w:w="760" w:type="dxa"/>
            <w:vAlign w:val="bottom"/>
          </w:tcPr>
          <w:p>
            <w:pPr>
              <w:jc w:val="right"/>
              <w:spacing w:after="0"/>
              <w:rPr>
                <w:sz w:val="20"/>
                <w:szCs w:val="20"/>
                <w:color w:val="auto"/>
              </w:rPr>
            </w:pPr>
            <w:r>
              <w:rPr>
                <w:rFonts w:ascii="Arial" w:cs="Arial" w:eastAsia="Arial" w:hAnsi="Arial"/>
                <w:sz w:val="13"/>
                <w:szCs w:val="13"/>
                <w:color w:val="auto"/>
              </w:rPr>
              <w:t>326,215</w:t>
            </w:r>
          </w:p>
        </w:tc>
        <w:tc>
          <w:tcPr>
            <w:tcW w:w="12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326,215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HW Topco, Inc. (Hanley-Wood, LLC)</w:t>
            </w:r>
          </w:p>
        </w:tc>
        <w:tc>
          <w:tcPr>
            <w:tcW w:w="1320" w:type="dxa"/>
            <w:vAlign w:val="bottom"/>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7"/>
              </w:rPr>
              <w:t>Other Media</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8.00%</w:t>
            </w:r>
          </w:p>
        </w:tc>
        <w:tc>
          <w:tcPr>
            <w:tcW w:w="3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3,591</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24,177</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27,054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500" w:type="dxa"/>
            <w:vAlign w:val="bottom"/>
          </w:tcPr>
          <w:p>
            <w:pPr>
              <w:spacing w:after="0" w:line="138" w:lineRule="exact"/>
              <w:rPr>
                <w:sz w:val="20"/>
                <w:szCs w:val="20"/>
                <w:color w:val="auto"/>
              </w:rPr>
            </w:pPr>
            <w:r>
              <w:rPr>
                <w:rFonts w:ascii="Arial" w:cs="Arial" w:eastAsia="Arial" w:hAnsi="Arial"/>
                <w:sz w:val="13"/>
                <w:szCs w:val="13"/>
                <w:color w:val="auto"/>
              </w:rPr>
              <w:t>PAS Tech Holdings, Inc., Series A-1</w:t>
            </w:r>
          </w:p>
        </w:tc>
        <w:tc>
          <w:tcPr>
            <w:tcW w:w="1320" w:type="dxa"/>
            <w:vAlign w:val="bottom"/>
          </w:tcPr>
          <w:p>
            <w:pPr>
              <w:ind w:left="800"/>
              <w:spacing w:after="0" w:line="138" w:lineRule="exact"/>
              <w:rPr>
                <w:sz w:val="20"/>
                <w:szCs w:val="20"/>
                <w:color w:val="auto"/>
              </w:rPr>
            </w:pPr>
            <w:r>
              <w:rPr>
                <w:rFonts w:ascii="Arial" w:cs="Arial" w:eastAsia="Arial" w:hAnsi="Arial"/>
                <w:sz w:val="13"/>
                <w:szCs w:val="13"/>
                <w:color w:val="auto"/>
              </w:rPr>
              <w:t>—</w:t>
            </w:r>
          </w:p>
        </w:tc>
        <w:tc>
          <w:tcPr>
            <w:tcW w:w="1480" w:type="dxa"/>
            <w:vAlign w:val="bottom"/>
            <w:gridSpan w:val="2"/>
          </w:tcPr>
          <w:p>
            <w:pPr>
              <w:jc w:val="center"/>
              <w:ind w:right="100"/>
              <w:spacing w:after="0" w:line="138" w:lineRule="exact"/>
              <w:rPr>
                <w:sz w:val="20"/>
                <w:szCs w:val="20"/>
                <w:color w:val="auto"/>
              </w:rPr>
            </w:pPr>
            <w:r>
              <w:rPr>
                <w:rFonts w:ascii="Arial" w:cs="Arial" w:eastAsia="Arial" w:hAnsi="Arial"/>
                <w:sz w:val="13"/>
                <w:szCs w:val="13"/>
                <w:color w:val="auto"/>
                <w:w w:val="89"/>
              </w:rPr>
              <w:t>Aerospace and</w:t>
            </w:r>
          </w:p>
        </w:tc>
        <w:tc>
          <w:tcPr>
            <w:tcW w:w="78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8.00%</w:t>
            </w:r>
          </w:p>
        </w:tc>
        <w:tc>
          <w:tcPr>
            <w:tcW w:w="360" w:type="dxa"/>
            <w:vAlign w:val="bottom"/>
          </w:tcPr>
          <w:p>
            <w:pPr>
              <w:spacing w:after="0"/>
              <w:rPr>
                <w:sz w:val="11"/>
                <w:szCs w:val="11"/>
                <w:color w:val="auto"/>
              </w:rPr>
            </w:pPr>
          </w:p>
        </w:tc>
        <w:tc>
          <w:tcPr>
            <w:tcW w:w="960" w:type="dxa"/>
            <w:vAlign w:val="bottom"/>
            <w:gridSpan w:val="2"/>
          </w:tcPr>
          <w:p>
            <w:pPr>
              <w:ind w:left="500"/>
              <w:spacing w:after="0" w:line="138"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60"/>
              <w:spacing w:after="0" w:line="138" w:lineRule="exact"/>
              <w:rPr>
                <w:sz w:val="20"/>
                <w:szCs w:val="20"/>
                <w:color w:val="auto"/>
              </w:rPr>
            </w:pPr>
            <w:r>
              <w:rPr>
                <w:rFonts w:ascii="Arial" w:cs="Arial" w:eastAsia="Arial" w:hAnsi="Arial"/>
                <w:sz w:val="13"/>
                <w:szCs w:val="13"/>
                <w:color w:val="auto"/>
              </w:rPr>
              <w:t>20,000</w:t>
            </w: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1,980,000</w:t>
            </w:r>
          </w:p>
        </w:tc>
        <w:tc>
          <w:tcPr>
            <w:tcW w:w="120" w:type="dxa"/>
            <w:vAlign w:val="bottom"/>
          </w:tcPr>
          <w:p>
            <w:pPr>
              <w:spacing w:after="0"/>
              <w:rPr>
                <w:sz w:val="11"/>
                <w:szCs w:val="11"/>
                <w:color w:val="auto"/>
              </w:rPr>
            </w:pPr>
          </w:p>
        </w:tc>
        <w:tc>
          <w:tcPr>
            <w:tcW w:w="96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297,063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500" w:type="dxa"/>
            <w:vAlign w:val="bottom"/>
          </w:tcPr>
          <w:p>
            <w:pPr>
              <w:ind w:left="220"/>
              <w:spacing w:after="0"/>
              <w:rPr>
                <w:sz w:val="20"/>
                <w:szCs w:val="20"/>
                <w:color w:val="auto"/>
              </w:rPr>
            </w:pPr>
            <w:r>
              <w:rPr>
                <w:rFonts w:ascii="Arial" w:cs="Arial" w:eastAsia="Arial" w:hAnsi="Arial"/>
                <w:sz w:val="13"/>
                <w:szCs w:val="13"/>
                <w:color w:val="auto"/>
              </w:rPr>
              <w:t>(PAS Technologies, Inc.)</w:t>
            </w:r>
          </w:p>
        </w:tc>
        <w:tc>
          <w:tcPr>
            <w:tcW w:w="1320" w:type="dxa"/>
            <w:vAlign w:val="bottom"/>
          </w:tcPr>
          <w:p>
            <w:pPr>
              <w:spacing w:after="0"/>
              <w:rPr>
                <w:sz w:val="15"/>
                <w:szCs w:val="15"/>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3"/>
                <w:szCs w:val="13"/>
                <w:color w:val="auto"/>
                <w:w w:val="94"/>
              </w:rPr>
              <w:t>Defense</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5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TrustHouse Services Holdings, LLC</w:t>
            </w:r>
          </w:p>
        </w:tc>
        <w:tc>
          <w:tcPr>
            <w:tcW w:w="1320" w:type="dxa"/>
            <w:vAlign w:val="bottom"/>
            <w:shd w:val="clear" w:color="auto" w:fill="CCEEFF"/>
          </w:tcPr>
          <w:p>
            <w:pPr>
              <w:ind w:left="800"/>
              <w:spacing w:after="0" w:line="138" w:lineRule="exact"/>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3"/>
              </w:rPr>
              <w:t>Beverage, Food,</w:t>
            </w:r>
          </w:p>
        </w:tc>
        <w:tc>
          <w:tcPr>
            <w:tcW w:w="78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12.00%</w:t>
            </w:r>
          </w:p>
        </w:tc>
        <w:tc>
          <w:tcPr>
            <w:tcW w:w="3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500"/>
              <w:spacing w:after="0" w:line="138"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3"/>
                <w:szCs w:val="13"/>
                <w:color w:val="auto"/>
              </w:rPr>
              <w:t>1,099</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984,344</w:t>
            </w: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1,138,903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5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3"/>
              </w:rPr>
              <w:t>and Tobacco</w:t>
            </w: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20"/>
                <w:szCs w:val="20"/>
                <w:color w:val="auto"/>
              </w:rPr>
            </w:pPr>
            <w:r>
              <w:rPr>
                <w:rFonts w:ascii="Arial" w:cs="Arial" w:eastAsia="Arial" w:hAnsi="Arial"/>
                <w:sz w:val="13"/>
                <w:szCs w:val="13"/>
                <w:color w:val="auto"/>
              </w:rPr>
              <w:t>TZ Holdings, L.P., Series A</w:t>
            </w:r>
          </w:p>
        </w:tc>
        <w:tc>
          <w:tcPr>
            <w:tcW w:w="1320" w:type="dxa"/>
            <w:vAlign w:val="bottom"/>
          </w:tcPr>
          <w:p>
            <w:pPr>
              <w:ind w:left="800"/>
              <w:spacing w:after="0"/>
              <w:rPr>
                <w:sz w:val="20"/>
                <w:szCs w:val="20"/>
                <w:color w:val="auto"/>
              </w:rPr>
            </w:pPr>
            <w:r>
              <w:rPr>
                <w:rFonts w:ascii="Arial" w:cs="Arial" w:eastAsia="Arial" w:hAnsi="Arial"/>
                <w:sz w:val="13"/>
                <w:szCs w:val="13"/>
                <w:color w:val="auto"/>
              </w:rPr>
              <w:t>—</w:t>
            </w:r>
          </w:p>
        </w:tc>
        <w:tc>
          <w:tcPr>
            <w:tcW w:w="1480" w:type="dxa"/>
            <w:vAlign w:val="bottom"/>
            <w:gridSpan w:val="2"/>
          </w:tcPr>
          <w:p>
            <w:pPr>
              <w:jc w:val="center"/>
              <w:ind w:right="100"/>
              <w:spacing w:after="0"/>
              <w:rPr>
                <w:sz w:val="20"/>
                <w:szCs w:val="20"/>
                <w:color w:val="auto"/>
              </w:rPr>
            </w:pPr>
            <w:r>
              <w:rPr>
                <w:rFonts w:ascii="Arial" w:cs="Arial" w:eastAsia="Arial" w:hAnsi="Arial"/>
                <w:sz w:val="13"/>
                <w:szCs w:val="13"/>
                <w:color w:val="auto"/>
                <w:w w:val="94"/>
              </w:rPr>
              <w:t>Insurance</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2"/>
                <w:szCs w:val="12"/>
                <w:color w:val="auto"/>
              </w:rPr>
            </w:pPr>
          </w:p>
        </w:tc>
        <w:tc>
          <w:tcPr>
            <w:tcW w:w="96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686</w:t>
            </w:r>
          </w:p>
        </w:tc>
        <w:tc>
          <w:tcPr>
            <w:tcW w:w="760" w:type="dxa"/>
            <w:vAlign w:val="bottom"/>
          </w:tcPr>
          <w:p>
            <w:pPr>
              <w:jc w:val="right"/>
              <w:spacing w:after="0"/>
              <w:rPr>
                <w:sz w:val="20"/>
                <w:szCs w:val="20"/>
                <w:color w:val="auto"/>
              </w:rPr>
            </w:pPr>
            <w:r>
              <w:rPr>
                <w:rFonts w:ascii="Arial" w:cs="Arial" w:eastAsia="Arial" w:hAnsi="Arial"/>
                <w:sz w:val="13"/>
                <w:szCs w:val="13"/>
                <w:color w:val="auto"/>
              </w:rPr>
              <w:t>685,820</w:t>
            </w:r>
          </w:p>
        </w:tc>
        <w:tc>
          <w:tcPr>
            <w:tcW w:w="12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685,820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TZ Holdings, L.P., Series B</w:t>
            </w:r>
          </w:p>
        </w:tc>
        <w:tc>
          <w:tcPr>
            <w:tcW w:w="1320" w:type="dxa"/>
            <w:vAlign w:val="bottom"/>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4"/>
              </w:rPr>
              <w:t>Insurance</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6.50%</w:t>
            </w:r>
          </w:p>
        </w:tc>
        <w:tc>
          <w:tcPr>
            <w:tcW w:w="3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1,312</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1,312,006</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1,688,174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500" w:type="dxa"/>
            <w:vAlign w:val="bottom"/>
          </w:tcPr>
          <w:p>
            <w:pPr>
              <w:spacing w:after="0" w:line="138" w:lineRule="exact"/>
              <w:rPr>
                <w:sz w:val="20"/>
                <w:szCs w:val="20"/>
                <w:color w:val="auto"/>
              </w:rPr>
            </w:pPr>
            <w:r>
              <w:rPr>
                <w:rFonts w:ascii="Arial" w:cs="Arial" w:eastAsia="Arial" w:hAnsi="Arial"/>
                <w:sz w:val="13"/>
                <w:szCs w:val="13"/>
                <w:color w:val="auto"/>
              </w:rPr>
              <w:t>Verde Parent Holdings, Inc.</w:t>
            </w:r>
          </w:p>
        </w:tc>
        <w:tc>
          <w:tcPr>
            <w:tcW w:w="1320" w:type="dxa"/>
            <w:vAlign w:val="bottom"/>
          </w:tcPr>
          <w:p>
            <w:pPr>
              <w:ind w:left="800"/>
              <w:spacing w:after="0" w:line="138" w:lineRule="exact"/>
              <w:rPr>
                <w:sz w:val="20"/>
                <w:szCs w:val="20"/>
                <w:color w:val="auto"/>
              </w:rPr>
            </w:pPr>
            <w:r>
              <w:rPr>
                <w:rFonts w:ascii="Arial" w:cs="Arial" w:eastAsia="Arial" w:hAnsi="Arial"/>
                <w:sz w:val="13"/>
                <w:szCs w:val="13"/>
                <w:color w:val="auto"/>
              </w:rPr>
              <w:t>—</w:t>
            </w:r>
          </w:p>
        </w:tc>
        <w:tc>
          <w:tcPr>
            <w:tcW w:w="1480" w:type="dxa"/>
            <w:vAlign w:val="bottom"/>
            <w:gridSpan w:val="2"/>
          </w:tcPr>
          <w:p>
            <w:pPr>
              <w:jc w:val="center"/>
              <w:ind w:right="100"/>
              <w:spacing w:after="0" w:line="138" w:lineRule="exact"/>
              <w:rPr>
                <w:sz w:val="20"/>
                <w:szCs w:val="20"/>
                <w:color w:val="auto"/>
              </w:rPr>
            </w:pPr>
            <w:r>
              <w:rPr>
                <w:rFonts w:ascii="Arial" w:cs="Arial" w:eastAsia="Arial" w:hAnsi="Arial"/>
                <w:sz w:val="13"/>
                <w:szCs w:val="13"/>
                <w:color w:val="auto"/>
                <w:w w:val="89"/>
              </w:rPr>
              <w:t>Personal</w:t>
            </w:r>
          </w:p>
        </w:tc>
        <w:tc>
          <w:tcPr>
            <w:tcW w:w="78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8.00%</w:t>
            </w:r>
          </w:p>
        </w:tc>
        <w:tc>
          <w:tcPr>
            <w:tcW w:w="360" w:type="dxa"/>
            <w:vAlign w:val="bottom"/>
          </w:tcPr>
          <w:p>
            <w:pPr>
              <w:spacing w:after="0"/>
              <w:rPr>
                <w:sz w:val="11"/>
                <w:szCs w:val="11"/>
                <w:color w:val="auto"/>
              </w:rPr>
            </w:pPr>
          </w:p>
        </w:tc>
        <w:tc>
          <w:tcPr>
            <w:tcW w:w="960" w:type="dxa"/>
            <w:vAlign w:val="bottom"/>
            <w:gridSpan w:val="2"/>
          </w:tcPr>
          <w:p>
            <w:pPr>
              <w:ind w:left="500"/>
              <w:spacing w:after="0" w:line="138"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60"/>
              <w:spacing w:after="0" w:line="138" w:lineRule="exact"/>
              <w:rPr>
                <w:sz w:val="20"/>
                <w:szCs w:val="20"/>
                <w:color w:val="auto"/>
              </w:rPr>
            </w:pPr>
            <w:r>
              <w:rPr>
                <w:rFonts w:ascii="Arial" w:cs="Arial" w:eastAsia="Arial" w:hAnsi="Arial"/>
                <w:sz w:val="13"/>
                <w:szCs w:val="13"/>
                <w:color w:val="auto"/>
              </w:rPr>
              <w:t>1,824,167</w:t>
            </w: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1,824,167</w:t>
            </w:r>
          </w:p>
        </w:tc>
        <w:tc>
          <w:tcPr>
            <w:tcW w:w="120" w:type="dxa"/>
            <w:vAlign w:val="bottom"/>
          </w:tcPr>
          <w:p>
            <w:pPr>
              <w:spacing w:after="0"/>
              <w:rPr>
                <w:sz w:val="11"/>
                <w:szCs w:val="11"/>
                <w:color w:val="auto"/>
              </w:rPr>
            </w:pPr>
          </w:p>
        </w:tc>
        <w:tc>
          <w:tcPr>
            <w:tcW w:w="96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1,694,025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5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3"/>
                <w:szCs w:val="13"/>
                <w:color w:val="auto"/>
                <w:w w:val="93"/>
              </w:rPr>
              <w:t>Transportation</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5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Preferred Equity/Partnership Interests</w:t>
            </w:r>
          </w:p>
        </w:tc>
        <w:tc>
          <w:tcPr>
            <w:tcW w:w="13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12,427,636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11,472,011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Basis Point</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0"/>
              </w:rPr>
              <w:t>Spread</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spacing w:after="0" w:line="134" w:lineRule="exact"/>
              <w:rPr>
                <w:sz w:val="20"/>
                <w:szCs w:val="20"/>
                <w:color w:val="auto"/>
              </w:rPr>
            </w:pPr>
            <w:r>
              <w:rPr>
                <w:rFonts w:ascii="Arial" w:cs="Arial" w:eastAsia="Arial" w:hAnsi="Arial"/>
                <w:sz w:val="13"/>
                <w:szCs w:val="13"/>
                <w:b w:val="1"/>
                <w:bCs w:val="1"/>
                <w:color w:val="auto"/>
              </w:rPr>
              <w:t>Current</w:t>
            </w:r>
          </w:p>
        </w:tc>
        <w:tc>
          <w:tcPr>
            <w:tcW w:w="980" w:type="dxa"/>
            <w:vAlign w:val="bottom"/>
            <w:gridSpan w:val="2"/>
          </w:tcPr>
          <w:p>
            <w:pPr>
              <w:jc w:val="center"/>
              <w:ind w:right="300"/>
              <w:spacing w:after="0" w:line="134" w:lineRule="exact"/>
              <w:rPr>
                <w:sz w:val="20"/>
                <w:szCs w:val="20"/>
                <w:color w:val="auto"/>
              </w:rPr>
            </w:pPr>
            <w:r>
              <w:rPr>
                <w:rFonts w:ascii="Arial" w:cs="Arial" w:eastAsia="Arial" w:hAnsi="Arial"/>
                <w:sz w:val="13"/>
                <w:szCs w:val="13"/>
                <w:b w:val="1"/>
                <w:bCs w:val="1"/>
                <w:color w:val="auto"/>
                <w:w w:val="90"/>
              </w:rPr>
              <w:t>Above</w:t>
            </w:r>
          </w:p>
        </w:tc>
        <w:tc>
          <w:tcPr>
            <w:tcW w:w="720" w:type="dxa"/>
            <w:vAlign w:val="bottom"/>
            <w:gridSpan w:val="2"/>
          </w:tcPr>
          <w:p>
            <w:pPr>
              <w:jc w:val="center"/>
              <w:ind w:right="160"/>
              <w:spacing w:after="0" w:line="134" w:lineRule="exact"/>
              <w:rPr>
                <w:sz w:val="20"/>
                <w:szCs w:val="20"/>
                <w:color w:val="auto"/>
              </w:rPr>
            </w:pPr>
            <w:r>
              <w:rPr>
                <w:rFonts w:ascii="Arial" w:cs="Arial" w:eastAsia="Arial" w:hAnsi="Arial"/>
                <w:sz w:val="13"/>
                <w:szCs w:val="13"/>
                <w:b w:val="1"/>
                <w:bCs w:val="1"/>
                <w:color w:val="auto"/>
                <w:w w:val="97"/>
              </w:rPr>
              <w:t>Par/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22"/>
                <w:szCs w:val="22"/>
                <w:b w:val="1"/>
                <w:bCs w:val="1"/>
                <w:color w:val="auto"/>
                <w:vertAlign w:val="superscript"/>
              </w:rPr>
              <w:t>(3)</w:t>
            </w:r>
          </w:p>
        </w:tc>
        <w:tc>
          <w:tcPr>
            <w:tcW w:w="0" w:type="dxa"/>
            <w:vAlign w:val="bottom"/>
          </w:tcPr>
          <w:p>
            <w:pPr>
              <w:spacing w:after="0"/>
              <w:rPr>
                <w:sz w:val="1"/>
                <w:szCs w:val="1"/>
                <w:color w:val="auto"/>
              </w:rPr>
            </w:pPr>
          </w:p>
        </w:tc>
      </w:tr>
      <w:tr>
        <w:trPr>
          <w:trHeight w:val="176"/>
        </w:trPr>
        <w:tc>
          <w:tcPr>
            <w:tcW w:w="3980" w:type="dxa"/>
            <w:vAlign w:val="bottom"/>
          </w:tcPr>
          <w:p>
            <w:pPr>
              <w:spacing w:after="0"/>
              <w:rPr>
                <w:sz w:val="20"/>
                <w:szCs w:val="20"/>
                <w:color w:val="auto"/>
              </w:rPr>
            </w:pPr>
            <w:r>
              <w:rPr>
                <w:rFonts w:ascii="Arial" w:cs="Arial" w:eastAsia="Arial" w:hAnsi="Arial"/>
                <w:sz w:val="13"/>
                <w:szCs w:val="13"/>
                <w:b w:val="1"/>
                <w:bCs w:val="1"/>
                <w:color w:val="auto"/>
              </w:rPr>
              <w:t>Issuer Name</w:t>
            </w:r>
          </w:p>
        </w:tc>
        <w:tc>
          <w:tcPr>
            <w:tcW w:w="1240" w:type="dxa"/>
            <w:vAlign w:val="bottom"/>
          </w:tcPr>
          <w:p>
            <w:pPr>
              <w:jc w:val="center"/>
              <w:ind w:left="333"/>
              <w:spacing w:after="0"/>
              <w:rPr>
                <w:sz w:val="20"/>
                <w:szCs w:val="20"/>
                <w:color w:val="auto"/>
              </w:rPr>
            </w:pPr>
            <w:r>
              <w:rPr>
                <w:rFonts w:ascii="Arial" w:cs="Arial" w:eastAsia="Arial" w:hAnsi="Arial"/>
                <w:sz w:val="13"/>
                <w:szCs w:val="13"/>
                <w:b w:val="1"/>
                <w:bCs w:val="1"/>
                <w:color w:val="auto"/>
              </w:rPr>
              <w:t>Maturity</w:t>
            </w:r>
          </w:p>
        </w:tc>
        <w:tc>
          <w:tcPr>
            <w:tcW w:w="15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Industry</w:t>
            </w: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Coupon</w:t>
            </w:r>
          </w:p>
        </w:tc>
        <w:tc>
          <w:tcPr>
            <w:tcW w:w="980" w:type="dxa"/>
            <w:vAlign w:val="bottom"/>
            <w:gridSpan w:val="2"/>
          </w:tcPr>
          <w:p>
            <w:pPr>
              <w:jc w:val="center"/>
              <w:ind w:right="300"/>
              <w:spacing w:after="0" w:line="176" w:lineRule="exact"/>
              <w:rPr>
                <w:sz w:val="20"/>
                <w:szCs w:val="20"/>
                <w:color w:val="auto"/>
              </w:rPr>
            </w:pPr>
            <w:r>
              <w:rPr>
                <w:rFonts w:ascii="Arial" w:cs="Arial" w:eastAsia="Arial" w:hAnsi="Arial"/>
                <w:sz w:val="12"/>
                <w:szCs w:val="12"/>
                <w:b w:val="1"/>
                <w:bCs w:val="1"/>
                <w:color w:val="auto"/>
                <w:w w:val="94"/>
              </w:rPr>
              <w:t xml:space="preserve">Index </w:t>
            </w:r>
            <w:r>
              <w:rPr>
                <w:rFonts w:ascii="Arial" w:cs="Arial" w:eastAsia="Arial" w:hAnsi="Arial"/>
                <w:sz w:val="20"/>
                <w:szCs w:val="20"/>
                <w:b w:val="1"/>
                <w:bCs w:val="1"/>
                <w:color w:val="auto"/>
                <w:w w:val="94"/>
                <w:vertAlign w:val="superscript"/>
              </w:rPr>
              <w:t>(4)</w:t>
            </w:r>
          </w:p>
        </w:tc>
        <w:tc>
          <w:tcPr>
            <w:tcW w:w="7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Shares</w:t>
            </w:r>
          </w:p>
        </w:tc>
        <w:tc>
          <w:tcPr>
            <w:tcW w:w="140" w:type="dxa"/>
            <w:vAlign w:val="bottom"/>
          </w:tcPr>
          <w:p>
            <w:pPr>
              <w:spacing w:after="0"/>
              <w:rPr>
                <w:sz w:val="15"/>
                <w:szCs w:val="15"/>
                <w:color w:val="auto"/>
              </w:rPr>
            </w:pPr>
          </w:p>
        </w:tc>
        <w:tc>
          <w:tcPr>
            <w:tcW w:w="880" w:type="dxa"/>
            <w:vAlign w:val="bottom"/>
            <w:gridSpan w:val="2"/>
          </w:tcPr>
          <w:p>
            <w:pPr>
              <w:ind w:left="240"/>
              <w:spacing w:after="0"/>
              <w:rPr>
                <w:sz w:val="20"/>
                <w:szCs w:val="20"/>
                <w:color w:val="auto"/>
              </w:rPr>
            </w:pPr>
            <w:r>
              <w:rPr>
                <w:rFonts w:ascii="Arial" w:cs="Arial" w:eastAsia="Arial" w:hAnsi="Arial"/>
                <w:sz w:val="13"/>
                <w:szCs w:val="13"/>
                <w:b w:val="1"/>
                <w:bCs w:val="1"/>
                <w:color w:val="auto"/>
              </w:rPr>
              <w:t>Cost</w:t>
            </w:r>
          </w:p>
        </w:tc>
        <w:tc>
          <w:tcPr>
            <w:tcW w:w="1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0"/>
                <w:szCs w:val="10"/>
                <w:b w:val="1"/>
                <w:bCs w:val="1"/>
                <w:color w:val="auto"/>
              </w:rPr>
              <w:t>Common Equity/Warrants/Partnership Interests—11.5%</w:t>
            </w:r>
            <w:r>
              <w:rPr>
                <w:rFonts w:ascii="Arial" w:cs="Arial" w:eastAsia="Arial" w:hAnsi="Arial"/>
                <w:sz w:val="16"/>
                <w:szCs w:val="16"/>
                <w:b w:val="1"/>
                <w:bCs w:val="1"/>
                <w:color w:val="auto"/>
                <w:vertAlign w:val="superscript"/>
              </w:rPr>
              <w:t>(6)</w:t>
            </w:r>
          </w:p>
        </w:tc>
        <w:tc>
          <w:tcPr>
            <w:tcW w:w="1240" w:type="dxa"/>
            <w:vAlign w:val="bottom"/>
            <w:tcBorders>
              <w:top w:val="single" w:sz="8" w:color="auto"/>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line="149" w:lineRule="exact"/>
              <w:rPr>
                <w:sz w:val="20"/>
                <w:szCs w:val="20"/>
                <w:color w:val="auto"/>
              </w:rPr>
            </w:pPr>
            <w:r>
              <w:rPr>
                <w:rFonts w:ascii="Arial" w:cs="Arial" w:eastAsia="Arial" w:hAnsi="Arial"/>
                <w:sz w:val="11"/>
                <w:szCs w:val="11"/>
                <w:color w:val="auto"/>
              </w:rPr>
              <w:t xml:space="preserve">Acentia, LLC, Class A Units </w:t>
            </w:r>
            <w:r>
              <w:rPr>
                <w:rFonts w:ascii="Arial" w:cs="Arial" w:eastAsia="Arial" w:hAnsi="Arial"/>
                <w:sz w:val="17"/>
                <w:szCs w:val="17"/>
                <w:color w:val="auto"/>
                <w:vertAlign w:val="superscript"/>
              </w:rPr>
              <w:t>(12)</w:t>
            </w:r>
          </w:p>
        </w:tc>
        <w:tc>
          <w:tcPr>
            <w:tcW w:w="1240" w:type="dxa"/>
            <w:vAlign w:val="bottom"/>
          </w:tcPr>
          <w:p>
            <w:pPr>
              <w:ind w:left="720"/>
              <w:spacing w:after="0"/>
              <w:rPr>
                <w:sz w:val="20"/>
                <w:szCs w:val="20"/>
                <w:color w:val="auto"/>
              </w:rPr>
            </w:pPr>
            <w:r>
              <w:rPr>
                <w:rFonts w:ascii="Arial" w:cs="Arial" w:eastAsia="Arial" w:hAnsi="Arial"/>
                <w:sz w:val="13"/>
                <w:szCs w:val="13"/>
                <w:color w:val="auto"/>
              </w:rPr>
              <w:t>—</w:t>
            </w:r>
          </w:p>
        </w:tc>
        <w:tc>
          <w:tcPr>
            <w:tcW w:w="1520" w:type="dxa"/>
            <w:vAlign w:val="bottom"/>
            <w:gridSpan w:val="2"/>
          </w:tcPr>
          <w:p>
            <w:pPr>
              <w:jc w:val="center"/>
              <w:ind w:right="100"/>
              <w:spacing w:after="0"/>
              <w:rPr>
                <w:sz w:val="20"/>
                <w:szCs w:val="20"/>
                <w:color w:val="auto"/>
              </w:rPr>
            </w:pPr>
            <w:r>
              <w:rPr>
                <w:rFonts w:ascii="Arial" w:cs="Arial" w:eastAsia="Arial" w:hAnsi="Arial"/>
                <w:sz w:val="13"/>
                <w:szCs w:val="13"/>
                <w:color w:val="auto"/>
                <w:w w:val="97"/>
              </w:rPr>
              <w:t>Electronics</w:t>
            </w:r>
          </w:p>
        </w:tc>
        <w:tc>
          <w:tcPr>
            <w:tcW w:w="76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98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1,998</w:t>
            </w:r>
          </w:p>
        </w:tc>
        <w:tc>
          <w:tcPr>
            <w:tcW w:w="1020" w:type="dxa"/>
            <w:vAlign w:val="bottom"/>
            <w:gridSpan w:val="3"/>
          </w:tcPr>
          <w:p>
            <w:pPr>
              <w:jc w:val="right"/>
              <w:ind w:right="140"/>
              <w:spacing w:after="0"/>
              <w:rPr>
                <w:sz w:val="20"/>
                <w:szCs w:val="20"/>
                <w:color w:val="auto"/>
              </w:rPr>
            </w:pPr>
            <w:r>
              <w:rPr>
                <w:rFonts w:ascii="Arial" w:cs="Arial" w:eastAsia="Arial" w:hAnsi="Arial"/>
                <w:sz w:val="13"/>
                <w:szCs w:val="13"/>
                <w:color w:val="auto"/>
              </w:rPr>
              <w:t>$  2,000,000</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   1,447,194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9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AH Holdings, Inc. (Warrants)</w:t>
            </w:r>
          </w:p>
        </w:tc>
        <w:tc>
          <w:tcPr>
            <w:tcW w:w="1240" w:type="dxa"/>
            <w:vAlign w:val="bottom"/>
            <w:shd w:val="clear" w:color="auto" w:fill="CCEEFF"/>
          </w:tcPr>
          <w:p>
            <w:pPr>
              <w:jc w:val="right"/>
              <w:ind w:right="53"/>
              <w:spacing w:after="0" w:line="138" w:lineRule="exact"/>
              <w:rPr>
                <w:sz w:val="20"/>
                <w:szCs w:val="20"/>
                <w:color w:val="auto"/>
              </w:rPr>
            </w:pPr>
            <w:r>
              <w:rPr>
                <w:rFonts w:ascii="Arial" w:cs="Arial" w:eastAsia="Arial" w:hAnsi="Arial"/>
                <w:sz w:val="13"/>
                <w:szCs w:val="13"/>
                <w:color w:val="auto"/>
              </w:rPr>
              <w:t>03/23/2021</w:t>
            </w:r>
          </w:p>
        </w:tc>
        <w:tc>
          <w:tcPr>
            <w:tcW w:w="152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3"/>
                <w:szCs w:val="13"/>
                <w:color w:val="auto"/>
                <w:w w:val="93"/>
              </w:rPr>
              <w:t>Healthcare, Education</w:t>
            </w:r>
          </w:p>
        </w:tc>
        <w:tc>
          <w:tcPr>
            <w:tcW w:w="76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ind w:left="480"/>
              <w:spacing w:after="0" w:line="138"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753</w:t>
            </w:r>
          </w:p>
        </w:tc>
        <w:tc>
          <w:tcPr>
            <w:tcW w:w="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54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1,999,384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9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2"/>
              </w:rPr>
              <w:t>and Childcare</w:t>
            </w:r>
          </w:p>
        </w:tc>
        <w:tc>
          <w:tcPr>
            <w:tcW w:w="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980" w:type="dxa"/>
            <w:vAlign w:val="bottom"/>
          </w:tcPr>
          <w:p>
            <w:pPr>
              <w:spacing w:after="0" w:line="138" w:lineRule="exact"/>
              <w:rPr>
                <w:sz w:val="20"/>
                <w:szCs w:val="20"/>
                <w:color w:val="auto"/>
              </w:rPr>
            </w:pPr>
            <w:r>
              <w:rPr>
                <w:rFonts w:ascii="Arial" w:cs="Arial" w:eastAsia="Arial" w:hAnsi="Arial"/>
                <w:sz w:val="13"/>
                <w:szCs w:val="13"/>
                <w:color w:val="auto"/>
              </w:rPr>
              <w:t>Alegeus Technologies Holding Corp., Class A,</w:t>
            </w:r>
          </w:p>
        </w:tc>
        <w:tc>
          <w:tcPr>
            <w:tcW w:w="1240" w:type="dxa"/>
            <w:vAlign w:val="bottom"/>
          </w:tcPr>
          <w:p>
            <w:pPr>
              <w:ind w:left="720"/>
              <w:spacing w:after="0" w:line="138" w:lineRule="exact"/>
              <w:rPr>
                <w:sz w:val="20"/>
                <w:szCs w:val="20"/>
                <w:color w:val="auto"/>
              </w:rPr>
            </w:pPr>
            <w:r>
              <w:rPr>
                <w:rFonts w:ascii="Arial" w:cs="Arial" w:eastAsia="Arial" w:hAnsi="Arial"/>
                <w:sz w:val="13"/>
                <w:szCs w:val="13"/>
                <w:color w:val="auto"/>
              </w:rPr>
              <w:t>—</w:t>
            </w:r>
          </w:p>
        </w:tc>
        <w:tc>
          <w:tcPr>
            <w:tcW w:w="1520" w:type="dxa"/>
            <w:vAlign w:val="bottom"/>
            <w:gridSpan w:val="2"/>
          </w:tcPr>
          <w:p>
            <w:pPr>
              <w:jc w:val="center"/>
              <w:ind w:right="100"/>
              <w:spacing w:after="0" w:line="138" w:lineRule="exact"/>
              <w:rPr>
                <w:sz w:val="20"/>
                <w:szCs w:val="20"/>
                <w:color w:val="auto"/>
              </w:rPr>
            </w:pPr>
            <w:r>
              <w:rPr>
                <w:rFonts w:ascii="Arial" w:cs="Arial" w:eastAsia="Arial" w:hAnsi="Arial"/>
                <w:sz w:val="13"/>
                <w:szCs w:val="13"/>
                <w:color w:val="auto"/>
                <w:w w:val="92"/>
              </w:rPr>
              <w:t>Financial Services</w:t>
            </w:r>
          </w:p>
        </w:tc>
        <w:tc>
          <w:tcPr>
            <w:tcW w:w="760" w:type="dxa"/>
            <w:vAlign w:val="bottom"/>
            <w:gridSpan w:val="2"/>
          </w:tcPr>
          <w:p>
            <w:pPr>
              <w:ind w:left="280"/>
              <w:spacing w:after="0" w:line="138" w:lineRule="exact"/>
              <w:rPr>
                <w:sz w:val="20"/>
                <w:szCs w:val="20"/>
                <w:color w:val="auto"/>
              </w:rPr>
            </w:pPr>
            <w:r>
              <w:rPr>
                <w:rFonts w:ascii="Arial" w:cs="Arial" w:eastAsia="Arial" w:hAnsi="Arial"/>
                <w:sz w:val="13"/>
                <w:szCs w:val="13"/>
                <w:color w:val="auto"/>
              </w:rPr>
              <w:t>—</w:t>
            </w:r>
          </w:p>
        </w:tc>
        <w:tc>
          <w:tcPr>
            <w:tcW w:w="980" w:type="dxa"/>
            <w:vAlign w:val="bottom"/>
            <w:gridSpan w:val="2"/>
          </w:tcPr>
          <w:p>
            <w:pPr>
              <w:ind w:left="480"/>
              <w:spacing w:after="0" w:line="138"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line="138" w:lineRule="exact"/>
              <w:rPr>
                <w:sz w:val="20"/>
                <w:szCs w:val="20"/>
                <w:color w:val="auto"/>
              </w:rPr>
            </w:pPr>
            <w:r>
              <w:rPr>
                <w:rFonts w:ascii="Arial" w:cs="Arial" w:eastAsia="Arial" w:hAnsi="Arial"/>
                <w:sz w:val="13"/>
                <w:szCs w:val="13"/>
                <w:color w:val="auto"/>
              </w:rPr>
              <w:t>1</w:t>
            </w:r>
          </w:p>
        </w:tc>
        <w:tc>
          <w:tcPr>
            <w:tcW w:w="1020" w:type="dxa"/>
            <w:vAlign w:val="bottom"/>
            <w:gridSpan w:val="3"/>
          </w:tcPr>
          <w:p>
            <w:pPr>
              <w:jc w:val="right"/>
              <w:ind w:right="140"/>
              <w:spacing w:after="0" w:line="138" w:lineRule="exact"/>
              <w:rPr>
                <w:sz w:val="20"/>
                <w:szCs w:val="20"/>
                <w:color w:val="auto"/>
              </w:rPr>
            </w:pPr>
            <w:r>
              <w:rPr>
                <w:rFonts w:ascii="Arial" w:cs="Arial" w:eastAsia="Arial" w:hAnsi="Arial"/>
                <w:sz w:val="13"/>
                <w:szCs w:val="13"/>
                <w:color w:val="auto"/>
              </w:rPr>
              <w:t>950</w:t>
            </w:r>
          </w:p>
        </w:tc>
        <w:tc>
          <w:tcPr>
            <w:tcW w:w="96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1,079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980" w:type="dxa"/>
            <w:vAlign w:val="bottom"/>
          </w:tcPr>
          <w:p>
            <w:pPr>
              <w:ind w:left="220"/>
              <w:spacing w:after="0"/>
              <w:rPr>
                <w:sz w:val="20"/>
                <w:szCs w:val="20"/>
                <w:color w:val="auto"/>
              </w:rPr>
            </w:pPr>
            <w:r>
              <w:rPr>
                <w:rFonts w:ascii="Arial" w:cs="Arial" w:eastAsia="Arial" w:hAnsi="Arial"/>
                <w:sz w:val="13"/>
                <w:szCs w:val="13"/>
                <w:color w:val="auto"/>
              </w:rPr>
              <w:t>(Alegeus Technologies, LLC)</w:t>
            </w:r>
          </w:p>
        </w:tc>
        <w:tc>
          <w:tcPr>
            <w:tcW w:w="1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9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Autumn Games, LLC</w:t>
            </w:r>
          </w:p>
        </w:tc>
        <w:tc>
          <w:tcPr>
            <w:tcW w:w="1240" w:type="dxa"/>
            <w:vAlign w:val="bottom"/>
            <w:shd w:val="clear" w:color="auto" w:fill="CCEEFF"/>
          </w:tcPr>
          <w:p>
            <w:pPr>
              <w:ind w:left="720"/>
              <w:spacing w:after="0" w:line="138" w:lineRule="exact"/>
              <w:rPr>
                <w:sz w:val="20"/>
                <w:szCs w:val="20"/>
                <w:color w:val="auto"/>
              </w:rPr>
            </w:pPr>
            <w:r>
              <w:rPr>
                <w:rFonts w:ascii="Arial" w:cs="Arial" w:eastAsia="Arial" w:hAnsi="Arial"/>
                <w:sz w:val="13"/>
                <w:szCs w:val="13"/>
                <w:color w:val="auto"/>
              </w:rPr>
              <w:t>—</w:t>
            </w:r>
          </w:p>
        </w:tc>
        <w:tc>
          <w:tcPr>
            <w:tcW w:w="1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2"/>
              </w:rPr>
              <w:t>Broadcasting and</w:t>
            </w:r>
          </w:p>
        </w:tc>
        <w:tc>
          <w:tcPr>
            <w:tcW w:w="76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ind w:left="480"/>
              <w:spacing w:after="0" w:line="138"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w w:val="96"/>
              </w:rPr>
              <w:t>1,333,330</w:t>
            </w:r>
          </w:p>
        </w:tc>
        <w:tc>
          <w:tcPr>
            <w:tcW w:w="102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3,000,000</w:t>
            </w:r>
          </w:p>
        </w:tc>
        <w:tc>
          <w:tcPr>
            <w:tcW w:w="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62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39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6"/>
              </w:rPr>
              <w:t>Entertainment</w:t>
            </w:r>
          </w:p>
        </w:tc>
        <w:tc>
          <w:tcPr>
            <w:tcW w:w="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459" w:right="339" w:bottom="1440" w:gutter="0" w:footer="0" w:header="0"/>
        </w:sectPr>
      </w:pPr>
    </w:p>
    <w:tbl>
      <w:tblPr>
        <w:tblLayout w:type="fixed"/>
        <w:tblInd w:w="0" w:type="dxa"/>
        <w:tblCellMar>
          <w:top w:w="0" w:type="dxa"/>
          <w:left w:w="0" w:type="dxa"/>
          <w:bottom w:w="0" w:type="dxa"/>
          <w:right w:w="0" w:type="dxa"/>
        </w:tblCellMar>
      </w:tblPr>
      <w:tr>
        <w:trPr>
          <w:trHeight w:val="122"/>
        </w:trPr>
        <w:tc>
          <w:tcPr>
            <w:tcW w:w="3640" w:type="dxa"/>
            <w:vAlign w:val="bottom"/>
          </w:tcPr>
          <w:p>
            <w:pPr>
              <w:spacing w:after="0" w:line="122" w:lineRule="exact"/>
              <w:rPr>
                <w:sz w:val="20"/>
                <w:szCs w:val="20"/>
                <w:color w:val="auto"/>
              </w:rPr>
            </w:pPr>
            <w:r>
              <w:rPr>
                <w:rFonts w:ascii="Arial" w:cs="Arial" w:eastAsia="Arial" w:hAnsi="Arial"/>
                <w:sz w:val="13"/>
                <w:szCs w:val="13"/>
                <w:color w:val="auto"/>
              </w:rPr>
              <w:t>CI (Galls) Prime Investment Holdings, LLC</w:t>
            </w:r>
          </w:p>
        </w:tc>
        <w:tc>
          <w:tcPr>
            <w:tcW w:w="1460" w:type="dxa"/>
            <w:vAlign w:val="bottom"/>
          </w:tcPr>
          <w:p>
            <w:pPr>
              <w:ind w:left="1060"/>
              <w:spacing w:after="0" w:line="122" w:lineRule="exact"/>
              <w:rPr>
                <w:sz w:val="20"/>
                <w:szCs w:val="20"/>
                <w:color w:val="auto"/>
              </w:rPr>
            </w:pPr>
            <w:r>
              <w:rPr>
                <w:rFonts w:ascii="Arial" w:cs="Arial" w:eastAsia="Arial" w:hAnsi="Arial"/>
                <w:sz w:val="13"/>
                <w:szCs w:val="13"/>
                <w:color w:val="auto"/>
              </w:rPr>
              <w:t>—</w:t>
            </w:r>
          </w:p>
        </w:tc>
      </w:tr>
      <w:tr>
        <w:trPr>
          <w:trHeight w:val="165"/>
        </w:trPr>
        <w:tc>
          <w:tcPr>
            <w:tcW w:w="3640" w:type="dxa"/>
            <w:vAlign w:val="bottom"/>
          </w:tcPr>
          <w:p>
            <w:pPr>
              <w:ind w:left="220"/>
              <w:spacing w:after="0" w:line="164" w:lineRule="exact"/>
              <w:rPr>
                <w:sz w:val="20"/>
                <w:szCs w:val="20"/>
                <w:color w:val="auto"/>
              </w:rPr>
            </w:pPr>
            <w:r>
              <w:rPr>
                <w:rFonts w:ascii="Arial" w:cs="Arial" w:eastAsia="Arial" w:hAnsi="Arial"/>
                <w:sz w:val="12"/>
                <w:szCs w:val="12"/>
                <w:color w:val="auto"/>
              </w:rPr>
              <w:t xml:space="preserve">(Galls, LLC; Quartermaster Inc.) </w:t>
            </w:r>
            <w:r>
              <w:rPr>
                <w:rFonts w:ascii="Arial" w:cs="Arial" w:eastAsia="Arial" w:hAnsi="Arial"/>
                <w:sz w:val="19"/>
                <w:szCs w:val="19"/>
                <w:color w:val="auto"/>
                <w:vertAlign w:val="superscript"/>
              </w:rPr>
              <w:t>(11)</w:t>
            </w:r>
          </w:p>
        </w:tc>
        <w:tc>
          <w:tcPr>
            <w:tcW w:w="1460" w:type="dxa"/>
            <w:vAlign w:val="bottom"/>
          </w:tcPr>
          <w:p>
            <w:pPr>
              <w:spacing w:after="0"/>
              <w:rPr>
                <w:sz w:val="14"/>
                <w:szCs w:val="14"/>
                <w:color w:val="auto"/>
              </w:rPr>
            </w:pPr>
          </w:p>
        </w:tc>
      </w:tr>
      <w:tr>
        <w:trPr>
          <w:trHeight w:val="148"/>
        </w:trPr>
        <w:tc>
          <w:tcPr>
            <w:tcW w:w="3640" w:type="dxa"/>
            <w:vAlign w:val="bottom"/>
          </w:tcPr>
          <w:p>
            <w:pPr>
              <w:spacing w:after="0"/>
              <w:rPr>
                <w:sz w:val="20"/>
                <w:szCs w:val="20"/>
                <w:color w:val="auto"/>
              </w:rPr>
            </w:pPr>
            <w:r>
              <w:rPr>
                <w:rFonts w:ascii="Arial" w:cs="Arial" w:eastAsia="Arial" w:hAnsi="Arial"/>
                <w:sz w:val="13"/>
                <w:szCs w:val="13"/>
                <w:color w:val="auto"/>
              </w:rPr>
              <w:t>CI (IHS) Investment Holdings, LLC</w:t>
            </w:r>
          </w:p>
        </w:tc>
        <w:tc>
          <w:tcPr>
            <w:tcW w:w="1460" w:type="dxa"/>
            <w:vAlign w:val="bottom"/>
          </w:tcPr>
          <w:p>
            <w:pPr>
              <w:ind w:left="1060"/>
              <w:spacing w:after="0"/>
              <w:rPr>
                <w:sz w:val="20"/>
                <w:szCs w:val="20"/>
                <w:color w:val="auto"/>
              </w:rPr>
            </w:pPr>
            <w:r>
              <w:rPr>
                <w:rFonts w:ascii="Arial" w:cs="Arial" w:eastAsia="Arial" w:hAnsi="Arial"/>
                <w:sz w:val="13"/>
                <w:szCs w:val="13"/>
                <w:color w:val="auto"/>
              </w:rPr>
              <w:t>—</w:t>
            </w:r>
          </w:p>
        </w:tc>
      </w:tr>
      <w:tr>
        <w:trPr>
          <w:trHeight w:val="144"/>
        </w:trPr>
        <w:tc>
          <w:tcPr>
            <w:tcW w:w="3640" w:type="dxa"/>
            <w:vAlign w:val="bottom"/>
          </w:tcPr>
          <w:p>
            <w:pPr>
              <w:ind w:left="220"/>
              <w:spacing w:after="0" w:line="144" w:lineRule="exact"/>
              <w:rPr>
                <w:sz w:val="20"/>
                <w:szCs w:val="20"/>
                <w:color w:val="auto"/>
              </w:rPr>
            </w:pPr>
            <w:r>
              <w:rPr>
                <w:rFonts w:ascii="Arial" w:cs="Arial" w:eastAsia="Arial" w:hAnsi="Arial"/>
                <w:sz w:val="13"/>
                <w:szCs w:val="13"/>
                <w:color w:val="auto"/>
              </w:rPr>
              <w:t>(Interactive Health Solutions, Inc.)</w:t>
            </w:r>
          </w:p>
        </w:tc>
        <w:tc>
          <w:tcPr>
            <w:tcW w:w="1460" w:type="dxa"/>
            <w:vAlign w:val="bottom"/>
          </w:tcPr>
          <w:p>
            <w:pPr>
              <w:spacing w:after="0"/>
              <w:rPr>
                <w:sz w:val="12"/>
                <w:szCs w:val="12"/>
                <w:color w:val="auto"/>
              </w:rPr>
            </w:pPr>
          </w:p>
        </w:tc>
      </w:tr>
      <w:tr>
        <w:trPr>
          <w:trHeight w:val="167"/>
        </w:trPr>
        <w:tc>
          <w:tcPr>
            <w:tcW w:w="3640" w:type="dxa"/>
            <w:vAlign w:val="bottom"/>
          </w:tcPr>
          <w:p>
            <w:pPr>
              <w:spacing w:after="0" w:line="167" w:lineRule="exact"/>
              <w:rPr>
                <w:sz w:val="20"/>
                <w:szCs w:val="20"/>
                <w:color w:val="auto"/>
              </w:rPr>
            </w:pPr>
            <w:r>
              <w:rPr>
                <w:rFonts w:ascii="Arial" w:cs="Arial" w:eastAsia="Arial" w:hAnsi="Arial"/>
                <w:sz w:val="12"/>
                <w:szCs w:val="12"/>
                <w:color w:val="auto"/>
              </w:rPr>
              <w:t xml:space="preserve">CI (IHS) Investment Holdings, LLC </w:t>
            </w:r>
            <w:r>
              <w:rPr>
                <w:rFonts w:ascii="Arial" w:cs="Arial" w:eastAsia="Arial" w:hAnsi="Arial"/>
                <w:sz w:val="19"/>
                <w:szCs w:val="19"/>
                <w:color w:val="auto"/>
                <w:vertAlign w:val="superscript"/>
              </w:rPr>
              <w:t>(9)</w:t>
            </w:r>
          </w:p>
        </w:tc>
        <w:tc>
          <w:tcPr>
            <w:tcW w:w="1460" w:type="dxa"/>
            <w:vAlign w:val="bottom"/>
          </w:tcPr>
          <w:p>
            <w:pPr>
              <w:ind w:left="1060"/>
              <w:spacing w:after="0"/>
              <w:rPr>
                <w:sz w:val="20"/>
                <w:szCs w:val="20"/>
                <w:color w:val="auto"/>
              </w:rPr>
            </w:pPr>
            <w:r>
              <w:rPr>
                <w:rFonts w:ascii="Arial" w:cs="Arial" w:eastAsia="Arial" w:hAnsi="Arial"/>
                <w:sz w:val="13"/>
                <w:szCs w:val="13"/>
                <w:color w:val="auto"/>
              </w:rPr>
              <w:t>—</w:t>
            </w:r>
          </w:p>
        </w:tc>
      </w:tr>
      <w:tr>
        <w:trPr>
          <w:trHeight w:val="162"/>
        </w:trPr>
        <w:tc>
          <w:tcPr>
            <w:tcW w:w="3640" w:type="dxa"/>
            <w:vAlign w:val="bottom"/>
          </w:tcPr>
          <w:p>
            <w:pPr>
              <w:ind w:left="220"/>
              <w:spacing w:after="0"/>
              <w:rPr>
                <w:sz w:val="20"/>
                <w:szCs w:val="20"/>
                <w:color w:val="auto"/>
              </w:rPr>
            </w:pPr>
            <w:r>
              <w:rPr>
                <w:rFonts w:ascii="Arial" w:cs="Arial" w:eastAsia="Arial" w:hAnsi="Arial"/>
                <w:sz w:val="13"/>
                <w:szCs w:val="13"/>
                <w:color w:val="auto"/>
              </w:rPr>
              <w:t>(Interactive Health Solutions, Inc.)</w:t>
            </w:r>
          </w:p>
        </w:tc>
        <w:tc>
          <w:tcPr>
            <w:tcW w:w="1460" w:type="dxa"/>
            <w:vAlign w:val="bottom"/>
          </w:tcPr>
          <w:p>
            <w:pPr>
              <w:spacing w:after="0"/>
              <w:rPr>
                <w:sz w:val="14"/>
                <w:szCs w:val="14"/>
                <w:color w:val="auto"/>
              </w:rPr>
            </w:pPr>
          </w:p>
        </w:tc>
      </w:tr>
      <w:tr>
        <w:trPr>
          <w:trHeight w:val="148"/>
        </w:trPr>
        <w:tc>
          <w:tcPr>
            <w:tcW w:w="3640" w:type="dxa"/>
            <w:vAlign w:val="bottom"/>
          </w:tcPr>
          <w:p>
            <w:pPr>
              <w:spacing w:after="0"/>
              <w:rPr>
                <w:sz w:val="20"/>
                <w:szCs w:val="20"/>
                <w:color w:val="auto"/>
              </w:rPr>
            </w:pPr>
            <w:r>
              <w:rPr>
                <w:rFonts w:ascii="Arial" w:cs="Arial" w:eastAsia="Arial" w:hAnsi="Arial"/>
                <w:sz w:val="13"/>
                <w:szCs w:val="13"/>
                <w:color w:val="auto"/>
              </w:rPr>
              <w:t>Convergint Technologies Holdings, LLC</w:t>
            </w:r>
          </w:p>
        </w:tc>
        <w:tc>
          <w:tcPr>
            <w:tcW w:w="1460" w:type="dxa"/>
            <w:vAlign w:val="bottom"/>
          </w:tcPr>
          <w:p>
            <w:pPr>
              <w:ind w:left="1060"/>
              <w:spacing w:after="0"/>
              <w:rPr>
                <w:sz w:val="20"/>
                <w:szCs w:val="20"/>
                <w:color w:val="auto"/>
              </w:rPr>
            </w:pPr>
            <w:r>
              <w:rPr>
                <w:rFonts w:ascii="Arial" w:cs="Arial" w:eastAsia="Arial" w:hAnsi="Arial"/>
                <w:sz w:val="13"/>
                <w:szCs w:val="13"/>
                <w:color w:val="auto"/>
              </w:rPr>
              <w:t>—</w:t>
            </w:r>
          </w:p>
        </w:tc>
      </w:tr>
      <w:tr>
        <w:trPr>
          <w:trHeight w:val="148"/>
        </w:trPr>
        <w:tc>
          <w:tcPr>
            <w:tcW w:w="3640" w:type="dxa"/>
            <w:vAlign w:val="bottom"/>
          </w:tcPr>
          <w:p>
            <w:pPr>
              <w:spacing w:after="0"/>
              <w:rPr>
                <w:sz w:val="20"/>
                <w:szCs w:val="20"/>
                <w:color w:val="auto"/>
              </w:rPr>
            </w:pPr>
            <w:r>
              <w:rPr>
                <w:rFonts w:ascii="Arial" w:cs="Arial" w:eastAsia="Arial" w:hAnsi="Arial"/>
                <w:sz w:val="13"/>
                <w:szCs w:val="13"/>
                <w:color w:val="auto"/>
              </w:rPr>
              <w:t>CT Technologies Holdings, LLC</w:t>
            </w:r>
          </w:p>
        </w:tc>
        <w:tc>
          <w:tcPr>
            <w:tcW w:w="1460" w:type="dxa"/>
            <w:vAlign w:val="bottom"/>
          </w:tcPr>
          <w:p>
            <w:pPr>
              <w:ind w:left="1060"/>
              <w:spacing w:after="0"/>
              <w:rPr>
                <w:sz w:val="20"/>
                <w:szCs w:val="20"/>
                <w:color w:val="auto"/>
              </w:rPr>
            </w:pPr>
            <w:r>
              <w:rPr>
                <w:rFonts w:ascii="Arial" w:cs="Arial" w:eastAsia="Arial" w:hAnsi="Arial"/>
                <w:sz w:val="13"/>
                <w:szCs w:val="13"/>
                <w:color w:val="auto"/>
              </w:rPr>
              <w:t>—</w:t>
            </w:r>
          </w:p>
        </w:tc>
      </w:tr>
      <w:tr>
        <w:trPr>
          <w:trHeight w:val="148"/>
        </w:trPr>
        <w:tc>
          <w:tcPr>
            <w:tcW w:w="3640" w:type="dxa"/>
            <w:vAlign w:val="bottom"/>
          </w:tcPr>
          <w:p>
            <w:pPr>
              <w:spacing w:after="0"/>
              <w:rPr>
                <w:sz w:val="20"/>
                <w:szCs w:val="20"/>
                <w:color w:val="auto"/>
              </w:rPr>
            </w:pPr>
            <w:r>
              <w:rPr>
                <w:rFonts w:ascii="Arial" w:cs="Arial" w:eastAsia="Arial" w:hAnsi="Arial"/>
                <w:sz w:val="13"/>
                <w:szCs w:val="13"/>
                <w:color w:val="auto"/>
              </w:rPr>
              <w:t>HW Topco, Inc. (Hanley-Wood, LLC)</w:t>
            </w:r>
          </w:p>
        </w:tc>
        <w:tc>
          <w:tcPr>
            <w:tcW w:w="1460" w:type="dxa"/>
            <w:vAlign w:val="bottom"/>
          </w:tcPr>
          <w:p>
            <w:pPr>
              <w:ind w:left="1060"/>
              <w:spacing w:after="0"/>
              <w:rPr>
                <w:sz w:val="20"/>
                <w:szCs w:val="20"/>
                <w:color w:val="auto"/>
              </w:rPr>
            </w:pPr>
            <w:r>
              <w:rPr>
                <w:rFonts w:ascii="Arial" w:cs="Arial" w:eastAsia="Arial" w:hAnsi="Arial"/>
                <w:sz w:val="13"/>
                <w:szCs w:val="13"/>
                <w:color w:val="auto"/>
              </w:rPr>
              <w:t>—</w:t>
            </w:r>
          </w:p>
        </w:tc>
      </w:tr>
      <w:tr>
        <w:trPr>
          <w:trHeight w:val="148"/>
        </w:trPr>
        <w:tc>
          <w:tcPr>
            <w:tcW w:w="3640" w:type="dxa"/>
            <w:vAlign w:val="bottom"/>
          </w:tcPr>
          <w:p>
            <w:pPr>
              <w:spacing w:after="0"/>
              <w:rPr>
                <w:sz w:val="20"/>
                <w:szCs w:val="20"/>
                <w:color w:val="auto"/>
              </w:rPr>
            </w:pPr>
            <w:r>
              <w:rPr>
                <w:rFonts w:ascii="Arial" w:cs="Arial" w:eastAsia="Arial" w:hAnsi="Arial"/>
                <w:sz w:val="13"/>
                <w:szCs w:val="13"/>
                <w:color w:val="auto"/>
              </w:rPr>
              <w:t>Kadmon Holdings, LLC, Class A</w:t>
            </w:r>
          </w:p>
        </w:tc>
        <w:tc>
          <w:tcPr>
            <w:tcW w:w="1460" w:type="dxa"/>
            <w:vAlign w:val="bottom"/>
          </w:tcPr>
          <w:p>
            <w:pPr>
              <w:ind w:left="1060"/>
              <w:spacing w:after="0"/>
              <w:rPr>
                <w:sz w:val="20"/>
                <w:szCs w:val="20"/>
                <w:color w:val="auto"/>
              </w:rPr>
            </w:pPr>
            <w:r>
              <w:rPr>
                <w:rFonts w:ascii="Arial" w:cs="Arial" w:eastAsia="Arial" w:hAnsi="Arial"/>
                <w:sz w:val="13"/>
                <w:szCs w:val="13"/>
                <w:color w:val="auto"/>
              </w:rPr>
              <w:t>—</w:t>
            </w:r>
          </w:p>
        </w:tc>
      </w:tr>
      <w:tr>
        <w:trPr>
          <w:trHeight w:val="162"/>
        </w:trPr>
        <w:tc>
          <w:tcPr>
            <w:tcW w:w="3640" w:type="dxa"/>
            <w:vAlign w:val="bottom"/>
          </w:tcPr>
          <w:p>
            <w:pPr>
              <w:ind w:left="220"/>
              <w:spacing w:after="0"/>
              <w:rPr>
                <w:sz w:val="20"/>
                <w:szCs w:val="20"/>
                <w:color w:val="auto"/>
              </w:rPr>
            </w:pPr>
            <w:r>
              <w:rPr>
                <w:rFonts w:ascii="Arial" w:cs="Arial" w:eastAsia="Arial" w:hAnsi="Arial"/>
                <w:sz w:val="13"/>
                <w:szCs w:val="13"/>
                <w:color w:val="auto"/>
              </w:rPr>
              <w:t>(Kadmon Pharmaceuticals, LLC)</w:t>
            </w:r>
          </w:p>
        </w:tc>
        <w:tc>
          <w:tcPr>
            <w:tcW w:w="1460" w:type="dxa"/>
            <w:vAlign w:val="bottom"/>
          </w:tcPr>
          <w:p>
            <w:pPr>
              <w:spacing w:after="0"/>
              <w:rPr>
                <w:sz w:val="14"/>
                <w:szCs w:val="14"/>
                <w:color w:val="auto"/>
              </w:rPr>
            </w:pPr>
          </w:p>
        </w:tc>
      </w:tr>
      <w:tr>
        <w:trPr>
          <w:trHeight w:val="148"/>
        </w:trPr>
        <w:tc>
          <w:tcPr>
            <w:tcW w:w="3640" w:type="dxa"/>
            <w:vAlign w:val="bottom"/>
          </w:tcPr>
          <w:p>
            <w:pPr>
              <w:spacing w:after="0"/>
              <w:rPr>
                <w:sz w:val="20"/>
                <w:szCs w:val="20"/>
                <w:color w:val="auto"/>
              </w:rPr>
            </w:pPr>
            <w:r>
              <w:rPr>
                <w:rFonts w:ascii="Arial" w:cs="Arial" w:eastAsia="Arial" w:hAnsi="Arial"/>
                <w:sz w:val="13"/>
                <w:szCs w:val="13"/>
                <w:color w:val="auto"/>
              </w:rPr>
              <w:t>Kadmon Holdings, LLC, Class D</w:t>
            </w:r>
          </w:p>
        </w:tc>
        <w:tc>
          <w:tcPr>
            <w:tcW w:w="1460" w:type="dxa"/>
            <w:vAlign w:val="bottom"/>
          </w:tcPr>
          <w:p>
            <w:pPr>
              <w:ind w:left="1060"/>
              <w:spacing w:after="0"/>
              <w:rPr>
                <w:sz w:val="20"/>
                <w:szCs w:val="20"/>
                <w:color w:val="auto"/>
              </w:rPr>
            </w:pPr>
            <w:r>
              <w:rPr>
                <w:rFonts w:ascii="Arial" w:cs="Arial" w:eastAsia="Arial" w:hAnsi="Arial"/>
                <w:sz w:val="13"/>
                <w:szCs w:val="13"/>
                <w:color w:val="auto"/>
              </w:rPr>
              <w:t>—</w:t>
            </w:r>
          </w:p>
        </w:tc>
      </w:tr>
      <w:tr>
        <w:trPr>
          <w:trHeight w:val="162"/>
        </w:trPr>
        <w:tc>
          <w:tcPr>
            <w:tcW w:w="3640" w:type="dxa"/>
            <w:vAlign w:val="bottom"/>
          </w:tcPr>
          <w:p>
            <w:pPr>
              <w:ind w:left="220"/>
              <w:spacing w:after="0"/>
              <w:rPr>
                <w:sz w:val="20"/>
                <w:szCs w:val="20"/>
                <w:color w:val="auto"/>
              </w:rPr>
            </w:pPr>
            <w:r>
              <w:rPr>
                <w:rFonts w:ascii="Arial" w:cs="Arial" w:eastAsia="Arial" w:hAnsi="Arial"/>
                <w:sz w:val="13"/>
                <w:szCs w:val="13"/>
                <w:color w:val="auto"/>
              </w:rPr>
              <w:t>(Kadmon Pharmaceuticals, LLC)</w:t>
            </w:r>
          </w:p>
        </w:tc>
        <w:tc>
          <w:tcPr>
            <w:tcW w:w="1460" w:type="dxa"/>
            <w:vAlign w:val="bottom"/>
          </w:tcPr>
          <w:p>
            <w:pPr>
              <w:spacing w:after="0"/>
              <w:rPr>
                <w:sz w:val="14"/>
                <w:szCs w:val="14"/>
                <w:color w:val="auto"/>
              </w:rPr>
            </w:pPr>
          </w:p>
        </w:tc>
      </w:tr>
      <w:tr>
        <w:trPr>
          <w:trHeight w:val="149"/>
        </w:trPr>
        <w:tc>
          <w:tcPr>
            <w:tcW w:w="3640" w:type="dxa"/>
            <w:vAlign w:val="bottom"/>
          </w:tcPr>
          <w:p>
            <w:pPr>
              <w:spacing w:after="0"/>
              <w:rPr>
                <w:sz w:val="20"/>
                <w:szCs w:val="20"/>
                <w:color w:val="auto"/>
              </w:rPr>
            </w:pPr>
            <w:r>
              <w:rPr>
                <w:rFonts w:ascii="Arial" w:cs="Arial" w:eastAsia="Arial" w:hAnsi="Arial"/>
                <w:sz w:val="13"/>
                <w:szCs w:val="13"/>
                <w:color w:val="auto"/>
              </w:rPr>
              <w:t>Learning Care Group (US) Inc. (Warrants)</w:t>
            </w:r>
          </w:p>
        </w:tc>
        <w:tc>
          <w:tcPr>
            <w:tcW w:w="1460" w:type="dxa"/>
            <w:vAlign w:val="bottom"/>
          </w:tcPr>
          <w:p>
            <w:pPr>
              <w:ind w:left="860"/>
              <w:spacing w:after="0"/>
              <w:rPr>
                <w:sz w:val="20"/>
                <w:szCs w:val="20"/>
                <w:color w:val="auto"/>
              </w:rPr>
            </w:pPr>
            <w:r>
              <w:rPr>
                <w:rFonts w:ascii="Arial" w:cs="Arial" w:eastAsia="Arial" w:hAnsi="Arial"/>
                <w:sz w:val="13"/>
                <w:szCs w:val="13"/>
                <w:color w:val="auto"/>
                <w:w w:val="89"/>
              </w:rPr>
              <w:t>04/27/2020</w:t>
            </w:r>
          </w:p>
        </w:tc>
      </w:tr>
      <w:tr>
        <w:trPr>
          <w:trHeight w:val="148"/>
        </w:trPr>
        <w:tc>
          <w:tcPr>
            <w:tcW w:w="3640" w:type="dxa"/>
            <w:vAlign w:val="bottom"/>
          </w:tcPr>
          <w:p>
            <w:pPr>
              <w:spacing w:after="0"/>
              <w:rPr>
                <w:sz w:val="20"/>
                <w:szCs w:val="20"/>
                <w:color w:val="auto"/>
              </w:rPr>
            </w:pPr>
            <w:r>
              <w:rPr>
                <w:rFonts w:ascii="Arial" w:cs="Arial" w:eastAsia="Arial" w:hAnsi="Arial"/>
                <w:sz w:val="13"/>
                <w:szCs w:val="13"/>
                <w:color w:val="auto"/>
              </w:rPr>
              <w:t>Magnum Hunter Resources Corporation</w:t>
            </w:r>
          </w:p>
        </w:tc>
        <w:tc>
          <w:tcPr>
            <w:tcW w:w="1460" w:type="dxa"/>
            <w:vAlign w:val="bottom"/>
          </w:tcPr>
          <w:p>
            <w:pPr>
              <w:ind w:left="1060"/>
              <w:spacing w:after="0"/>
              <w:rPr>
                <w:sz w:val="20"/>
                <w:szCs w:val="20"/>
                <w:color w:val="auto"/>
              </w:rPr>
            </w:pPr>
            <w:r>
              <w:rPr>
                <w:rFonts w:ascii="Arial" w:cs="Arial" w:eastAsia="Arial" w:hAnsi="Arial"/>
                <w:sz w:val="13"/>
                <w:szCs w:val="13"/>
                <w:color w:val="auto"/>
              </w:rPr>
              <w:t>—</w:t>
            </w:r>
          </w:p>
        </w:tc>
      </w:tr>
      <w:tr>
        <w:trPr>
          <w:trHeight w:val="148"/>
        </w:trPr>
        <w:tc>
          <w:tcPr>
            <w:tcW w:w="3640" w:type="dxa"/>
            <w:vAlign w:val="bottom"/>
          </w:tcPr>
          <w:p>
            <w:pPr>
              <w:ind w:left="220"/>
              <w:spacing w:after="0"/>
              <w:rPr>
                <w:sz w:val="20"/>
                <w:szCs w:val="20"/>
                <w:color w:val="auto"/>
              </w:rPr>
            </w:pPr>
            <w:r>
              <w:rPr>
                <w:rFonts w:ascii="Arial" w:cs="Arial" w:eastAsia="Arial" w:hAnsi="Arial"/>
                <w:sz w:val="13"/>
                <w:szCs w:val="13"/>
                <w:color w:val="auto"/>
              </w:rPr>
              <w:t>(Eureka Hunter Pipeline, LLC)</w:t>
            </w:r>
          </w:p>
        </w:tc>
        <w:tc>
          <w:tcPr>
            <w:tcW w:w="1460" w:type="dxa"/>
            <w:vAlign w:val="bottom"/>
          </w:tcPr>
          <w:p>
            <w:pPr>
              <w:spacing w:after="0"/>
              <w:rPr>
                <w:sz w:val="12"/>
                <w:szCs w:val="12"/>
                <w:color w:val="auto"/>
              </w:rPr>
            </w:pPr>
          </w:p>
        </w:tc>
      </w:tr>
      <w:tr>
        <w:trPr>
          <w:trHeight w:val="148"/>
        </w:trPr>
        <w:tc>
          <w:tcPr>
            <w:tcW w:w="3640" w:type="dxa"/>
            <w:vAlign w:val="bottom"/>
          </w:tcPr>
          <w:p>
            <w:pPr>
              <w:spacing w:after="0"/>
              <w:rPr>
                <w:sz w:val="20"/>
                <w:szCs w:val="20"/>
                <w:color w:val="auto"/>
              </w:rPr>
            </w:pPr>
            <w:r>
              <w:rPr>
                <w:rFonts w:ascii="Arial" w:cs="Arial" w:eastAsia="Arial" w:hAnsi="Arial"/>
                <w:sz w:val="13"/>
                <w:szCs w:val="13"/>
                <w:color w:val="auto"/>
              </w:rPr>
              <w:t>Magnum Hunter Resources Corporation (Warrants)</w:t>
            </w:r>
          </w:p>
        </w:tc>
        <w:tc>
          <w:tcPr>
            <w:tcW w:w="1460" w:type="dxa"/>
            <w:vAlign w:val="bottom"/>
          </w:tcPr>
          <w:p>
            <w:pPr>
              <w:ind w:left="860"/>
              <w:spacing w:after="0"/>
              <w:rPr>
                <w:sz w:val="20"/>
                <w:szCs w:val="20"/>
                <w:color w:val="auto"/>
              </w:rPr>
            </w:pPr>
            <w:r>
              <w:rPr>
                <w:rFonts w:ascii="Arial" w:cs="Arial" w:eastAsia="Arial" w:hAnsi="Arial"/>
                <w:sz w:val="13"/>
                <w:szCs w:val="13"/>
                <w:color w:val="auto"/>
                <w:w w:val="89"/>
              </w:rPr>
              <w:t>10/14/2013</w:t>
            </w:r>
          </w:p>
        </w:tc>
      </w:tr>
      <w:tr>
        <w:trPr>
          <w:trHeight w:val="148"/>
        </w:trPr>
        <w:tc>
          <w:tcPr>
            <w:tcW w:w="3640" w:type="dxa"/>
            <w:vAlign w:val="bottom"/>
          </w:tcPr>
          <w:p>
            <w:pPr>
              <w:ind w:left="220"/>
              <w:spacing w:after="0"/>
              <w:rPr>
                <w:sz w:val="20"/>
                <w:szCs w:val="20"/>
                <w:color w:val="auto"/>
              </w:rPr>
            </w:pPr>
            <w:r>
              <w:rPr>
                <w:rFonts w:ascii="Arial" w:cs="Arial" w:eastAsia="Arial" w:hAnsi="Arial"/>
                <w:sz w:val="13"/>
                <w:szCs w:val="13"/>
                <w:color w:val="auto"/>
              </w:rPr>
              <w:t>(Eureka Hunter Pipeline, LLC)</w:t>
            </w:r>
          </w:p>
        </w:tc>
        <w:tc>
          <w:tcPr>
            <w:tcW w:w="1460" w:type="dxa"/>
            <w:vAlign w:val="bottom"/>
          </w:tcPr>
          <w:p>
            <w:pPr>
              <w:spacing w:after="0"/>
              <w:rPr>
                <w:sz w:val="12"/>
                <w:szCs w:val="12"/>
                <w:color w:val="auto"/>
              </w:rPr>
            </w:pPr>
          </w:p>
        </w:tc>
      </w:tr>
      <w:tr>
        <w:trPr>
          <w:trHeight w:val="148"/>
        </w:trPr>
        <w:tc>
          <w:tcPr>
            <w:tcW w:w="3640" w:type="dxa"/>
            <w:vAlign w:val="bottom"/>
          </w:tcPr>
          <w:p>
            <w:pPr>
              <w:spacing w:after="0"/>
              <w:rPr>
                <w:sz w:val="20"/>
                <w:szCs w:val="20"/>
                <w:color w:val="auto"/>
              </w:rPr>
            </w:pPr>
            <w:r>
              <w:rPr>
                <w:rFonts w:ascii="Arial" w:cs="Arial" w:eastAsia="Arial" w:hAnsi="Arial"/>
                <w:sz w:val="13"/>
                <w:szCs w:val="13"/>
                <w:color w:val="auto"/>
              </w:rPr>
              <w:t>MidOcean JF Holdings Corp.</w:t>
            </w:r>
          </w:p>
        </w:tc>
        <w:tc>
          <w:tcPr>
            <w:tcW w:w="1460" w:type="dxa"/>
            <w:vAlign w:val="bottom"/>
          </w:tcPr>
          <w:p>
            <w:pPr>
              <w:ind w:left="1060"/>
              <w:spacing w:after="0"/>
              <w:rPr>
                <w:sz w:val="20"/>
                <w:szCs w:val="20"/>
                <w:color w:val="auto"/>
              </w:rPr>
            </w:pPr>
            <w:r>
              <w:rPr>
                <w:rFonts w:ascii="Arial" w:cs="Arial" w:eastAsia="Arial" w:hAnsi="Arial"/>
                <w:sz w:val="13"/>
                <w:szCs w:val="13"/>
                <w:color w:val="auto"/>
              </w:rPr>
              <w:t>—</w:t>
            </w:r>
          </w:p>
        </w:tc>
      </w:tr>
      <w:tr>
        <w:trPr>
          <w:trHeight w:val="148"/>
        </w:trPr>
        <w:tc>
          <w:tcPr>
            <w:tcW w:w="3640" w:type="dxa"/>
            <w:vAlign w:val="bottom"/>
          </w:tcPr>
          <w:p>
            <w:pPr>
              <w:ind w:left="220"/>
              <w:spacing w:after="0"/>
              <w:rPr>
                <w:sz w:val="20"/>
                <w:szCs w:val="20"/>
                <w:color w:val="auto"/>
              </w:rPr>
            </w:pPr>
            <w:r>
              <w:rPr>
                <w:rFonts w:ascii="Arial" w:cs="Arial" w:eastAsia="Arial" w:hAnsi="Arial"/>
                <w:sz w:val="13"/>
                <w:szCs w:val="13"/>
                <w:color w:val="auto"/>
              </w:rPr>
              <w:t>(JF Acquisition, LLC)</w:t>
            </w:r>
          </w:p>
        </w:tc>
        <w:tc>
          <w:tcPr>
            <w:tcW w:w="1460" w:type="dxa"/>
            <w:vAlign w:val="bottom"/>
          </w:tcPr>
          <w:p>
            <w:pPr>
              <w:spacing w:after="0"/>
              <w:rPr>
                <w:sz w:val="12"/>
                <w:szCs w:val="12"/>
                <w:color w:val="auto"/>
              </w:rPr>
            </w:pPr>
          </w:p>
        </w:tc>
      </w:tr>
      <w:tr>
        <w:trPr>
          <w:trHeight w:val="149"/>
        </w:trPr>
        <w:tc>
          <w:tcPr>
            <w:tcW w:w="3640" w:type="dxa"/>
            <w:vAlign w:val="bottom"/>
          </w:tcPr>
          <w:p>
            <w:pPr>
              <w:spacing w:after="0"/>
              <w:rPr>
                <w:sz w:val="20"/>
                <w:szCs w:val="20"/>
                <w:color w:val="auto"/>
              </w:rPr>
            </w:pPr>
            <w:r>
              <w:rPr>
                <w:rFonts w:ascii="Arial" w:cs="Arial" w:eastAsia="Arial" w:hAnsi="Arial"/>
                <w:sz w:val="13"/>
                <w:szCs w:val="13"/>
                <w:color w:val="auto"/>
              </w:rPr>
              <w:t>MidOcean PPL Holdings, Inc.</w:t>
            </w:r>
          </w:p>
        </w:tc>
        <w:tc>
          <w:tcPr>
            <w:tcW w:w="1460" w:type="dxa"/>
            <w:vAlign w:val="bottom"/>
          </w:tcPr>
          <w:p>
            <w:pPr>
              <w:ind w:left="1060"/>
              <w:spacing w:after="0"/>
              <w:rPr>
                <w:sz w:val="20"/>
                <w:szCs w:val="20"/>
                <w:color w:val="auto"/>
              </w:rPr>
            </w:pPr>
            <w:r>
              <w:rPr>
                <w:rFonts w:ascii="Arial" w:cs="Arial" w:eastAsia="Arial" w:hAnsi="Arial"/>
                <w:sz w:val="13"/>
                <w:szCs w:val="13"/>
                <w:color w:val="auto"/>
              </w:rPr>
              <w:t>—</w:t>
            </w:r>
          </w:p>
        </w:tc>
      </w:tr>
      <w:tr>
        <w:trPr>
          <w:trHeight w:val="172"/>
        </w:trPr>
        <w:tc>
          <w:tcPr>
            <w:tcW w:w="3640" w:type="dxa"/>
            <w:vAlign w:val="bottom"/>
          </w:tcPr>
          <w:p>
            <w:pPr>
              <w:ind w:left="220"/>
              <w:spacing w:after="0"/>
              <w:rPr>
                <w:sz w:val="20"/>
                <w:szCs w:val="20"/>
                <w:color w:val="auto"/>
              </w:rPr>
            </w:pPr>
            <w:r>
              <w:rPr>
                <w:rFonts w:ascii="Arial" w:cs="Arial" w:eastAsia="Arial" w:hAnsi="Arial"/>
                <w:sz w:val="13"/>
                <w:szCs w:val="13"/>
                <w:color w:val="auto"/>
              </w:rPr>
              <w:t>(Pre-Paid Legal Services, Inc.)</w:t>
            </w:r>
          </w:p>
        </w:tc>
        <w:tc>
          <w:tcPr>
            <w:tcW w:w="1460" w:type="dxa"/>
            <w:vAlign w:val="bottom"/>
          </w:tcPr>
          <w:p>
            <w:pPr>
              <w:spacing w:after="0"/>
              <w:rPr>
                <w:sz w:val="14"/>
                <w:szCs w:val="14"/>
                <w:color w:val="auto"/>
              </w:rPr>
            </w:pPr>
          </w:p>
        </w:tc>
      </w:tr>
      <w:tr>
        <w:trPr>
          <w:trHeight w:val="273"/>
        </w:trPr>
        <w:tc>
          <w:tcPr>
            <w:tcW w:w="3640" w:type="dxa"/>
            <w:vAlign w:val="bottom"/>
          </w:tcPr>
          <w:p>
            <w:pPr>
              <w:spacing w:after="0"/>
              <w:rPr>
                <w:sz w:val="20"/>
                <w:szCs w:val="20"/>
                <w:color w:val="auto"/>
              </w:rPr>
            </w:pPr>
            <w:r>
              <w:rPr>
                <w:rFonts w:ascii="Arial" w:cs="Arial" w:eastAsia="Arial" w:hAnsi="Arial"/>
                <w:sz w:val="13"/>
                <w:szCs w:val="13"/>
                <w:color w:val="auto"/>
              </w:rPr>
              <w:t>Paradigm Acquisition Corp.</w:t>
            </w:r>
          </w:p>
        </w:tc>
        <w:tc>
          <w:tcPr>
            <w:tcW w:w="1460" w:type="dxa"/>
            <w:vAlign w:val="bottom"/>
          </w:tcPr>
          <w:p>
            <w:pPr>
              <w:ind w:left="1060"/>
              <w:spacing w:after="0"/>
              <w:rPr>
                <w:sz w:val="20"/>
                <w:szCs w:val="20"/>
                <w:color w:val="auto"/>
              </w:rPr>
            </w:pPr>
            <w:r>
              <w:rPr>
                <w:rFonts w:ascii="Arial" w:cs="Arial" w:eastAsia="Arial" w:hAnsi="Arial"/>
                <w:sz w:val="13"/>
                <w:szCs w:val="13"/>
                <w:color w:val="auto"/>
              </w:rPr>
              <w:t>—</w:t>
            </w:r>
          </w:p>
        </w:tc>
      </w:tr>
      <w:tr>
        <w:trPr>
          <w:trHeight w:val="162"/>
        </w:trPr>
        <w:tc>
          <w:tcPr>
            <w:tcW w:w="3640" w:type="dxa"/>
            <w:vAlign w:val="bottom"/>
          </w:tcPr>
          <w:p>
            <w:pPr>
              <w:ind w:left="220"/>
              <w:spacing w:after="0"/>
              <w:rPr>
                <w:sz w:val="20"/>
                <w:szCs w:val="20"/>
                <w:color w:val="auto"/>
              </w:rPr>
            </w:pPr>
            <w:r>
              <w:rPr>
                <w:rFonts w:ascii="Arial" w:cs="Arial" w:eastAsia="Arial" w:hAnsi="Arial"/>
                <w:sz w:val="13"/>
                <w:szCs w:val="13"/>
                <w:color w:val="auto"/>
              </w:rPr>
              <w:t>(Paradigm Management Services, LLC)</w:t>
            </w:r>
          </w:p>
        </w:tc>
        <w:tc>
          <w:tcPr>
            <w:tcW w:w="1460" w:type="dxa"/>
            <w:vAlign w:val="bottom"/>
          </w:tcPr>
          <w:p>
            <w:pPr>
              <w:spacing w:after="0"/>
              <w:rPr>
                <w:sz w:val="14"/>
                <w:szCs w:val="14"/>
                <w:color w:val="auto"/>
              </w:rPr>
            </w:pPr>
          </w:p>
        </w:tc>
      </w:tr>
      <w:tr>
        <w:trPr>
          <w:trHeight w:val="148"/>
        </w:trPr>
        <w:tc>
          <w:tcPr>
            <w:tcW w:w="3640" w:type="dxa"/>
            <w:vAlign w:val="bottom"/>
          </w:tcPr>
          <w:p>
            <w:pPr>
              <w:spacing w:after="0"/>
              <w:rPr>
                <w:sz w:val="20"/>
                <w:szCs w:val="20"/>
                <w:color w:val="auto"/>
              </w:rPr>
            </w:pPr>
            <w:r>
              <w:rPr>
                <w:rFonts w:ascii="Arial" w:cs="Arial" w:eastAsia="Arial" w:hAnsi="Arial"/>
                <w:sz w:val="13"/>
                <w:szCs w:val="13"/>
                <w:color w:val="auto"/>
              </w:rPr>
              <w:t>PAS Tech Holdings, Inc.</w:t>
            </w:r>
          </w:p>
        </w:tc>
        <w:tc>
          <w:tcPr>
            <w:tcW w:w="1460" w:type="dxa"/>
            <w:vAlign w:val="bottom"/>
          </w:tcPr>
          <w:p>
            <w:pPr>
              <w:ind w:left="1060"/>
              <w:spacing w:after="0"/>
              <w:rPr>
                <w:sz w:val="20"/>
                <w:szCs w:val="20"/>
                <w:color w:val="auto"/>
              </w:rPr>
            </w:pPr>
            <w:r>
              <w:rPr>
                <w:rFonts w:ascii="Arial" w:cs="Arial" w:eastAsia="Arial" w:hAnsi="Arial"/>
                <w:sz w:val="13"/>
                <w:szCs w:val="13"/>
                <w:color w:val="auto"/>
              </w:rPr>
              <w:t>—</w:t>
            </w:r>
          </w:p>
        </w:tc>
      </w:tr>
      <w:tr>
        <w:trPr>
          <w:trHeight w:val="148"/>
        </w:trPr>
        <w:tc>
          <w:tcPr>
            <w:tcW w:w="3640" w:type="dxa"/>
            <w:vAlign w:val="bottom"/>
          </w:tcPr>
          <w:p>
            <w:pPr>
              <w:ind w:left="220"/>
              <w:spacing w:after="0"/>
              <w:rPr>
                <w:sz w:val="20"/>
                <w:szCs w:val="20"/>
                <w:color w:val="auto"/>
              </w:rPr>
            </w:pPr>
            <w:r>
              <w:rPr>
                <w:rFonts w:ascii="Arial" w:cs="Arial" w:eastAsia="Arial" w:hAnsi="Arial"/>
                <w:sz w:val="13"/>
                <w:szCs w:val="13"/>
                <w:color w:val="auto"/>
              </w:rPr>
              <w:t>(PAS Technologies, Inc.)</w:t>
            </w:r>
          </w:p>
        </w:tc>
        <w:tc>
          <w:tcPr>
            <w:tcW w:w="1460" w:type="dxa"/>
            <w:vAlign w:val="bottom"/>
          </w:tcPr>
          <w:p>
            <w:pPr>
              <w:spacing w:after="0"/>
              <w:rPr>
                <w:sz w:val="12"/>
                <w:szCs w:val="12"/>
                <w:color w:val="auto"/>
              </w:rPr>
            </w:pPr>
          </w:p>
        </w:tc>
      </w:tr>
      <w:tr>
        <w:trPr>
          <w:trHeight w:val="149"/>
        </w:trPr>
        <w:tc>
          <w:tcPr>
            <w:tcW w:w="3640" w:type="dxa"/>
            <w:vAlign w:val="bottom"/>
          </w:tcPr>
          <w:p>
            <w:pPr>
              <w:spacing w:after="0"/>
              <w:rPr>
                <w:sz w:val="20"/>
                <w:szCs w:val="20"/>
                <w:color w:val="auto"/>
              </w:rPr>
            </w:pPr>
            <w:r>
              <w:rPr>
                <w:rFonts w:ascii="Arial" w:cs="Arial" w:eastAsia="Arial" w:hAnsi="Arial"/>
                <w:sz w:val="13"/>
                <w:szCs w:val="13"/>
                <w:color w:val="auto"/>
              </w:rPr>
              <w:t>QMG HoldCo, LLC, Class A</w:t>
            </w:r>
          </w:p>
        </w:tc>
        <w:tc>
          <w:tcPr>
            <w:tcW w:w="1460" w:type="dxa"/>
            <w:vAlign w:val="bottom"/>
          </w:tcPr>
          <w:p>
            <w:pPr>
              <w:ind w:left="1060"/>
              <w:spacing w:after="0"/>
              <w:rPr>
                <w:sz w:val="20"/>
                <w:szCs w:val="20"/>
                <w:color w:val="auto"/>
              </w:rPr>
            </w:pPr>
            <w:r>
              <w:rPr>
                <w:rFonts w:ascii="Arial" w:cs="Arial" w:eastAsia="Arial" w:hAnsi="Arial"/>
                <w:sz w:val="13"/>
                <w:szCs w:val="13"/>
                <w:color w:val="auto"/>
              </w:rPr>
              <w:t>—</w:t>
            </w:r>
          </w:p>
        </w:tc>
      </w:tr>
      <w:tr>
        <w:trPr>
          <w:trHeight w:val="148"/>
        </w:trPr>
        <w:tc>
          <w:tcPr>
            <w:tcW w:w="3640" w:type="dxa"/>
            <w:vAlign w:val="bottom"/>
          </w:tcPr>
          <w:p>
            <w:pPr>
              <w:ind w:left="220"/>
              <w:spacing w:after="0"/>
              <w:rPr>
                <w:sz w:val="20"/>
                <w:szCs w:val="20"/>
                <w:color w:val="auto"/>
              </w:rPr>
            </w:pPr>
            <w:r>
              <w:rPr>
                <w:rFonts w:ascii="Arial" w:cs="Arial" w:eastAsia="Arial" w:hAnsi="Arial"/>
                <w:sz w:val="13"/>
                <w:szCs w:val="13"/>
                <w:color w:val="auto"/>
              </w:rPr>
              <w:t>(Questex Media Group, Inc.)</w:t>
            </w:r>
          </w:p>
        </w:tc>
        <w:tc>
          <w:tcPr>
            <w:tcW w:w="1460" w:type="dxa"/>
            <w:vAlign w:val="bottom"/>
          </w:tcPr>
          <w:p>
            <w:pPr>
              <w:spacing w:after="0"/>
              <w:rPr>
                <w:sz w:val="12"/>
                <w:szCs w:val="12"/>
                <w:color w:val="auto"/>
              </w:rPr>
            </w:pPr>
          </w:p>
        </w:tc>
      </w:tr>
      <w:tr>
        <w:trPr>
          <w:trHeight w:val="149"/>
        </w:trPr>
        <w:tc>
          <w:tcPr>
            <w:tcW w:w="3640" w:type="dxa"/>
            <w:vAlign w:val="bottom"/>
          </w:tcPr>
          <w:p>
            <w:pPr>
              <w:spacing w:after="0"/>
              <w:rPr>
                <w:sz w:val="20"/>
                <w:szCs w:val="20"/>
                <w:color w:val="auto"/>
              </w:rPr>
            </w:pPr>
            <w:r>
              <w:rPr>
                <w:rFonts w:ascii="Arial" w:cs="Arial" w:eastAsia="Arial" w:hAnsi="Arial"/>
                <w:sz w:val="13"/>
                <w:szCs w:val="13"/>
                <w:color w:val="auto"/>
              </w:rPr>
              <w:t>QMG HoldCo, LLC, Class B</w:t>
            </w:r>
          </w:p>
        </w:tc>
        <w:tc>
          <w:tcPr>
            <w:tcW w:w="1460" w:type="dxa"/>
            <w:vAlign w:val="bottom"/>
          </w:tcPr>
          <w:p>
            <w:pPr>
              <w:ind w:left="1060"/>
              <w:spacing w:after="0"/>
              <w:rPr>
                <w:sz w:val="20"/>
                <w:szCs w:val="20"/>
                <w:color w:val="auto"/>
              </w:rPr>
            </w:pPr>
            <w:r>
              <w:rPr>
                <w:rFonts w:ascii="Arial" w:cs="Arial" w:eastAsia="Arial" w:hAnsi="Arial"/>
                <w:sz w:val="13"/>
                <w:szCs w:val="13"/>
                <w:color w:val="auto"/>
              </w:rPr>
              <w:t>—</w:t>
            </w:r>
          </w:p>
        </w:tc>
      </w:tr>
      <w:tr>
        <w:trPr>
          <w:trHeight w:val="148"/>
        </w:trPr>
        <w:tc>
          <w:tcPr>
            <w:tcW w:w="3640" w:type="dxa"/>
            <w:vAlign w:val="bottom"/>
          </w:tcPr>
          <w:p>
            <w:pPr>
              <w:ind w:left="220"/>
              <w:spacing w:after="0"/>
              <w:rPr>
                <w:sz w:val="20"/>
                <w:szCs w:val="20"/>
                <w:color w:val="auto"/>
              </w:rPr>
            </w:pPr>
            <w:r>
              <w:rPr>
                <w:rFonts w:ascii="Arial" w:cs="Arial" w:eastAsia="Arial" w:hAnsi="Arial"/>
                <w:sz w:val="13"/>
                <w:szCs w:val="13"/>
                <w:color w:val="auto"/>
              </w:rPr>
              <w:t>(Questex Media Group, Inc.)</w:t>
            </w:r>
          </w:p>
        </w:tc>
        <w:tc>
          <w:tcPr>
            <w:tcW w:w="1460" w:type="dxa"/>
            <w:vAlign w:val="bottom"/>
          </w:tcPr>
          <w:p>
            <w:pPr>
              <w:spacing w:after="0"/>
              <w:rPr>
                <w:sz w:val="12"/>
                <w:szCs w:val="12"/>
                <w:color w:val="auto"/>
              </w:rPr>
            </w:pPr>
          </w:p>
        </w:tc>
      </w:tr>
      <w:tr>
        <w:trPr>
          <w:trHeight w:val="148"/>
        </w:trPr>
        <w:tc>
          <w:tcPr>
            <w:tcW w:w="3640" w:type="dxa"/>
            <w:vAlign w:val="bottom"/>
          </w:tcPr>
          <w:p>
            <w:pPr>
              <w:spacing w:after="0"/>
              <w:rPr>
                <w:sz w:val="20"/>
                <w:szCs w:val="20"/>
                <w:color w:val="auto"/>
              </w:rPr>
            </w:pPr>
            <w:r>
              <w:rPr>
                <w:rFonts w:ascii="Arial" w:cs="Arial" w:eastAsia="Arial" w:hAnsi="Arial"/>
                <w:sz w:val="13"/>
                <w:szCs w:val="13"/>
                <w:color w:val="auto"/>
              </w:rPr>
              <w:t>Realogy Holdings Corp.</w:t>
            </w:r>
          </w:p>
        </w:tc>
        <w:tc>
          <w:tcPr>
            <w:tcW w:w="1460" w:type="dxa"/>
            <w:vAlign w:val="bottom"/>
          </w:tcPr>
          <w:p>
            <w:pPr>
              <w:ind w:left="1060"/>
              <w:spacing w:after="0"/>
              <w:rPr>
                <w:sz w:val="20"/>
                <w:szCs w:val="20"/>
                <w:color w:val="auto"/>
              </w:rPr>
            </w:pPr>
            <w:r>
              <w:rPr>
                <w:rFonts w:ascii="Arial" w:cs="Arial" w:eastAsia="Arial" w:hAnsi="Arial"/>
                <w:sz w:val="13"/>
                <w:szCs w:val="13"/>
                <w:color w:val="auto"/>
              </w:rPr>
              <w:t>—</w:t>
            </w:r>
          </w:p>
        </w:tc>
      </w:tr>
      <w:tr>
        <w:trPr>
          <w:trHeight w:val="149"/>
        </w:trPr>
        <w:tc>
          <w:tcPr>
            <w:tcW w:w="3640" w:type="dxa"/>
            <w:vAlign w:val="bottom"/>
          </w:tcPr>
          <w:p>
            <w:pPr>
              <w:ind w:left="220"/>
              <w:spacing w:after="0"/>
              <w:rPr>
                <w:sz w:val="20"/>
                <w:szCs w:val="20"/>
                <w:color w:val="auto"/>
              </w:rPr>
            </w:pPr>
            <w:r>
              <w:rPr>
                <w:rFonts w:ascii="Arial" w:cs="Arial" w:eastAsia="Arial" w:hAnsi="Arial"/>
                <w:sz w:val="13"/>
                <w:szCs w:val="13"/>
                <w:color w:val="auto"/>
              </w:rPr>
              <w:t>(f/k/a Realogy Corp.)</w:t>
            </w:r>
          </w:p>
        </w:tc>
        <w:tc>
          <w:tcPr>
            <w:tcW w:w="1460" w:type="dxa"/>
            <w:vAlign w:val="bottom"/>
          </w:tcPr>
          <w:p>
            <w:pPr>
              <w:spacing w:after="0"/>
              <w:rPr>
                <w:sz w:val="12"/>
                <w:szCs w:val="12"/>
                <w:color w:val="auto"/>
              </w:rPr>
            </w:pPr>
          </w:p>
        </w:tc>
      </w:tr>
      <w:tr>
        <w:trPr>
          <w:trHeight w:val="148"/>
        </w:trPr>
        <w:tc>
          <w:tcPr>
            <w:tcW w:w="3640" w:type="dxa"/>
            <w:vAlign w:val="bottom"/>
          </w:tcPr>
          <w:p>
            <w:pPr>
              <w:spacing w:after="0"/>
              <w:rPr>
                <w:sz w:val="20"/>
                <w:szCs w:val="20"/>
                <w:color w:val="auto"/>
              </w:rPr>
            </w:pPr>
            <w:r>
              <w:rPr>
                <w:rFonts w:ascii="Arial" w:cs="Arial" w:eastAsia="Arial" w:hAnsi="Arial"/>
                <w:sz w:val="13"/>
                <w:szCs w:val="13"/>
                <w:color w:val="auto"/>
              </w:rPr>
              <w:t>SPG Boyd Holdings Corp.</w:t>
            </w:r>
          </w:p>
        </w:tc>
        <w:tc>
          <w:tcPr>
            <w:tcW w:w="1460" w:type="dxa"/>
            <w:vAlign w:val="bottom"/>
          </w:tcPr>
          <w:p>
            <w:pPr>
              <w:ind w:left="1060"/>
              <w:spacing w:after="0"/>
              <w:rPr>
                <w:sz w:val="20"/>
                <w:szCs w:val="20"/>
                <w:color w:val="auto"/>
              </w:rPr>
            </w:pPr>
            <w:r>
              <w:rPr>
                <w:rFonts w:ascii="Arial" w:cs="Arial" w:eastAsia="Arial" w:hAnsi="Arial"/>
                <w:sz w:val="13"/>
                <w:szCs w:val="13"/>
                <w:color w:val="auto"/>
              </w:rPr>
              <w:t>—</w:t>
            </w:r>
          </w:p>
        </w:tc>
      </w:tr>
      <w:tr>
        <w:trPr>
          <w:trHeight w:val="162"/>
        </w:trPr>
        <w:tc>
          <w:tcPr>
            <w:tcW w:w="3640" w:type="dxa"/>
            <w:vAlign w:val="bottom"/>
          </w:tcPr>
          <w:p>
            <w:pPr>
              <w:ind w:left="220"/>
              <w:spacing w:after="0"/>
              <w:rPr>
                <w:sz w:val="20"/>
                <w:szCs w:val="20"/>
                <w:color w:val="auto"/>
              </w:rPr>
            </w:pPr>
            <w:r>
              <w:rPr>
                <w:rFonts w:ascii="Arial" w:cs="Arial" w:eastAsia="Arial" w:hAnsi="Arial"/>
                <w:sz w:val="13"/>
                <w:szCs w:val="13"/>
                <w:color w:val="auto"/>
              </w:rPr>
              <w:t>(LTI Flexible Products, Inc.)</w:t>
            </w:r>
          </w:p>
        </w:tc>
        <w:tc>
          <w:tcPr>
            <w:tcW w:w="1460" w:type="dxa"/>
            <w:vAlign w:val="bottom"/>
          </w:tcPr>
          <w:p>
            <w:pPr>
              <w:spacing w:after="0"/>
              <w:rPr>
                <w:sz w:val="14"/>
                <w:szCs w:val="14"/>
                <w:color w:val="auto"/>
              </w:rPr>
            </w:pPr>
          </w:p>
        </w:tc>
      </w:tr>
      <w:tr>
        <w:trPr>
          <w:trHeight w:val="148"/>
        </w:trPr>
        <w:tc>
          <w:tcPr>
            <w:tcW w:w="3640" w:type="dxa"/>
            <w:vAlign w:val="bottom"/>
          </w:tcPr>
          <w:p>
            <w:pPr>
              <w:spacing w:after="0"/>
              <w:rPr>
                <w:sz w:val="20"/>
                <w:szCs w:val="20"/>
                <w:color w:val="auto"/>
              </w:rPr>
            </w:pPr>
            <w:r>
              <w:rPr>
                <w:rFonts w:ascii="Arial" w:cs="Arial" w:eastAsia="Arial" w:hAnsi="Arial"/>
                <w:sz w:val="13"/>
                <w:szCs w:val="13"/>
                <w:color w:val="auto"/>
              </w:rPr>
              <w:t>Titan Private Holdings I, LLC – Class A</w:t>
            </w:r>
          </w:p>
        </w:tc>
        <w:tc>
          <w:tcPr>
            <w:tcW w:w="1460" w:type="dxa"/>
            <w:vAlign w:val="bottom"/>
          </w:tcPr>
          <w:p>
            <w:pPr>
              <w:ind w:left="1060"/>
              <w:spacing w:after="0"/>
              <w:rPr>
                <w:sz w:val="20"/>
                <w:szCs w:val="20"/>
                <w:color w:val="auto"/>
              </w:rPr>
            </w:pPr>
            <w:r>
              <w:rPr>
                <w:rFonts w:ascii="Arial" w:cs="Arial" w:eastAsia="Arial" w:hAnsi="Arial"/>
                <w:sz w:val="13"/>
                <w:szCs w:val="13"/>
                <w:color w:val="auto"/>
              </w:rPr>
              <w:t>—</w:t>
            </w:r>
          </w:p>
        </w:tc>
      </w:tr>
      <w:tr>
        <w:trPr>
          <w:trHeight w:val="149"/>
        </w:trPr>
        <w:tc>
          <w:tcPr>
            <w:tcW w:w="3640" w:type="dxa"/>
            <w:vAlign w:val="bottom"/>
          </w:tcPr>
          <w:p>
            <w:pPr>
              <w:ind w:left="220"/>
              <w:spacing w:after="0"/>
              <w:rPr>
                <w:sz w:val="20"/>
                <w:szCs w:val="20"/>
                <w:color w:val="auto"/>
              </w:rPr>
            </w:pPr>
            <w:r>
              <w:rPr>
                <w:rFonts w:ascii="Arial" w:cs="Arial" w:eastAsia="Arial" w:hAnsi="Arial"/>
                <w:sz w:val="13"/>
                <w:szCs w:val="13"/>
                <w:color w:val="auto"/>
              </w:rPr>
              <w:t>(Tekelec Global, Inc.)</w:t>
            </w:r>
          </w:p>
        </w:tc>
        <w:tc>
          <w:tcPr>
            <w:tcW w:w="1460" w:type="dxa"/>
            <w:vAlign w:val="bottom"/>
          </w:tcPr>
          <w:p>
            <w:pPr>
              <w:spacing w:after="0"/>
              <w:rPr>
                <w:sz w:val="12"/>
                <w:szCs w:val="12"/>
                <w:color w:val="auto"/>
              </w:rPr>
            </w:pPr>
          </w:p>
        </w:tc>
      </w:tr>
      <w:tr>
        <w:trPr>
          <w:trHeight w:val="132"/>
        </w:trPr>
        <w:tc>
          <w:tcPr>
            <w:tcW w:w="3640" w:type="dxa"/>
            <w:vAlign w:val="bottom"/>
          </w:tcPr>
          <w:p>
            <w:pPr>
              <w:spacing w:after="0" w:line="133" w:lineRule="exact"/>
              <w:rPr>
                <w:sz w:val="20"/>
                <w:szCs w:val="20"/>
                <w:color w:val="auto"/>
              </w:rPr>
            </w:pPr>
            <w:r>
              <w:rPr>
                <w:rFonts w:ascii="Arial" w:cs="Arial" w:eastAsia="Arial" w:hAnsi="Arial"/>
                <w:sz w:val="13"/>
                <w:szCs w:val="13"/>
                <w:color w:val="auto"/>
              </w:rPr>
              <w:t>TRAK Acquisition Corp. (Warrants)</w:t>
            </w:r>
          </w:p>
        </w:tc>
        <w:tc>
          <w:tcPr>
            <w:tcW w:w="1460" w:type="dxa"/>
            <w:vAlign w:val="bottom"/>
          </w:tcPr>
          <w:p>
            <w:pPr>
              <w:ind w:left="860"/>
              <w:spacing w:after="0" w:line="133" w:lineRule="exact"/>
              <w:rPr>
                <w:sz w:val="20"/>
                <w:szCs w:val="20"/>
                <w:color w:val="auto"/>
              </w:rPr>
            </w:pPr>
            <w:r>
              <w:rPr>
                <w:rFonts w:ascii="Arial" w:cs="Arial" w:eastAsia="Arial" w:hAnsi="Arial"/>
                <w:sz w:val="13"/>
                <w:szCs w:val="13"/>
                <w:color w:val="auto"/>
                <w:w w:val="89"/>
              </w:rPr>
              <w:t>12/29/2019</w:t>
            </w:r>
          </w:p>
        </w:tc>
      </w:tr>
      <w:tr>
        <w:trPr>
          <w:trHeight w:val="165"/>
        </w:trPr>
        <w:tc>
          <w:tcPr>
            <w:tcW w:w="3640" w:type="dxa"/>
            <w:vAlign w:val="bottom"/>
          </w:tcPr>
          <w:p>
            <w:pPr>
              <w:spacing w:after="0" w:line="164" w:lineRule="exact"/>
              <w:rPr>
                <w:sz w:val="20"/>
                <w:szCs w:val="20"/>
                <w:color w:val="auto"/>
              </w:rPr>
            </w:pPr>
            <w:r>
              <w:rPr>
                <w:rFonts w:ascii="Arial" w:cs="Arial" w:eastAsia="Arial" w:hAnsi="Arial"/>
                <w:sz w:val="12"/>
                <w:szCs w:val="12"/>
                <w:color w:val="auto"/>
              </w:rPr>
              <w:t xml:space="preserve">Transportation 100 Holdco, L.L.C. </w:t>
            </w:r>
            <w:r>
              <w:rPr>
                <w:rFonts w:ascii="Arial" w:cs="Arial" w:eastAsia="Arial" w:hAnsi="Arial"/>
                <w:sz w:val="19"/>
                <w:szCs w:val="19"/>
                <w:color w:val="auto"/>
                <w:vertAlign w:val="superscript"/>
              </w:rPr>
              <w:t>(13)</w:t>
            </w:r>
          </w:p>
        </w:tc>
        <w:tc>
          <w:tcPr>
            <w:tcW w:w="1460" w:type="dxa"/>
            <w:vAlign w:val="bottom"/>
          </w:tcPr>
          <w:p>
            <w:pPr>
              <w:ind w:left="1060"/>
              <w:spacing w:after="0"/>
              <w:rPr>
                <w:sz w:val="20"/>
                <w:szCs w:val="20"/>
                <w:color w:val="auto"/>
              </w:rPr>
            </w:pPr>
            <w:r>
              <w:rPr>
                <w:rFonts w:ascii="Arial" w:cs="Arial" w:eastAsia="Arial" w:hAnsi="Arial"/>
                <w:sz w:val="13"/>
                <w:szCs w:val="13"/>
                <w:color w:val="auto"/>
              </w:rPr>
              <w:t>—</w:t>
            </w:r>
          </w:p>
        </w:tc>
      </w:tr>
      <w:tr>
        <w:trPr>
          <w:trHeight w:val="149"/>
        </w:trPr>
        <w:tc>
          <w:tcPr>
            <w:tcW w:w="3640" w:type="dxa"/>
            <w:vAlign w:val="bottom"/>
          </w:tcPr>
          <w:p>
            <w:pPr>
              <w:ind w:left="220"/>
              <w:spacing w:after="0"/>
              <w:rPr>
                <w:sz w:val="20"/>
                <w:szCs w:val="20"/>
                <w:color w:val="auto"/>
              </w:rPr>
            </w:pPr>
            <w:r>
              <w:rPr>
                <w:rFonts w:ascii="Arial" w:cs="Arial" w:eastAsia="Arial" w:hAnsi="Arial"/>
                <w:sz w:val="13"/>
                <w:szCs w:val="13"/>
                <w:color w:val="auto"/>
              </w:rPr>
              <w:t>(Greatwide Logistics Services, L.L.C.)</w:t>
            </w:r>
          </w:p>
        </w:tc>
        <w:tc>
          <w:tcPr>
            <w:tcW w:w="1460" w:type="dxa"/>
            <w:vAlign w:val="bottom"/>
          </w:tcPr>
          <w:p>
            <w:pPr>
              <w:spacing w:after="0"/>
              <w:rPr>
                <w:sz w:val="12"/>
                <w:szCs w:val="12"/>
                <w:color w:val="auto"/>
              </w:rPr>
            </w:pPr>
          </w:p>
        </w:tc>
      </w:tr>
      <w:tr>
        <w:trPr>
          <w:trHeight w:val="148"/>
        </w:trPr>
        <w:tc>
          <w:tcPr>
            <w:tcW w:w="3640" w:type="dxa"/>
            <w:vAlign w:val="bottom"/>
          </w:tcPr>
          <w:p>
            <w:pPr>
              <w:spacing w:after="0"/>
              <w:rPr>
                <w:sz w:val="20"/>
                <w:szCs w:val="20"/>
                <w:color w:val="auto"/>
              </w:rPr>
            </w:pPr>
            <w:r>
              <w:rPr>
                <w:rFonts w:ascii="Arial" w:cs="Arial" w:eastAsia="Arial" w:hAnsi="Arial"/>
                <w:sz w:val="13"/>
                <w:szCs w:val="13"/>
                <w:color w:val="auto"/>
              </w:rPr>
              <w:t>TZ Holdings, L.P.</w:t>
            </w:r>
          </w:p>
        </w:tc>
        <w:tc>
          <w:tcPr>
            <w:tcW w:w="1460" w:type="dxa"/>
            <w:vAlign w:val="bottom"/>
          </w:tcPr>
          <w:p>
            <w:pPr>
              <w:ind w:left="1060"/>
              <w:spacing w:after="0"/>
              <w:rPr>
                <w:sz w:val="20"/>
                <w:szCs w:val="20"/>
                <w:color w:val="auto"/>
              </w:rPr>
            </w:pPr>
            <w:r>
              <w:rPr>
                <w:rFonts w:ascii="Arial" w:cs="Arial" w:eastAsia="Arial" w:hAnsi="Arial"/>
                <w:sz w:val="13"/>
                <w:szCs w:val="13"/>
                <w:color w:val="auto"/>
              </w:rPr>
              <w:t>—</w:t>
            </w:r>
          </w:p>
        </w:tc>
      </w:tr>
      <w:tr>
        <w:trPr>
          <w:trHeight w:val="172"/>
        </w:trPr>
        <w:tc>
          <w:tcPr>
            <w:tcW w:w="3640" w:type="dxa"/>
            <w:vAlign w:val="bottom"/>
          </w:tcPr>
          <w:p>
            <w:pPr>
              <w:spacing w:after="0"/>
              <w:rPr>
                <w:sz w:val="20"/>
                <w:szCs w:val="20"/>
                <w:color w:val="auto"/>
              </w:rPr>
            </w:pPr>
            <w:r>
              <w:rPr>
                <w:rFonts w:ascii="Arial" w:cs="Arial" w:eastAsia="Arial" w:hAnsi="Arial"/>
                <w:sz w:val="13"/>
                <w:szCs w:val="13"/>
                <w:color w:val="auto"/>
              </w:rPr>
              <w:t>Verde Parent Holdings, Inc.</w:t>
            </w:r>
          </w:p>
        </w:tc>
        <w:tc>
          <w:tcPr>
            <w:tcW w:w="1460" w:type="dxa"/>
            <w:vAlign w:val="bottom"/>
          </w:tcPr>
          <w:p>
            <w:pPr>
              <w:ind w:left="1060"/>
              <w:spacing w:after="0"/>
              <w:rPr>
                <w:sz w:val="20"/>
                <w:szCs w:val="20"/>
                <w:color w:val="auto"/>
              </w:rPr>
            </w:pPr>
            <w:r>
              <w:rPr>
                <w:rFonts w:ascii="Arial" w:cs="Arial" w:eastAsia="Arial" w:hAnsi="Arial"/>
                <w:sz w:val="13"/>
                <w:szCs w:val="13"/>
                <w:color w:val="auto"/>
              </w:rPr>
              <w:t>—</w:t>
            </w:r>
          </w:p>
        </w:tc>
      </w:tr>
      <w:tr>
        <w:trPr>
          <w:trHeight w:val="273"/>
        </w:trPr>
        <w:tc>
          <w:tcPr>
            <w:tcW w:w="3640" w:type="dxa"/>
            <w:vAlign w:val="bottom"/>
          </w:tcPr>
          <w:p>
            <w:pPr>
              <w:spacing w:after="0"/>
              <w:rPr>
                <w:sz w:val="20"/>
                <w:szCs w:val="20"/>
                <w:color w:val="auto"/>
              </w:rPr>
            </w:pPr>
            <w:r>
              <w:rPr>
                <w:rFonts w:ascii="Arial" w:cs="Arial" w:eastAsia="Arial" w:hAnsi="Arial"/>
                <w:sz w:val="13"/>
                <w:szCs w:val="13"/>
                <w:color w:val="auto"/>
              </w:rPr>
              <w:t>Vestcom Parent Holdings, Inc.</w:t>
            </w:r>
          </w:p>
        </w:tc>
        <w:tc>
          <w:tcPr>
            <w:tcW w:w="1460" w:type="dxa"/>
            <w:vAlign w:val="bottom"/>
          </w:tcPr>
          <w:p>
            <w:pPr>
              <w:ind w:left="1060"/>
              <w:spacing w:after="0"/>
              <w:rPr>
                <w:sz w:val="20"/>
                <w:szCs w:val="20"/>
                <w:color w:val="auto"/>
              </w:rPr>
            </w:pPr>
            <w:r>
              <w:rPr>
                <w:rFonts w:ascii="Arial" w:cs="Arial" w:eastAsia="Arial" w:hAnsi="Arial"/>
                <w:sz w:val="13"/>
                <w:szCs w:val="13"/>
                <w:color w:val="auto"/>
              </w:rPr>
              <w:t>—</w:t>
            </w:r>
          </w:p>
        </w:tc>
      </w:tr>
      <w:tr>
        <w:trPr>
          <w:trHeight w:val="149"/>
        </w:trPr>
        <w:tc>
          <w:tcPr>
            <w:tcW w:w="3640" w:type="dxa"/>
            <w:vAlign w:val="bottom"/>
          </w:tcPr>
          <w:p>
            <w:pPr>
              <w:ind w:left="220"/>
              <w:spacing w:after="0"/>
              <w:rPr>
                <w:sz w:val="20"/>
                <w:szCs w:val="20"/>
                <w:color w:val="auto"/>
              </w:rPr>
            </w:pPr>
            <w:r>
              <w:rPr>
                <w:rFonts w:ascii="Arial" w:cs="Arial" w:eastAsia="Arial" w:hAnsi="Arial"/>
                <w:sz w:val="13"/>
                <w:szCs w:val="13"/>
                <w:color w:val="auto"/>
              </w:rPr>
              <w:t>(Vestcom International, Inc.)</w:t>
            </w:r>
          </w:p>
        </w:tc>
        <w:tc>
          <w:tcPr>
            <w:tcW w:w="1460" w:type="dxa"/>
            <w:vAlign w:val="bottom"/>
          </w:tcPr>
          <w:p>
            <w:pPr>
              <w:spacing w:after="0"/>
              <w:rPr>
                <w:sz w:val="12"/>
                <w:szCs w:val="12"/>
                <w:color w:val="auto"/>
              </w:rPr>
            </w:pPr>
          </w:p>
        </w:tc>
      </w:tr>
      <w:tr>
        <w:trPr>
          <w:trHeight w:val="159"/>
        </w:trPr>
        <w:tc>
          <w:tcPr>
            <w:tcW w:w="3640" w:type="dxa"/>
            <w:vAlign w:val="bottom"/>
          </w:tcPr>
          <w:p>
            <w:pPr>
              <w:spacing w:after="0"/>
              <w:rPr>
                <w:sz w:val="20"/>
                <w:szCs w:val="20"/>
                <w:color w:val="auto"/>
              </w:rPr>
            </w:pPr>
            <w:r>
              <w:rPr>
                <w:rFonts w:ascii="Arial" w:cs="Arial" w:eastAsia="Arial" w:hAnsi="Arial"/>
                <w:sz w:val="13"/>
                <w:szCs w:val="13"/>
                <w:color w:val="auto"/>
              </w:rPr>
              <w:t>VText Holdings, Inc. (Veritext Corp.)</w:t>
            </w:r>
          </w:p>
        </w:tc>
        <w:tc>
          <w:tcPr>
            <w:tcW w:w="1460" w:type="dxa"/>
            <w:vAlign w:val="bottom"/>
          </w:tcPr>
          <w:p>
            <w:pPr>
              <w:ind w:left="1060"/>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460" w:type="dxa"/>
            <w:vAlign w:val="bottom"/>
          </w:tcPr>
          <w:p>
            <w:pPr>
              <w:jc w:val="center"/>
              <w:ind w:right="173"/>
              <w:spacing w:after="0"/>
              <w:rPr>
                <w:sz w:val="20"/>
                <w:szCs w:val="20"/>
                <w:color w:val="auto"/>
              </w:rPr>
            </w:pPr>
            <w:r>
              <w:rPr>
                <w:rFonts w:ascii="Arial" w:cs="Arial" w:eastAsia="Arial" w:hAnsi="Arial"/>
                <w:sz w:val="13"/>
                <w:szCs w:val="13"/>
                <w:color w:val="auto"/>
              </w:rPr>
              <w:t>Distribution</w:t>
            </w:r>
          </w:p>
        </w:tc>
        <w:tc>
          <w:tcPr>
            <w:tcW w:w="780" w:type="dxa"/>
            <w:vAlign w:val="bottom"/>
          </w:tcPr>
          <w:p>
            <w:pPr>
              <w:ind w:left="240"/>
              <w:spacing w:after="0"/>
              <w:rPr>
                <w:sz w:val="20"/>
                <w:szCs w:val="20"/>
                <w:color w:val="auto"/>
              </w:rPr>
            </w:pPr>
            <w:r>
              <w:rPr>
                <w:rFonts w:ascii="Arial" w:cs="Arial" w:eastAsia="Arial" w:hAnsi="Arial"/>
                <w:sz w:val="13"/>
                <w:szCs w:val="13"/>
                <w:color w:val="auto"/>
              </w:rPr>
              <w:t>—</w:t>
            </w:r>
          </w:p>
        </w:tc>
        <w:tc>
          <w:tcPr>
            <w:tcW w:w="760" w:type="dxa"/>
            <w:vAlign w:val="bottom"/>
          </w:tcPr>
          <w:p>
            <w:pPr>
              <w:ind w:left="42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1,505,000</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1,505,000</w:t>
            </w:r>
          </w:p>
        </w:tc>
        <w:tc>
          <w:tcPr>
            <w:tcW w:w="860" w:type="dxa"/>
            <w:vAlign w:val="bottom"/>
          </w:tcPr>
          <w:p>
            <w:pPr>
              <w:jc w:val="right"/>
              <w:spacing w:after="0"/>
              <w:rPr>
                <w:sz w:val="20"/>
                <w:szCs w:val="20"/>
                <w:color w:val="auto"/>
              </w:rPr>
            </w:pPr>
            <w:r>
              <w:rPr>
                <w:rFonts w:ascii="Arial" w:cs="Arial" w:eastAsia="Arial" w:hAnsi="Arial"/>
                <w:sz w:val="13"/>
                <w:szCs w:val="13"/>
                <w:color w:val="auto"/>
              </w:rPr>
              <w:t>1,716,728</w:t>
            </w:r>
          </w:p>
        </w:tc>
      </w:tr>
      <w:tr>
        <w:trPr>
          <w:trHeight w:val="262"/>
        </w:trPr>
        <w:tc>
          <w:tcPr>
            <w:tcW w:w="1460" w:type="dxa"/>
            <w:vAlign w:val="bottom"/>
          </w:tcPr>
          <w:p>
            <w:pPr>
              <w:jc w:val="center"/>
              <w:ind w:right="193"/>
              <w:spacing w:after="0"/>
              <w:rPr>
                <w:sz w:val="20"/>
                <w:szCs w:val="20"/>
                <w:color w:val="auto"/>
              </w:rPr>
            </w:pPr>
            <w:r>
              <w:rPr>
                <w:rFonts w:ascii="Arial" w:cs="Arial" w:eastAsia="Arial" w:hAnsi="Arial"/>
                <w:sz w:val="13"/>
                <w:szCs w:val="13"/>
                <w:color w:val="auto"/>
                <w:w w:val="93"/>
              </w:rPr>
              <w:t>Healthcare, Education</w:t>
            </w:r>
          </w:p>
        </w:tc>
        <w:tc>
          <w:tcPr>
            <w:tcW w:w="780" w:type="dxa"/>
            <w:vAlign w:val="bottom"/>
          </w:tcPr>
          <w:p>
            <w:pPr>
              <w:ind w:left="240"/>
              <w:spacing w:after="0"/>
              <w:rPr>
                <w:sz w:val="20"/>
                <w:szCs w:val="20"/>
                <w:color w:val="auto"/>
              </w:rPr>
            </w:pPr>
            <w:r>
              <w:rPr>
                <w:rFonts w:ascii="Arial" w:cs="Arial" w:eastAsia="Arial" w:hAnsi="Arial"/>
                <w:sz w:val="13"/>
                <w:szCs w:val="13"/>
                <w:color w:val="auto"/>
              </w:rPr>
              <w:t>—</w:t>
            </w:r>
          </w:p>
        </w:tc>
        <w:tc>
          <w:tcPr>
            <w:tcW w:w="760" w:type="dxa"/>
            <w:vAlign w:val="bottom"/>
          </w:tcPr>
          <w:p>
            <w:pPr>
              <w:ind w:left="42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23,416</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234,693</w:t>
            </w:r>
          </w:p>
        </w:tc>
        <w:tc>
          <w:tcPr>
            <w:tcW w:w="860" w:type="dxa"/>
            <w:vAlign w:val="bottom"/>
          </w:tcPr>
          <w:p>
            <w:pPr>
              <w:jc w:val="right"/>
              <w:spacing w:after="0"/>
              <w:rPr>
                <w:sz w:val="20"/>
                <w:szCs w:val="20"/>
                <w:color w:val="auto"/>
              </w:rPr>
            </w:pPr>
            <w:r>
              <w:rPr>
                <w:rFonts w:ascii="Arial" w:cs="Arial" w:eastAsia="Arial" w:hAnsi="Arial"/>
                <w:sz w:val="13"/>
                <w:szCs w:val="13"/>
                <w:color w:val="auto"/>
              </w:rPr>
              <w:t>317,829</w:t>
            </w:r>
          </w:p>
        </w:tc>
      </w:tr>
      <w:tr>
        <w:trPr>
          <w:trHeight w:val="162"/>
        </w:trPr>
        <w:tc>
          <w:tcPr>
            <w:tcW w:w="1460" w:type="dxa"/>
            <w:vAlign w:val="bottom"/>
          </w:tcPr>
          <w:p>
            <w:pPr>
              <w:jc w:val="center"/>
              <w:ind w:right="173"/>
              <w:spacing w:after="0"/>
              <w:rPr>
                <w:sz w:val="20"/>
                <w:szCs w:val="20"/>
                <w:color w:val="auto"/>
              </w:rPr>
            </w:pPr>
            <w:r>
              <w:rPr>
                <w:rFonts w:ascii="Arial" w:cs="Arial" w:eastAsia="Arial" w:hAnsi="Arial"/>
                <w:sz w:val="13"/>
                <w:szCs w:val="13"/>
                <w:color w:val="auto"/>
                <w:w w:val="92"/>
              </w:rPr>
              <w:t>and Childcare</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48"/>
        </w:trPr>
        <w:tc>
          <w:tcPr>
            <w:tcW w:w="1460" w:type="dxa"/>
            <w:vAlign w:val="bottom"/>
          </w:tcPr>
          <w:p>
            <w:pPr>
              <w:jc w:val="center"/>
              <w:ind w:right="193"/>
              <w:spacing w:after="0"/>
              <w:rPr>
                <w:sz w:val="20"/>
                <w:szCs w:val="20"/>
                <w:color w:val="auto"/>
              </w:rPr>
            </w:pPr>
            <w:r>
              <w:rPr>
                <w:rFonts w:ascii="Arial" w:cs="Arial" w:eastAsia="Arial" w:hAnsi="Arial"/>
                <w:sz w:val="13"/>
                <w:szCs w:val="13"/>
                <w:color w:val="auto"/>
                <w:w w:val="93"/>
              </w:rPr>
              <w:t>Healthcare, Education</w:t>
            </w:r>
          </w:p>
        </w:tc>
        <w:tc>
          <w:tcPr>
            <w:tcW w:w="780" w:type="dxa"/>
            <w:vAlign w:val="bottom"/>
          </w:tcPr>
          <w:p>
            <w:pPr>
              <w:ind w:left="240"/>
              <w:spacing w:after="0"/>
              <w:rPr>
                <w:sz w:val="20"/>
                <w:szCs w:val="20"/>
                <w:color w:val="auto"/>
              </w:rPr>
            </w:pPr>
            <w:r>
              <w:rPr>
                <w:rFonts w:ascii="Arial" w:cs="Arial" w:eastAsia="Arial" w:hAnsi="Arial"/>
                <w:sz w:val="13"/>
                <w:szCs w:val="13"/>
                <w:color w:val="auto"/>
              </w:rPr>
              <w:t>—</w:t>
            </w:r>
          </w:p>
        </w:tc>
        <w:tc>
          <w:tcPr>
            <w:tcW w:w="760" w:type="dxa"/>
            <w:vAlign w:val="bottom"/>
          </w:tcPr>
          <w:p>
            <w:pPr>
              <w:ind w:left="42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11,708</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117,346</w:t>
            </w:r>
          </w:p>
        </w:tc>
        <w:tc>
          <w:tcPr>
            <w:tcW w:w="860" w:type="dxa"/>
            <w:vAlign w:val="bottom"/>
          </w:tcPr>
          <w:p>
            <w:pPr>
              <w:jc w:val="right"/>
              <w:spacing w:after="0"/>
              <w:rPr>
                <w:sz w:val="20"/>
                <w:szCs w:val="20"/>
                <w:color w:val="auto"/>
              </w:rPr>
            </w:pPr>
            <w:r>
              <w:rPr>
                <w:rFonts w:ascii="Arial" w:cs="Arial" w:eastAsia="Arial" w:hAnsi="Arial"/>
                <w:sz w:val="13"/>
                <w:szCs w:val="13"/>
                <w:color w:val="auto"/>
              </w:rPr>
              <w:t>158,915</w:t>
            </w:r>
          </w:p>
        </w:tc>
      </w:tr>
      <w:tr>
        <w:trPr>
          <w:trHeight w:val="162"/>
        </w:trPr>
        <w:tc>
          <w:tcPr>
            <w:tcW w:w="1460" w:type="dxa"/>
            <w:vAlign w:val="bottom"/>
          </w:tcPr>
          <w:p>
            <w:pPr>
              <w:jc w:val="center"/>
              <w:ind w:right="173"/>
              <w:spacing w:after="0"/>
              <w:rPr>
                <w:sz w:val="20"/>
                <w:szCs w:val="20"/>
                <w:color w:val="auto"/>
              </w:rPr>
            </w:pPr>
            <w:r>
              <w:rPr>
                <w:rFonts w:ascii="Arial" w:cs="Arial" w:eastAsia="Arial" w:hAnsi="Arial"/>
                <w:sz w:val="13"/>
                <w:szCs w:val="13"/>
                <w:color w:val="auto"/>
                <w:w w:val="92"/>
              </w:rPr>
              <w:t>and Childcare</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48"/>
        </w:trPr>
        <w:tc>
          <w:tcPr>
            <w:tcW w:w="1460" w:type="dxa"/>
            <w:vAlign w:val="bottom"/>
          </w:tcPr>
          <w:p>
            <w:pPr>
              <w:jc w:val="center"/>
              <w:ind w:right="173"/>
              <w:spacing w:after="0"/>
              <w:rPr>
                <w:sz w:val="20"/>
                <w:szCs w:val="20"/>
                <w:color w:val="auto"/>
              </w:rPr>
            </w:pPr>
            <w:r>
              <w:rPr>
                <w:rFonts w:ascii="Arial" w:cs="Arial" w:eastAsia="Arial" w:hAnsi="Arial"/>
                <w:sz w:val="13"/>
                <w:szCs w:val="13"/>
                <w:color w:val="auto"/>
                <w:w w:val="97"/>
              </w:rPr>
              <w:t>Electronics</w:t>
            </w:r>
          </w:p>
        </w:tc>
        <w:tc>
          <w:tcPr>
            <w:tcW w:w="780" w:type="dxa"/>
            <w:vAlign w:val="bottom"/>
          </w:tcPr>
          <w:p>
            <w:pPr>
              <w:ind w:left="240"/>
              <w:spacing w:after="0"/>
              <w:rPr>
                <w:sz w:val="20"/>
                <w:szCs w:val="20"/>
                <w:color w:val="auto"/>
              </w:rPr>
            </w:pPr>
            <w:r>
              <w:rPr>
                <w:rFonts w:ascii="Arial" w:cs="Arial" w:eastAsia="Arial" w:hAnsi="Arial"/>
                <w:sz w:val="13"/>
                <w:szCs w:val="13"/>
                <w:color w:val="auto"/>
              </w:rPr>
              <w:t>—</w:t>
            </w:r>
          </w:p>
        </w:tc>
        <w:tc>
          <w:tcPr>
            <w:tcW w:w="760" w:type="dxa"/>
            <w:vAlign w:val="bottom"/>
          </w:tcPr>
          <w:p>
            <w:pPr>
              <w:ind w:left="42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2,375</w:t>
            </w:r>
          </w:p>
        </w:tc>
        <w:tc>
          <w:tcPr>
            <w:tcW w:w="106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110,420</w:t>
            </w:r>
          </w:p>
        </w:tc>
      </w:tr>
      <w:tr>
        <w:trPr>
          <w:trHeight w:val="148"/>
        </w:trPr>
        <w:tc>
          <w:tcPr>
            <w:tcW w:w="1460" w:type="dxa"/>
            <w:vAlign w:val="bottom"/>
          </w:tcPr>
          <w:p>
            <w:pPr>
              <w:jc w:val="center"/>
              <w:ind w:right="173"/>
              <w:spacing w:after="0"/>
              <w:rPr>
                <w:sz w:val="20"/>
                <w:szCs w:val="20"/>
                <w:color w:val="auto"/>
              </w:rPr>
            </w:pPr>
            <w:r>
              <w:rPr>
                <w:rFonts w:ascii="Arial" w:cs="Arial" w:eastAsia="Arial" w:hAnsi="Arial"/>
                <w:sz w:val="13"/>
                <w:szCs w:val="13"/>
                <w:color w:val="auto"/>
                <w:w w:val="92"/>
              </w:rPr>
              <w:t>Business Services</w:t>
            </w:r>
          </w:p>
        </w:tc>
        <w:tc>
          <w:tcPr>
            <w:tcW w:w="780" w:type="dxa"/>
            <w:vAlign w:val="bottom"/>
          </w:tcPr>
          <w:p>
            <w:pPr>
              <w:ind w:left="240"/>
              <w:spacing w:after="0"/>
              <w:rPr>
                <w:sz w:val="20"/>
                <w:szCs w:val="20"/>
                <w:color w:val="auto"/>
              </w:rPr>
            </w:pPr>
            <w:r>
              <w:rPr>
                <w:rFonts w:ascii="Arial" w:cs="Arial" w:eastAsia="Arial" w:hAnsi="Arial"/>
                <w:sz w:val="13"/>
                <w:szCs w:val="13"/>
                <w:color w:val="auto"/>
              </w:rPr>
              <w:t>—</w:t>
            </w:r>
          </w:p>
        </w:tc>
        <w:tc>
          <w:tcPr>
            <w:tcW w:w="760" w:type="dxa"/>
            <w:vAlign w:val="bottom"/>
          </w:tcPr>
          <w:p>
            <w:pPr>
              <w:ind w:left="42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5,556</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1,904,036</w:t>
            </w:r>
          </w:p>
        </w:tc>
        <w:tc>
          <w:tcPr>
            <w:tcW w:w="860" w:type="dxa"/>
            <w:vAlign w:val="bottom"/>
          </w:tcPr>
          <w:p>
            <w:pPr>
              <w:jc w:val="right"/>
              <w:spacing w:after="0"/>
              <w:rPr>
                <w:sz w:val="20"/>
                <w:szCs w:val="20"/>
                <w:color w:val="auto"/>
              </w:rPr>
            </w:pPr>
            <w:r>
              <w:rPr>
                <w:rFonts w:ascii="Arial" w:cs="Arial" w:eastAsia="Arial" w:hAnsi="Arial"/>
                <w:sz w:val="13"/>
                <w:szCs w:val="13"/>
                <w:color w:val="auto"/>
              </w:rPr>
              <w:t>6,735,771</w:t>
            </w:r>
          </w:p>
        </w:tc>
      </w:tr>
      <w:tr>
        <w:trPr>
          <w:trHeight w:val="148"/>
        </w:trPr>
        <w:tc>
          <w:tcPr>
            <w:tcW w:w="1460" w:type="dxa"/>
            <w:vAlign w:val="bottom"/>
          </w:tcPr>
          <w:p>
            <w:pPr>
              <w:jc w:val="center"/>
              <w:ind w:right="173"/>
              <w:spacing w:after="0"/>
              <w:rPr>
                <w:sz w:val="20"/>
                <w:szCs w:val="20"/>
                <w:color w:val="auto"/>
              </w:rPr>
            </w:pPr>
            <w:r>
              <w:rPr>
                <w:rFonts w:ascii="Arial" w:cs="Arial" w:eastAsia="Arial" w:hAnsi="Arial"/>
                <w:sz w:val="13"/>
                <w:szCs w:val="13"/>
                <w:color w:val="auto"/>
                <w:w w:val="97"/>
              </w:rPr>
              <w:t>Other Media</w:t>
            </w:r>
          </w:p>
        </w:tc>
        <w:tc>
          <w:tcPr>
            <w:tcW w:w="780" w:type="dxa"/>
            <w:vAlign w:val="bottom"/>
          </w:tcPr>
          <w:p>
            <w:pPr>
              <w:ind w:left="240"/>
              <w:spacing w:after="0"/>
              <w:rPr>
                <w:sz w:val="20"/>
                <w:szCs w:val="20"/>
                <w:color w:val="auto"/>
              </w:rPr>
            </w:pPr>
            <w:r>
              <w:rPr>
                <w:rFonts w:ascii="Arial" w:cs="Arial" w:eastAsia="Arial" w:hAnsi="Arial"/>
                <w:sz w:val="13"/>
                <w:szCs w:val="13"/>
                <w:color w:val="auto"/>
              </w:rPr>
              <w:t>—</w:t>
            </w:r>
          </w:p>
        </w:tc>
        <w:tc>
          <w:tcPr>
            <w:tcW w:w="760" w:type="dxa"/>
            <w:vAlign w:val="bottom"/>
          </w:tcPr>
          <w:p>
            <w:pPr>
              <w:ind w:left="42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348,912</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2,443,050</w:t>
            </w:r>
          </w:p>
        </w:tc>
        <w:tc>
          <w:tcPr>
            <w:tcW w:w="860" w:type="dxa"/>
            <w:vAlign w:val="bottom"/>
          </w:tcPr>
          <w:p>
            <w:pPr>
              <w:jc w:val="right"/>
              <w:spacing w:after="0"/>
              <w:rPr>
                <w:sz w:val="20"/>
                <w:szCs w:val="20"/>
                <w:color w:val="auto"/>
              </w:rPr>
            </w:pPr>
            <w:r>
              <w:rPr>
                <w:rFonts w:ascii="Arial" w:cs="Arial" w:eastAsia="Arial" w:hAnsi="Arial"/>
                <w:sz w:val="13"/>
                <w:szCs w:val="13"/>
                <w:color w:val="auto"/>
              </w:rPr>
              <w:t>2,628,634</w:t>
            </w:r>
          </w:p>
        </w:tc>
      </w:tr>
      <w:tr>
        <w:trPr>
          <w:trHeight w:val="148"/>
        </w:trPr>
        <w:tc>
          <w:tcPr>
            <w:tcW w:w="1460" w:type="dxa"/>
            <w:vAlign w:val="bottom"/>
          </w:tcPr>
          <w:p>
            <w:pPr>
              <w:jc w:val="center"/>
              <w:ind w:right="193"/>
              <w:spacing w:after="0"/>
              <w:rPr>
                <w:sz w:val="20"/>
                <w:szCs w:val="20"/>
                <w:color w:val="auto"/>
              </w:rPr>
            </w:pPr>
            <w:r>
              <w:rPr>
                <w:rFonts w:ascii="Arial" w:cs="Arial" w:eastAsia="Arial" w:hAnsi="Arial"/>
                <w:sz w:val="13"/>
                <w:szCs w:val="13"/>
                <w:color w:val="auto"/>
                <w:w w:val="93"/>
              </w:rPr>
              <w:t>Healthcare, Education</w:t>
            </w:r>
          </w:p>
        </w:tc>
        <w:tc>
          <w:tcPr>
            <w:tcW w:w="780" w:type="dxa"/>
            <w:vAlign w:val="bottom"/>
          </w:tcPr>
          <w:p>
            <w:pPr>
              <w:ind w:left="240"/>
              <w:spacing w:after="0"/>
              <w:rPr>
                <w:sz w:val="20"/>
                <w:szCs w:val="20"/>
                <w:color w:val="auto"/>
              </w:rPr>
            </w:pPr>
            <w:r>
              <w:rPr>
                <w:rFonts w:ascii="Arial" w:cs="Arial" w:eastAsia="Arial" w:hAnsi="Arial"/>
                <w:sz w:val="13"/>
                <w:szCs w:val="13"/>
                <w:color w:val="auto"/>
              </w:rPr>
              <w:t>—</w:t>
            </w:r>
          </w:p>
        </w:tc>
        <w:tc>
          <w:tcPr>
            <w:tcW w:w="760" w:type="dxa"/>
            <w:vAlign w:val="bottom"/>
          </w:tcPr>
          <w:p>
            <w:pPr>
              <w:ind w:left="42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1,079,920</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1,236,832</w:t>
            </w:r>
          </w:p>
        </w:tc>
        <w:tc>
          <w:tcPr>
            <w:tcW w:w="860" w:type="dxa"/>
            <w:vAlign w:val="bottom"/>
          </w:tcPr>
          <w:p>
            <w:pPr>
              <w:jc w:val="right"/>
              <w:spacing w:after="0"/>
              <w:rPr>
                <w:sz w:val="20"/>
                <w:szCs w:val="20"/>
                <w:color w:val="auto"/>
              </w:rPr>
            </w:pPr>
            <w:r>
              <w:rPr>
                <w:rFonts w:ascii="Arial" w:cs="Arial" w:eastAsia="Arial" w:hAnsi="Arial"/>
                <w:sz w:val="13"/>
                <w:szCs w:val="13"/>
                <w:color w:val="auto"/>
              </w:rPr>
              <w:t>11,859,821</w:t>
            </w:r>
          </w:p>
        </w:tc>
      </w:tr>
      <w:tr>
        <w:trPr>
          <w:trHeight w:val="162"/>
        </w:trPr>
        <w:tc>
          <w:tcPr>
            <w:tcW w:w="1460" w:type="dxa"/>
            <w:vAlign w:val="bottom"/>
          </w:tcPr>
          <w:p>
            <w:pPr>
              <w:jc w:val="center"/>
              <w:ind w:right="173"/>
              <w:spacing w:after="0"/>
              <w:rPr>
                <w:sz w:val="20"/>
                <w:szCs w:val="20"/>
                <w:color w:val="auto"/>
              </w:rPr>
            </w:pPr>
            <w:r>
              <w:rPr>
                <w:rFonts w:ascii="Arial" w:cs="Arial" w:eastAsia="Arial" w:hAnsi="Arial"/>
                <w:sz w:val="13"/>
                <w:szCs w:val="13"/>
                <w:color w:val="auto"/>
                <w:w w:val="92"/>
              </w:rPr>
              <w:t>and Childcare</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48"/>
        </w:trPr>
        <w:tc>
          <w:tcPr>
            <w:tcW w:w="1460" w:type="dxa"/>
            <w:vAlign w:val="bottom"/>
          </w:tcPr>
          <w:p>
            <w:pPr>
              <w:jc w:val="center"/>
              <w:ind w:right="193"/>
              <w:spacing w:after="0"/>
              <w:rPr>
                <w:sz w:val="20"/>
                <w:szCs w:val="20"/>
                <w:color w:val="auto"/>
              </w:rPr>
            </w:pPr>
            <w:r>
              <w:rPr>
                <w:rFonts w:ascii="Arial" w:cs="Arial" w:eastAsia="Arial" w:hAnsi="Arial"/>
                <w:sz w:val="13"/>
                <w:szCs w:val="13"/>
                <w:color w:val="auto"/>
                <w:w w:val="93"/>
              </w:rPr>
              <w:t>Healthcare, Education</w:t>
            </w:r>
          </w:p>
        </w:tc>
        <w:tc>
          <w:tcPr>
            <w:tcW w:w="780" w:type="dxa"/>
            <w:vAlign w:val="bottom"/>
          </w:tcPr>
          <w:p>
            <w:pPr>
              <w:ind w:left="240"/>
              <w:spacing w:after="0"/>
              <w:rPr>
                <w:sz w:val="20"/>
                <w:szCs w:val="20"/>
                <w:color w:val="auto"/>
              </w:rPr>
            </w:pPr>
            <w:r>
              <w:rPr>
                <w:rFonts w:ascii="Arial" w:cs="Arial" w:eastAsia="Arial" w:hAnsi="Arial"/>
                <w:sz w:val="13"/>
                <w:szCs w:val="13"/>
                <w:color w:val="auto"/>
              </w:rPr>
              <w:t>—</w:t>
            </w:r>
          </w:p>
        </w:tc>
        <w:tc>
          <w:tcPr>
            <w:tcW w:w="760" w:type="dxa"/>
            <w:vAlign w:val="bottom"/>
          </w:tcPr>
          <w:p>
            <w:pPr>
              <w:ind w:left="42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1,079,920</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1,028,807</w:t>
            </w:r>
          </w:p>
        </w:tc>
        <w:tc>
          <w:tcPr>
            <w:tcW w:w="860" w:type="dxa"/>
            <w:vAlign w:val="bottom"/>
          </w:tcPr>
          <w:p>
            <w:pPr>
              <w:jc w:val="right"/>
              <w:spacing w:after="0"/>
              <w:rPr>
                <w:sz w:val="20"/>
                <w:szCs w:val="20"/>
                <w:color w:val="auto"/>
              </w:rPr>
            </w:pPr>
            <w:r>
              <w:rPr>
                <w:rFonts w:ascii="Arial" w:cs="Arial" w:eastAsia="Arial" w:hAnsi="Arial"/>
                <w:sz w:val="13"/>
                <w:szCs w:val="13"/>
                <w:color w:val="auto"/>
              </w:rPr>
              <w:t>1,028,807</w:t>
            </w:r>
          </w:p>
        </w:tc>
      </w:tr>
      <w:tr>
        <w:trPr>
          <w:trHeight w:val="162"/>
        </w:trPr>
        <w:tc>
          <w:tcPr>
            <w:tcW w:w="1460" w:type="dxa"/>
            <w:vAlign w:val="bottom"/>
          </w:tcPr>
          <w:p>
            <w:pPr>
              <w:jc w:val="center"/>
              <w:ind w:right="173"/>
              <w:spacing w:after="0"/>
              <w:rPr>
                <w:sz w:val="20"/>
                <w:szCs w:val="20"/>
                <w:color w:val="auto"/>
              </w:rPr>
            </w:pPr>
            <w:r>
              <w:rPr>
                <w:rFonts w:ascii="Arial" w:cs="Arial" w:eastAsia="Arial" w:hAnsi="Arial"/>
                <w:sz w:val="13"/>
                <w:szCs w:val="13"/>
                <w:color w:val="auto"/>
                <w:w w:val="92"/>
              </w:rPr>
              <w:t>and Childcare</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49"/>
        </w:trPr>
        <w:tc>
          <w:tcPr>
            <w:tcW w:w="1460" w:type="dxa"/>
            <w:vAlign w:val="bottom"/>
          </w:tcPr>
          <w:p>
            <w:pPr>
              <w:jc w:val="center"/>
              <w:ind w:right="173"/>
              <w:spacing w:after="0"/>
              <w:rPr>
                <w:sz w:val="20"/>
                <w:szCs w:val="20"/>
                <w:color w:val="auto"/>
              </w:rPr>
            </w:pPr>
            <w:r>
              <w:rPr>
                <w:rFonts w:ascii="Arial" w:cs="Arial" w:eastAsia="Arial" w:hAnsi="Arial"/>
                <w:sz w:val="13"/>
                <w:szCs w:val="13"/>
                <w:color w:val="auto"/>
                <w:w w:val="93"/>
              </w:rPr>
              <w:t>Education</w:t>
            </w:r>
          </w:p>
        </w:tc>
        <w:tc>
          <w:tcPr>
            <w:tcW w:w="780" w:type="dxa"/>
            <w:vAlign w:val="bottom"/>
          </w:tcPr>
          <w:p>
            <w:pPr>
              <w:ind w:left="240"/>
              <w:spacing w:after="0"/>
              <w:rPr>
                <w:sz w:val="20"/>
                <w:szCs w:val="20"/>
                <w:color w:val="auto"/>
              </w:rPr>
            </w:pPr>
            <w:r>
              <w:rPr>
                <w:rFonts w:ascii="Arial" w:cs="Arial" w:eastAsia="Arial" w:hAnsi="Arial"/>
                <w:sz w:val="13"/>
                <w:szCs w:val="13"/>
                <w:color w:val="auto"/>
              </w:rPr>
              <w:t>—</w:t>
            </w:r>
          </w:p>
        </w:tc>
        <w:tc>
          <w:tcPr>
            <w:tcW w:w="760" w:type="dxa"/>
            <w:vAlign w:val="bottom"/>
          </w:tcPr>
          <w:p>
            <w:pPr>
              <w:ind w:left="42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1,267</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779,920</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172"/>
        </w:trPr>
        <w:tc>
          <w:tcPr>
            <w:tcW w:w="1460" w:type="dxa"/>
            <w:vAlign w:val="bottom"/>
          </w:tcPr>
          <w:p>
            <w:pPr>
              <w:jc w:val="center"/>
              <w:ind w:right="173"/>
              <w:spacing w:after="0"/>
              <w:rPr>
                <w:sz w:val="20"/>
                <w:szCs w:val="20"/>
                <w:color w:val="auto"/>
              </w:rPr>
            </w:pPr>
            <w:r>
              <w:rPr>
                <w:rFonts w:ascii="Arial" w:cs="Arial" w:eastAsia="Arial" w:hAnsi="Arial"/>
                <w:sz w:val="13"/>
                <w:szCs w:val="13"/>
                <w:color w:val="auto"/>
                <w:w w:val="96"/>
              </w:rPr>
              <w:t>Oil and Gas</w:t>
            </w:r>
          </w:p>
        </w:tc>
        <w:tc>
          <w:tcPr>
            <w:tcW w:w="780" w:type="dxa"/>
            <w:vAlign w:val="bottom"/>
          </w:tcPr>
          <w:p>
            <w:pPr>
              <w:ind w:left="240"/>
              <w:spacing w:after="0"/>
              <w:rPr>
                <w:sz w:val="20"/>
                <w:szCs w:val="20"/>
                <w:color w:val="auto"/>
              </w:rPr>
            </w:pPr>
            <w:r>
              <w:rPr>
                <w:rFonts w:ascii="Arial" w:cs="Arial" w:eastAsia="Arial" w:hAnsi="Arial"/>
                <w:sz w:val="13"/>
                <w:szCs w:val="13"/>
                <w:color w:val="auto"/>
              </w:rPr>
              <w:t>—</w:t>
            </w:r>
          </w:p>
        </w:tc>
        <w:tc>
          <w:tcPr>
            <w:tcW w:w="760" w:type="dxa"/>
            <w:vAlign w:val="bottom"/>
          </w:tcPr>
          <w:p>
            <w:pPr>
              <w:ind w:left="42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1,221,932</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3,239,999</w:t>
            </w:r>
          </w:p>
        </w:tc>
        <w:tc>
          <w:tcPr>
            <w:tcW w:w="860" w:type="dxa"/>
            <w:vAlign w:val="bottom"/>
          </w:tcPr>
          <w:p>
            <w:pPr>
              <w:jc w:val="right"/>
              <w:spacing w:after="0"/>
              <w:rPr>
                <w:sz w:val="20"/>
                <w:szCs w:val="20"/>
                <w:color w:val="auto"/>
              </w:rPr>
            </w:pPr>
            <w:r>
              <w:rPr>
                <w:rFonts w:ascii="Arial" w:cs="Arial" w:eastAsia="Arial" w:hAnsi="Arial"/>
                <w:sz w:val="13"/>
                <w:szCs w:val="13"/>
                <w:color w:val="auto"/>
              </w:rPr>
              <w:t>4,875,509</w:t>
            </w:r>
          </w:p>
        </w:tc>
      </w:tr>
      <w:tr>
        <w:trPr>
          <w:trHeight w:val="297"/>
        </w:trPr>
        <w:tc>
          <w:tcPr>
            <w:tcW w:w="1460" w:type="dxa"/>
            <w:vAlign w:val="bottom"/>
          </w:tcPr>
          <w:p>
            <w:pPr>
              <w:jc w:val="center"/>
              <w:ind w:right="173"/>
              <w:spacing w:after="0"/>
              <w:rPr>
                <w:sz w:val="20"/>
                <w:szCs w:val="20"/>
                <w:color w:val="auto"/>
              </w:rPr>
            </w:pPr>
            <w:r>
              <w:rPr>
                <w:rFonts w:ascii="Arial" w:cs="Arial" w:eastAsia="Arial" w:hAnsi="Arial"/>
                <w:sz w:val="13"/>
                <w:szCs w:val="13"/>
                <w:color w:val="auto"/>
                <w:w w:val="96"/>
              </w:rPr>
              <w:t>Oil and Gas</w:t>
            </w:r>
          </w:p>
        </w:tc>
        <w:tc>
          <w:tcPr>
            <w:tcW w:w="780" w:type="dxa"/>
            <w:vAlign w:val="bottom"/>
          </w:tcPr>
          <w:p>
            <w:pPr>
              <w:ind w:left="240"/>
              <w:spacing w:after="0"/>
              <w:rPr>
                <w:sz w:val="20"/>
                <w:szCs w:val="20"/>
                <w:color w:val="auto"/>
              </w:rPr>
            </w:pPr>
            <w:r>
              <w:rPr>
                <w:rFonts w:ascii="Arial" w:cs="Arial" w:eastAsia="Arial" w:hAnsi="Arial"/>
                <w:sz w:val="13"/>
                <w:szCs w:val="13"/>
                <w:color w:val="auto"/>
              </w:rPr>
              <w:t>—</w:t>
            </w:r>
          </w:p>
        </w:tc>
        <w:tc>
          <w:tcPr>
            <w:tcW w:w="760" w:type="dxa"/>
            <w:vAlign w:val="bottom"/>
          </w:tcPr>
          <w:p>
            <w:pPr>
              <w:ind w:left="42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122,193</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105,697</w:t>
            </w:r>
          </w:p>
        </w:tc>
        <w:tc>
          <w:tcPr>
            <w:tcW w:w="860" w:type="dxa"/>
            <w:vAlign w:val="bottom"/>
          </w:tcPr>
          <w:p>
            <w:pPr>
              <w:jc w:val="right"/>
              <w:spacing w:after="0"/>
              <w:rPr>
                <w:sz w:val="20"/>
                <w:szCs w:val="20"/>
                <w:color w:val="auto"/>
              </w:rPr>
            </w:pPr>
            <w:r>
              <w:rPr>
                <w:rFonts w:ascii="Arial" w:cs="Arial" w:eastAsia="Arial" w:hAnsi="Arial"/>
                <w:sz w:val="13"/>
                <w:szCs w:val="13"/>
                <w:color w:val="auto"/>
              </w:rPr>
              <w:t>8,572</w:t>
            </w:r>
          </w:p>
        </w:tc>
      </w:tr>
      <w:tr>
        <w:trPr>
          <w:trHeight w:val="297"/>
        </w:trPr>
        <w:tc>
          <w:tcPr>
            <w:tcW w:w="1460" w:type="dxa"/>
            <w:vAlign w:val="bottom"/>
          </w:tcPr>
          <w:p>
            <w:pPr>
              <w:jc w:val="center"/>
              <w:ind w:right="173"/>
              <w:spacing w:after="0"/>
              <w:rPr>
                <w:sz w:val="20"/>
                <w:szCs w:val="20"/>
                <w:color w:val="auto"/>
              </w:rPr>
            </w:pPr>
            <w:r>
              <w:rPr>
                <w:rFonts w:ascii="Arial" w:cs="Arial" w:eastAsia="Arial" w:hAnsi="Arial"/>
                <w:sz w:val="13"/>
                <w:szCs w:val="13"/>
                <w:color w:val="auto"/>
              </w:rPr>
              <w:t>Distribution</w:t>
            </w:r>
          </w:p>
        </w:tc>
        <w:tc>
          <w:tcPr>
            <w:tcW w:w="780" w:type="dxa"/>
            <w:vAlign w:val="bottom"/>
          </w:tcPr>
          <w:p>
            <w:pPr>
              <w:ind w:left="240"/>
              <w:spacing w:after="0"/>
              <w:rPr>
                <w:sz w:val="20"/>
                <w:szCs w:val="20"/>
                <w:color w:val="auto"/>
              </w:rPr>
            </w:pPr>
            <w:r>
              <w:rPr>
                <w:rFonts w:ascii="Arial" w:cs="Arial" w:eastAsia="Arial" w:hAnsi="Arial"/>
                <w:sz w:val="13"/>
                <w:szCs w:val="13"/>
                <w:color w:val="auto"/>
              </w:rPr>
              <w:t>—</w:t>
            </w:r>
          </w:p>
        </w:tc>
        <w:tc>
          <w:tcPr>
            <w:tcW w:w="760" w:type="dxa"/>
            <w:vAlign w:val="bottom"/>
          </w:tcPr>
          <w:p>
            <w:pPr>
              <w:ind w:left="42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1,850</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1,850,294</w:t>
            </w:r>
          </w:p>
        </w:tc>
        <w:tc>
          <w:tcPr>
            <w:tcW w:w="860" w:type="dxa"/>
            <w:vAlign w:val="bottom"/>
          </w:tcPr>
          <w:p>
            <w:pPr>
              <w:jc w:val="right"/>
              <w:spacing w:after="0"/>
              <w:rPr>
                <w:sz w:val="20"/>
                <w:szCs w:val="20"/>
                <w:color w:val="auto"/>
              </w:rPr>
            </w:pPr>
            <w:r>
              <w:rPr>
                <w:rFonts w:ascii="Arial" w:cs="Arial" w:eastAsia="Arial" w:hAnsi="Arial"/>
                <w:sz w:val="13"/>
                <w:szCs w:val="13"/>
                <w:color w:val="auto"/>
              </w:rPr>
              <w:t>1,939,841</w:t>
            </w:r>
          </w:p>
        </w:tc>
      </w:tr>
      <w:tr>
        <w:trPr>
          <w:trHeight w:val="273"/>
        </w:trPr>
        <w:tc>
          <w:tcPr>
            <w:tcW w:w="1460" w:type="dxa"/>
            <w:vAlign w:val="bottom"/>
          </w:tcPr>
          <w:p>
            <w:pPr>
              <w:jc w:val="center"/>
              <w:ind w:right="193"/>
              <w:spacing w:after="0"/>
              <w:rPr>
                <w:sz w:val="20"/>
                <w:szCs w:val="20"/>
                <w:color w:val="auto"/>
              </w:rPr>
            </w:pPr>
            <w:r>
              <w:rPr>
                <w:rFonts w:ascii="Arial" w:cs="Arial" w:eastAsia="Arial" w:hAnsi="Arial"/>
                <w:sz w:val="13"/>
                <w:szCs w:val="13"/>
                <w:color w:val="auto"/>
                <w:w w:val="91"/>
              </w:rPr>
              <w:t>Personal, Food and</w:t>
            </w:r>
          </w:p>
        </w:tc>
        <w:tc>
          <w:tcPr>
            <w:tcW w:w="780" w:type="dxa"/>
            <w:vAlign w:val="bottom"/>
          </w:tcPr>
          <w:p>
            <w:pPr>
              <w:ind w:left="240"/>
              <w:spacing w:after="0"/>
              <w:rPr>
                <w:sz w:val="20"/>
                <w:szCs w:val="20"/>
                <w:color w:val="auto"/>
              </w:rPr>
            </w:pPr>
            <w:r>
              <w:rPr>
                <w:rFonts w:ascii="Arial" w:cs="Arial" w:eastAsia="Arial" w:hAnsi="Arial"/>
                <w:sz w:val="13"/>
                <w:szCs w:val="13"/>
                <w:color w:val="auto"/>
              </w:rPr>
              <w:t>—</w:t>
            </w:r>
          </w:p>
        </w:tc>
        <w:tc>
          <w:tcPr>
            <w:tcW w:w="760" w:type="dxa"/>
            <w:vAlign w:val="bottom"/>
          </w:tcPr>
          <w:p>
            <w:pPr>
              <w:ind w:left="42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3,000</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3,000,000</w:t>
            </w:r>
          </w:p>
        </w:tc>
        <w:tc>
          <w:tcPr>
            <w:tcW w:w="860" w:type="dxa"/>
            <w:vAlign w:val="bottom"/>
          </w:tcPr>
          <w:p>
            <w:pPr>
              <w:jc w:val="right"/>
              <w:spacing w:after="0"/>
              <w:rPr>
                <w:sz w:val="20"/>
                <w:szCs w:val="20"/>
                <w:color w:val="auto"/>
              </w:rPr>
            </w:pPr>
            <w:r>
              <w:rPr>
                <w:rFonts w:ascii="Arial" w:cs="Arial" w:eastAsia="Arial" w:hAnsi="Arial"/>
                <w:sz w:val="13"/>
                <w:szCs w:val="13"/>
                <w:color w:val="auto"/>
              </w:rPr>
              <w:t>3,262,232</w:t>
            </w:r>
          </w:p>
        </w:tc>
      </w:tr>
      <w:tr>
        <w:trPr>
          <w:trHeight w:val="148"/>
        </w:trPr>
        <w:tc>
          <w:tcPr>
            <w:tcW w:w="1460" w:type="dxa"/>
            <w:vAlign w:val="bottom"/>
          </w:tcPr>
          <w:p>
            <w:pPr>
              <w:jc w:val="center"/>
              <w:ind w:right="173"/>
              <w:spacing w:after="0"/>
              <w:rPr>
                <w:sz w:val="20"/>
                <w:szCs w:val="20"/>
                <w:color w:val="auto"/>
              </w:rPr>
            </w:pPr>
            <w:r>
              <w:rPr>
                <w:rFonts w:ascii="Arial" w:cs="Arial" w:eastAsia="Arial" w:hAnsi="Arial"/>
                <w:sz w:val="13"/>
                <w:szCs w:val="13"/>
                <w:color w:val="auto"/>
                <w:w w:val="94"/>
              </w:rPr>
              <w:t>Miscellaneous</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9"/>
        </w:trPr>
        <w:tc>
          <w:tcPr>
            <w:tcW w:w="1460" w:type="dxa"/>
            <w:vAlign w:val="bottom"/>
          </w:tcPr>
          <w:p>
            <w:pPr>
              <w:jc w:val="center"/>
              <w:ind w:right="173"/>
              <w:spacing w:after="0"/>
              <w:rPr>
                <w:sz w:val="20"/>
                <w:szCs w:val="20"/>
                <w:color w:val="auto"/>
              </w:rPr>
            </w:pPr>
            <w:r>
              <w:rPr>
                <w:rFonts w:ascii="Arial" w:cs="Arial" w:eastAsia="Arial" w:hAnsi="Arial"/>
                <w:sz w:val="13"/>
                <w:szCs w:val="13"/>
                <w:color w:val="auto"/>
                <w:w w:val="92"/>
              </w:rPr>
              <w:t>Services</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8"/>
        </w:trPr>
        <w:tc>
          <w:tcPr>
            <w:tcW w:w="1460" w:type="dxa"/>
            <w:vAlign w:val="bottom"/>
          </w:tcPr>
          <w:p>
            <w:pPr>
              <w:jc w:val="center"/>
              <w:ind w:right="193"/>
              <w:spacing w:after="0"/>
              <w:rPr>
                <w:sz w:val="20"/>
                <w:szCs w:val="20"/>
                <w:color w:val="auto"/>
              </w:rPr>
            </w:pPr>
            <w:r>
              <w:rPr>
                <w:rFonts w:ascii="Arial" w:cs="Arial" w:eastAsia="Arial" w:hAnsi="Arial"/>
                <w:sz w:val="13"/>
                <w:szCs w:val="13"/>
                <w:color w:val="auto"/>
                <w:w w:val="93"/>
              </w:rPr>
              <w:t>Healthcare, Education</w:t>
            </w:r>
          </w:p>
        </w:tc>
        <w:tc>
          <w:tcPr>
            <w:tcW w:w="780" w:type="dxa"/>
            <w:vAlign w:val="bottom"/>
          </w:tcPr>
          <w:p>
            <w:pPr>
              <w:ind w:left="240"/>
              <w:spacing w:after="0"/>
              <w:rPr>
                <w:sz w:val="20"/>
                <w:szCs w:val="20"/>
                <w:color w:val="auto"/>
              </w:rPr>
            </w:pPr>
            <w:r>
              <w:rPr>
                <w:rFonts w:ascii="Arial" w:cs="Arial" w:eastAsia="Arial" w:hAnsi="Arial"/>
                <w:sz w:val="13"/>
                <w:szCs w:val="13"/>
                <w:color w:val="auto"/>
              </w:rPr>
              <w:t>—</w:t>
            </w:r>
          </w:p>
        </w:tc>
        <w:tc>
          <w:tcPr>
            <w:tcW w:w="760" w:type="dxa"/>
            <w:vAlign w:val="bottom"/>
          </w:tcPr>
          <w:p>
            <w:pPr>
              <w:ind w:left="42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20,000</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2,000,000</w:t>
            </w:r>
          </w:p>
        </w:tc>
        <w:tc>
          <w:tcPr>
            <w:tcW w:w="860" w:type="dxa"/>
            <w:vAlign w:val="bottom"/>
          </w:tcPr>
          <w:p>
            <w:pPr>
              <w:jc w:val="right"/>
              <w:spacing w:after="0"/>
              <w:rPr>
                <w:sz w:val="20"/>
                <w:szCs w:val="20"/>
                <w:color w:val="auto"/>
              </w:rPr>
            </w:pPr>
            <w:r>
              <w:rPr>
                <w:rFonts w:ascii="Arial" w:cs="Arial" w:eastAsia="Arial" w:hAnsi="Arial"/>
                <w:sz w:val="13"/>
                <w:szCs w:val="13"/>
                <w:color w:val="auto"/>
              </w:rPr>
              <w:t>2,236,480</w:t>
            </w:r>
          </w:p>
        </w:tc>
      </w:tr>
      <w:tr>
        <w:trPr>
          <w:trHeight w:val="162"/>
        </w:trPr>
        <w:tc>
          <w:tcPr>
            <w:tcW w:w="1460" w:type="dxa"/>
            <w:vAlign w:val="bottom"/>
          </w:tcPr>
          <w:p>
            <w:pPr>
              <w:jc w:val="center"/>
              <w:ind w:right="173"/>
              <w:spacing w:after="0"/>
              <w:rPr>
                <w:sz w:val="20"/>
                <w:szCs w:val="20"/>
                <w:color w:val="auto"/>
              </w:rPr>
            </w:pPr>
            <w:r>
              <w:rPr>
                <w:rFonts w:ascii="Arial" w:cs="Arial" w:eastAsia="Arial" w:hAnsi="Arial"/>
                <w:sz w:val="13"/>
                <w:szCs w:val="13"/>
                <w:color w:val="auto"/>
                <w:w w:val="92"/>
              </w:rPr>
              <w:t>and Childcare</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48"/>
        </w:trPr>
        <w:tc>
          <w:tcPr>
            <w:tcW w:w="1460" w:type="dxa"/>
            <w:vAlign w:val="bottom"/>
          </w:tcPr>
          <w:p>
            <w:pPr>
              <w:jc w:val="center"/>
              <w:ind w:right="193"/>
              <w:spacing w:after="0"/>
              <w:rPr>
                <w:sz w:val="20"/>
                <w:szCs w:val="20"/>
                <w:color w:val="auto"/>
              </w:rPr>
            </w:pPr>
            <w:r>
              <w:rPr>
                <w:rFonts w:ascii="Arial" w:cs="Arial" w:eastAsia="Arial" w:hAnsi="Arial"/>
                <w:sz w:val="13"/>
                <w:szCs w:val="13"/>
                <w:color w:val="auto"/>
                <w:w w:val="91"/>
              </w:rPr>
              <w:t>Aerospace and</w:t>
            </w:r>
          </w:p>
        </w:tc>
        <w:tc>
          <w:tcPr>
            <w:tcW w:w="780" w:type="dxa"/>
            <w:vAlign w:val="bottom"/>
          </w:tcPr>
          <w:p>
            <w:pPr>
              <w:ind w:left="240"/>
              <w:spacing w:after="0"/>
              <w:rPr>
                <w:sz w:val="20"/>
                <w:szCs w:val="20"/>
                <w:color w:val="auto"/>
              </w:rPr>
            </w:pPr>
            <w:r>
              <w:rPr>
                <w:rFonts w:ascii="Arial" w:cs="Arial" w:eastAsia="Arial" w:hAnsi="Arial"/>
                <w:sz w:val="13"/>
                <w:szCs w:val="13"/>
                <w:color w:val="auto"/>
              </w:rPr>
              <w:t>—</w:t>
            </w:r>
          </w:p>
        </w:tc>
        <w:tc>
          <w:tcPr>
            <w:tcW w:w="760" w:type="dxa"/>
            <w:vAlign w:val="bottom"/>
          </w:tcPr>
          <w:p>
            <w:pPr>
              <w:ind w:left="42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20,000</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20,000</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148"/>
        </w:trPr>
        <w:tc>
          <w:tcPr>
            <w:tcW w:w="1460" w:type="dxa"/>
            <w:vAlign w:val="bottom"/>
          </w:tcPr>
          <w:p>
            <w:pPr>
              <w:jc w:val="center"/>
              <w:ind w:right="193"/>
              <w:spacing w:after="0"/>
              <w:rPr>
                <w:sz w:val="20"/>
                <w:szCs w:val="20"/>
                <w:color w:val="auto"/>
              </w:rPr>
            </w:pPr>
            <w:r>
              <w:rPr>
                <w:rFonts w:ascii="Arial" w:cs="Arial" w:eastAsia="Arial" w:hAnsi="Arial"/>
                <w:sz w:val="13"/>
                <w:szCs w:val="13"/>
                <w:color w:val="auto"/>
                <w:w w:val="90"/>
              </w:rPr>
              <w:t>Defense</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72"/>
        </w:trPr>
        <w:tc>
          <w:tcPr>
            <w:tcW w:w="1460" w:type="dxa"/>
            <w:vAlign w:val="bottom"/>
          </w:tcPr>
          <w:p>
            <w:pPr>
              <w:jc w:val="center"/>
              <w:ind w:right="173"/>
              <w:spacing w:after="0"/>
              <w:rPr>
                <w:sz w:val="20"/>
                <w:szCs w:val="20"/>
                <w:color w:val="auto"/>
              </w:rPr>
            </w:pPr>
            <w:r>
              <w:rPr>
                <w:rFonts w:ascii="Arial" w:cs="Arial" w:eastAsia="Arial" w:hAnsi="Arial"/>
                <w:sz w:val="13"/>
                <w:szCs w:val="13"/>
                <w:color w:val="auto"/>
                <w:w w:val="97"/>
              </w:rPr>
              <w:t>Other Media</w:t>
            </w:r>
          </w:p>
        </w:tc>
        <w:tc>
          <w:tcPr>
            <w:tcW w:w="780" w:type="dxa"/>
            <w:vAlign w:val="bottom"/>
          </w:tcPr>
          <w:p>
            <w:pPr>
              <w:ind w:left="240"/>
              <w:spacing w:after="0"/>
              <w:rPr>
                <w:sz w:val="20"/>
                <w:szCs w:val="20"/>
                <w:color w:val="auto"/>
              </w:rPr>
            </w:pPr>
            <w:r>
              <w:rPr>
                <w:rFonts w:ascii="Arial" w:cs="Arial" w:eastAsia="Arial" w:hAnsi="Arial"/>
                <w:sz w:val="13"/>
                <w:szCs w:val="13"/>
                <w:color w:val="auto"/>
              </w:rPr>
              <w:t>—</w:t>
            </w:r>
          </w:p>
        </w:tc>
        <w:tc>
          <w:tcPr>
            <w:tcW w:w="760" w:type="dxa"/>
            <w:vAlign w:val="bottom"/>
          </w:tcPr>
          <w:p>
            <w:pPr>
              <w:ind w:left="42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4,325</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1,306,167</w:t>
            </w:r>
          </w:p>
        </w:tc>
        <w:tc>
          <w:tcPr>
            <w:tcW w:w="860" w:type="dxa"/>
            <w:vAlign w:val="bottom"/>
          </w:tcPr>
          <w:p>
            <w:pPr>
              <w:jc w:val="right"/>
              <w:spacing w:after="0"/>
              <w:rPr>
                <w:sz w:val="20"/>
                <w:szCs w:val="20"/>
                <w:color w:val="auto"/>
              </w:rPr>
            </w:pPr>
            <w:r>
              <w:rPr>
                <w:rFonts w:ascii="Arial" w:cs="Arial" w:eastAsia="Arial" w:hAnsi="Arial"/>
                <w:sz w:val="13"/>
                <w:szCs w:val="13"/>
                <w:color w:val="auto"/>
              </w:rPr>
              <w:t>1,032,393</w:t>
            </w:r>
          </w:p>
        </w:tc>
      </w:tr>
      <w:tr>
        <w:trPr>
          <w:trHeight w:val="297"/>
        </w:trPr>
        <w:tc>
          <w:tcPr>
            <w:tcW w:w="1460" w:type="dxa"/>
            <w:vAlign w:val="bottom"/>
          </w:tcPr>
          <w:p>
            <w:pPr>
              <w:jc w:val="center"/>
              <w:ind w:right="173"/>
              <w:spacing w:after="0"/>
              <w:rPr>
                <w:sz w:val="20"/>
                <w:szCs w:val="20"/>
                <w:color w:val="auto"/>
              </w:rPr>
            </w:pPr>
            <w:r>
              <w:rPr>
                <w:rFonts w:ascii="Arial" w:cs="Arial" w:eastAsia="Arial" w:hAnsi="Arial"/>
                <w:sz w:val="13"/>
                <w:szCs w:val="13"/>
                <w:color w:val="auto"/>
                <w:w w:val="97"/>
              </w:rPr>
              <w:t>Other Media</w:t>
            </w:r>
          </w:p>
        </w:tc>
        <w:tc>
          <w:tcPr>
            <w:tcW w:w="780" w:type="dxa"/>
            <w:vAlign w:val="bottom"/>
          </w:tcPr>
          <w:p>
            <w:pPr>
              <w:ind w:left="240"/>
              <w:spacing w:after="0"/>
              <w:rPr>
                <w:sz w:val="20"/>
                <w:szCs w:val="20"/>
                <w:color w:val="auto"/>
              </w:rPr>
            </w:pPr>
            <w:r>
              <w:rPr>
                <w:rFonts w:ascii="Arial" w:cs="Arial" w:eastAsia="Arial" w:hAnsi="Arial"/>
                <w:sz w:val="13"/>
                <w:szCs w:val="13"/>
                <w:color w:val="auto"/>
              </w:rPr>
              <w:t>—</w:t>
            </w:r>
          </w:p>
        </w:tc>
        <w:tc>
          <w:tcPr>
            <w:tcW w:w="760" w:type="dxa"/>
            <w:vAlign w:val="bottom"/>
          </w:tcPr>
          <w:p>
            <w:pPr>
              <w:ind w:left="42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531</w:t>
            </w:r>
          </w:p>
        </w:tc>
        <w:tc>
          <w:tcPr>
            <w:tcW w:w="106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126,752</w:t>
            </w:r>
          </w:p>
        </w:tc>
      </w:tr>
      <w:tr>
        <w:trPr>
          <w:trHeight w:val="273"/>
        </w:trPr>
        <w:tc>
          <w:tcPr>
            <w:tcW w:w="1460" w:type="dxa"/>
            <w:vAlign w:val="bottom"/>
          </w:tcPr>
          <w:p>
            <w:pPr>
              <w:jc w:val="center"/>
              <w:ind w:right="173"/>
              <w:spacing w:after="0"/>
              <w:rPr>
                <w:sz w:val="20"/>
                <w:szCs w:val="20"/>
                <w:color w:val="auto"/>
              </w:rPr>
            </w:pPr>
            <w:r>
              <w:rPr>
                <w:rFonts w:ascii="Arial" w:cs="Arial" w:eastAsia="Arial" w:hAnsi="Arial"/>
                <w:sz w:val="13"/>
                <w:szCs w:val="13"/>
                <w:color w:val="auto"/>
                <w:w w:val="94"/>
              </w:rPr>
              <w:t>Buildings and Real</w:t>
            </w:r>
          </w:p>
        </w:tc>
        <w:tc>
          <w:tcPr>
            <w:tcW w:w="780" w:type="dxa"/>
            <w:vAlign w:val="bottom"/>
          </w:tcPr>
          <w:p>
            <w:pPr>
              <w:ind w:left="240"/>
              <w:spacing w:after="0"/>
              <w:rPr>
                <w:sz w:val="20"/>
                <w:szCs w:val="20"/>
                <w:color w:val="auto"/>
              </w:rPr>
            </w:pPr>
            <w:r>
              <w:rPr>
                <w:rFonts w:ascii="Arial" w:cs="Arial" w:eastAsia="Arial" w:hAnsi="Arial"/>
                <w:sz w:val="13"/>
                <w:szCs w:val="13"/>
                <w:color w:val="auto"/>
              </w:rPr>
              <w:t>—</w:t>
            </w:r>
          </w:p>
        </w:tc>
        <w:tc>
          <w:tcPr>
            <w:tcW w:w="760" w:type="dxa"/>
            <w:vAlign w:val="bottom"/>
          </w:tcPr>
          <w:p>
            <w:pPr>
              <w:ind w:left="42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417,054</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10,929,118</w:t>
            </w:r>
          </w:p>
        </w:tc>
        <w:tc>
          <w:tcPr>
            <w:tcW w:w="860" w:type="dxa"/>
            <w:vAlign w:val="bottom"/>
          </w:tcPr>
          <w:p>
            <w:pPr>
              <w:jc w:val="right"/>
              <w:spacing w:after="0"/>
              <w:rPr>
                <w:sz w:val="20"/>
                <w:szCs w:val="20"/>
                <w:color w:val="auto"/>
              </w:rPr>
            </w:pPr>
            <w:r>
              <w:rPr>
                <w:rFonts w:ascii="Arial" w:cs="Arial" w:eastAsia="Arial" w:hAnsi="Arial"/>
                <w:sz w:val="13"/>
                <w:szCs w:val="13"/>
                <w:color w:val="auto"/>
              </w:rPr>
              <w:t>17,499,586</w:t>
            </w:r>
          </w:p>
        </w:tc>
      </w:tr>
      <w:tr>
        <w:trPr>
          <w:trHeight w:val="149"/>
        </w:trPr>
        <w:tc>
          <w:tcPr>
            <w:tcW w:w="1460" w:type="dxa"/>
            <w:vAlign w:val="bottom"/>
          </w:tcPr>
          <w:p>
            <w:pPr>
              <w:jc w:val="center"/>
              <w:ind w:right="173"/>
              <w:spacing w:after="0"/>
              <w:rPr>
                <w:sz w:val="20"/>
                <w:szCs w:val="20"/>
                <w:color w:val="auto"/>
              </w:rPr>
            </w:pPr>
            <w:r>
              <w:rPr>
                <w:rFonts w:ascii="Arial" w:cs="Arial" w:eastAsia="Arial" w:hAnsi="Arial"/>
                <w:sz w:val="13"/>
                <w:szCs w:val="13"/>
                <w:color w:val="auto"/>
                <w:w w:val="92"/>
              </w:rPr>
              <w:t>Estate</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8"/>
        </w:trPr>
        <w:tc>
          <w:tcPr>
            <w:tcW w:w="1460" w:type="dxa"/>
            <w:vAlign w:val="bottom"/>
          </w:tcPr>
          <w:p>
            <w:pPr>
              <w:jc w:val="center"/>
              <w:ind w:right="173"/>
              <w:spacing w:after="0"/>
              <w:rPr>
                <w:sz w:val="20"/>
                <w:szCs w:val="20"/>
                <w:color w:val="auto"/>
              </w:rPr>
            </w:pPr>
            <w:r>
              <w:rPr>
                <w:rFonts w:ascii="Arial" w:cs="Arial" w:eastAsia="Arial" w:hAnsi="Arial"/>
                <w:sz w:val="13"/>
                <w:szCs w:val="13"/>
                <w:color w:val="auto"/>
                <w:w w:val="94"/>
              </w:rPr>
              <w:t>Chemical, Plastic</w:t>
            </w:r>
          </w:p>
        </w:tc>
        <w:tc>
          <w:tcPr>
            <w:tcW w:w="780" w:type="dxa"/>
            <w:vAlign w:val="bottom"/>
          </w:tcPr>
          <w:p>
            <w:pPr>
              <w:ind w:left="240"/>
              <w:spacing w:after="0"/>
              <w:rPr>
                <w:sz w:val="20"/>
                <w:szCs w:val="20"/>
                <w:color w:val="auto"/>
              </w:rPr>
            </w:pPr>
            <w:r>
              <w:rPr>
                <w:rFonts w:ascii="Arial" w:cs="Arial" w:eastAsia="Arial" w:hAnsi="Arial"/>
                <w:sz w:val="13"/>
                <w:szCs w:val="13"/>
                <w:color w:val="auto"/>
              </w:rPr>
              <w:t>—</w:t>
            </w:r>
          </w:p>
        </w:tc>
        <w:tc>
          <w:tcPr>
            <w:tcW w:w="760" w:type="dxa"/>
            <w:vAlign w:val="bottom"/>
          </w:tcPr>
          <w:p>
            <w:pPr>
              <w:ind w:left="42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300,000</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3,000,000</w:t>
            </w:r>
          </w:p>
        </w:tc>
        <w:tc>
          <w:tcPr>
            <w:tcW w:w="860" w:type="dxa"/>
            <w:vAlign w:val="bottom"/>
          </w:tcPr>
          <w:p>
            <w:pPr>
              <w:jc w:val="right"/>
              <w:spacing w:after="0"/>
              <w:rPr>
                <w:sz w:val="20"/>
                <w:szCs w:val="20"/>
                <w:color w:val="auto"/>
              </w:rPr>
            </w:pPr>
            <w:r>
              <w:rPr>
                <w:rFonts w:ascii="Arial" w:cs="Arial" w:eastAsia="Arial" w:hAnsi="Arial"/>
                <w:sz w:val="13"/>
                <w:szCs w:val="13"/>
                <w:color w:val="auto"/>
              </w:rPr>
              <w:t>3,466,167</w:t>
            </w:r>
          </w:p>
        </w:tc>
      </w:tr>
      <w:tr>
        <w:trPr>
          <w:trHeight w:val="162"/>
        </w:trPr>
        <w:tc>
          <w:tcPr>
            <w:tcW w:w="1460" w:type="dxa"/>
            <w:vAlign w:val="bottom"/>
          </w:tcPr>
          <w:p>
            <w:pPr>
              <w:jc w:val="center"/>
              <w:ind w:right="173"/>
              <w:spacing w:after="0"/>
              <w:rPr>
                <w:sz w:val="20"/>
                <w:szCs w:val="20"/>
                <w:color w:val="auto"/>
              </w:rPr>
            </w:pPr>
            <w:r>
              <w:rPr>
                <w:rFonts w:ascii="Arial" w:cs="Arial" w:eastAsia="Arial" w:hAnsi="Arial"/>
                <w:sz w:val="13"/>
                <w:szCs w:val="13"/>
                <w:color w:val="auto"/>
                <w:w w:val="91"/>
              </w:rPr>
              <w:t>and Rubber</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1460" w:type="dxa"/>
            <w:vAlign w:val="bottom"/>
          </w:tcPr>
          <w:p>
            <w:pPr>
              <w:jc w:val="center"/>
              <w:ind w:right="193"/>
              <w:spacing w:after="0"/>
              <w:rPr>
                <w:sz w:val="20"/>
                <w:szCs w:val="20"/>
                <w:color w:val="auto"/>
              </w:rPr>
            </w:pPr>
            <w:r>
              <w:rPr>
                <w:rFonts w:ascii="Arial" w:cs="Arial" w:eastAsia="Arial" w:hAnsi="Arial"/>
                <w:sz w:val="13"/>
                <w:szCs w:val="13"/>
                <w:color w:val="auto"/>
                <w:w w:val="93"/>
              </w:rPr>
              <w:t>Telecommunications</w:t>
            </w:r>
          </w:p>
        </w:tc>
        <w:tc>
          <w:tcPr>
            <w:tcW w:w="780" w:type="dxa"/>
            <w:vAlign w:val="bottom"/>
          </w:tcPr>
          <w:p>
            <w:pPr>
              <w:ind w:left="240"/>
              <w:spacing w:after="0"/>
              <w:rPr>
                <w:sz w:val="20"/>
                <w:szCs w:val="20"/>
                <w:color w:val="auto"/>
              </w:rPr>
            </w:pPr>
            <w:r>
              <w:rPr>
                <w:rFonts w:ascii="Arial" w:cs="Arial" w:eastAsia="Arial" w:hAnsi="Arial"/>
                <w:sz w:val="13"/>
                <w:szCs w:val="13"/>
                <w:color w:val="auto"/>
              </w:rPr>
              <w:t>—</w:t>
            </w:r>
          </w:p>
        </w:tc>
        <w:tc>
          <w:tcPr>
            <w:tcW w:w="760" w:type="dxa"/>
            <w:vAlign w:val="bottom"/>
          </w:tcPr>
          <w:p>
            <w:pPr>
              <w:ind w:left="42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2,276,847</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2,274,883</w:t>
            </w:r>
          </w:p>
        </w:tc>
        <w:tc>
          <w:tcPr>
            <w:tcW w:w="860" w:type="dxa"/>
            <w:vAlign w:val="bottom"/>
          </w:tcPr>
          <w:p>
            <w:pPr>
              <w:jc w:val="right"/>
              <w:spacing w:after="0"/>
              <w:rPr>
                <w:sz w:val="20"/>
                <w:szCs w:val="20"/>
                <w:color w:val="auto"/>
              </w:rPr>
            </w:pPr>
            <w:r>
              <w:rPr>
                <w:rFonts w:ascii="Arial" w:cs="Arial" w:eastAsia="Arial" w:hAnsi="Arial"/>
                <w:sz w:val="13"/>
                <w:szCs w:val="13"/>
                <w:color w:val="auto"/>
              </w:rPr>
              <w:t>6,697,628</w:t>
            </w:r>
          </w:p>
        </w:tc>
      </w:tr>
      <w:tr>
        <w:trPr>
          <w:trHeight w:val="273"/>
        </w:trPr>
        <w:tc>
          <w:tcPr>
            <w:tcW w:w="1460" w:type="dxa"/>
            <w:vAlign w:val="bottom"/>
          </w:tcPr>
          <w:p>
            <w:pPr>
              <w:jc w:val="center"/>
              <w:ind w:right="173"/>
              <w:spacing w:after="0"/>
              <w:rPr>
                <w:sz w:val="20"/>
                <w:szCs w:val="20"/>
                <w:color w:val="auto"/>
              </w:rPr>
            </w:pPr>
            <w:r>
              <w:rPr>
                <w:rFonts w:ascii="Arial" w:cs="Arial" w:eastAsia="Arial" w:hAnsi="Arial"/>
                <w:sz w:val="13"/>
                <w:szCs w:val="13"/>
                <w:color w:val="auto"/>
                <w:w w:val="92"/>
              </w:rPr>
              <w:t>Business Services</w:t>
            </w:r>
          </w:p>
        </w:tc>
        <w:tc>
          <w:tcPr>
            <w:tcW w:w="780" w:type="dxa"/>
            <w:vAlign w:val="bottom"/>
          </w:tcPr>
          <w:p>
            <w:pPr>
              <w:ind w:left="240"/>
              <w:spacing w:after="0"/>
              <w:rPr>
                <w:sz w:val="20"/>
                <w:szCs w:val="20"/>
                <w:color w:val="auto"/>
              </w:rPr>
            </w:pPr>
            <w:r>
              <w:rPr>
                <w:rFonts w:ascii="Arial" w:cs="Arial" w:eastAsia="Arial" w:hAnsi="Arial"/>
                <w:sz w:val="13"/>
                <w:szCs w:val="13"/>
                <w:color w:val="auto"/>
              </w:rPr>
              <w:t>—</w:t>
            </w:r>
          </w:p>
        </w:tc>
        <w:tc>
          <w:tcPr>
            <w:tcW w:w="760" w:type="dxa"/>
            <w:vAlign w:val="bottom"/>
          </w:tcPr>
          <w:p>
            <w:pPr>
              <w:ind w:left="42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3,500</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29,400</w:t>
            </w:r>
          </w:p>
        </w:tc>
        <w:tc>
          <w:tcPr>
            <w:tcW w:w="860" w:type="dxa"/>
            <w:vAlign w:val="bottom"/>
          </w:tcPr>
          <w:p>
            <w:pPr>
              <w:jc w:val="right"/>
              <w:spacing w:after="0"/>
              <w:rPr>
                <w:sz w:val="20"/>
                <w:szCs w:val="20"/>
                <w:color w:val="auto"/>
              </w:rPr>
            </w:pPr>
            <w:r>
              <w:rPr>
                <w:rFonts w:ascii="Arial" w:cs="Arial" w:eastAsia="Arial" w:hAnsi="Arial"/>
                <w:sz w:val="13"/>
                <w:szCs w:val="13"/>
                <w:color w:val="auto"/>
              </w:rPr>
              <w:t>1,116,199</w:t>
            </w:r>
          </w:p>
        </w:tc>
      </w:tr>
      <w:tr>
        <w:trPr>
          <w:trHeight w:val="172"/>
        </w:trPr>
        <w:tc>
          <w:tcPr>
            <w:tcW w:w="1460" w:type="dxa"/>
            <w:vAlign w:val="bottom"/>
          </w:tcPr>
          <w:p>
            <w:pPr>
              <w:jc w:val="center"/>
              <w:ind w:right="193"/>
              <w:spacing w:after="0"/>
              <w:rPr>
                <w:sz w:val="20"/>
                <w:szCs w:val="20"/>
                <w:color w:val="auto"/>
              </w:rPr>
            </w:pPr>
            <w:r>
              <w:rPr>
                <w:rFonts w:ascii="Arial" w:cs="Arial" w:eastAsia="Arial" w:hAnsi="Arial"/>
                <w:sz w:val="13"/>
                <w:szCs w:val="13"/>
                <w:color w:val="auto"/>
                <w:w w:val="92"/>
              </w:rPr>
              <w:t>Cargo Transport</w:t>
            </w:r>
          </w:p>
        </w:tc>
        <w:tc>
          <w:tcPr>
            <w:tcW w:w="780" w:type="dxa"/>
            <w:vAlign w:val="bottom"/>
          </w:tcPr>
          <w:p>
            <w:pPr>
              <w:ind w:left="240"/>
              <w:spacing w:after="0"/>
              <w:rPr>
                <w:sz w:val="20"/>
                <w:szCs w:val="20"/>
                <w:color w:val="auto"/>
              </w:rPr>
            </w:pPr>
            <w:r>
              <w:rPr>
                <w:rFonts w:ascii="Arial" w:cs="Arial" w:eastAsia="Arial" w:hAnsi="Arial"/>
                <w:sz w:val="13"/>
                <w:szCs w:val="13"/>
                <w:color w:val="auto"/>
              </w:rPr>
              <w:t>—</w:t>
            </w:r>
          </w:p>
        </w:tc>
        <w:tc>
          <w:tcPr>
            <w:tcW w:w="760" w:type="dxa"/>
            <w:vAlign w:val="bottom"/>
          </w:tcPr>
          <w:p>
            <w:pPr>
              <w:ind w:left="42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137,923</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2,111,588</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273"/>
        </w:trPr>
        <w:tc>
          <w:tcPr>
            <w:tcW w:w="1460" w:type="dxa"/>
            <w:vAlign w:val="bottom"/>
          </w:tcPr>
          <w:p>
            <w:pPr>
              <w:jc w:val="center"/>
              <w:ind w:right="173"/>
              <w:spacing w:after="0"/>
              <w:rPr>
                <w:sz w:val="20"/>
                <w:szCs w:val="20"/>
                <w:color w:val="auto"/>
              </w:rPr>
            </w:pPr>
            <w:r>
              <w:rPr>
                <w:rFonts w:ascii="Arial" w:cs="Arial" w:eastAsia="Arial" w:hAnsi="Arial"/>
                <w:sz w:val="13"/>
                <w:szCs w:val="13"/>
                <w:color w:val="auto"/>
                <w:w w:val="94"/>
              </w:rPr>
              <w:t>Insurance</w:t>
            </w:r>
          </w:p>
        </w:tc>
        <w:tc>
          <w:tcPr>
            <w:tcW w:w="780" w:type="dxa"/>
            <w:vAlign w:val="bottom"/>
          </w:tcPr>
          <w:p>
            <w:pPr>
              <w:ind w:left="240"/>
              <w:spacing w:after="0"/>
              <w:rPr>
                <w:sz w:val="20"/>
                <w:szCs w:val="20"/>
                <w:color w:val="auto"/>
              </w:rPr>
            </w:pPr>
            <w:r>
              <w:rPr>
                <w:rFonts w:ascii="Arial" w:cs="Arial" w:eastAsia="Arial" w:hAnsi="Arial"/>
                <w:sz w:val="13"/>
                <w:szCs w:val="13"/>
                <w:color w:val="auto"/>
              </w:rPr>
              <w:t>—</w:t>
            </w:r>
          </w:p>
        </w:tc>
        <w:tc>
          <w:tcPr>
            <w:tcW w:w="760" w:type="dxa"/>
            <w:vAlign w:val="bottom"/>
          </w:tcPr>
          <w:p>
            <w:pPr>
              <w:ind w:left="42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2</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9,567</w:t>
            </w:r>
          </w:p>
        </w:tc>
        <w:tc>
          <w:tcPr>
            <w:tcW w:w="860" w:type="dxa"/>
            <w:vAlign w:val="bottom"/>
          </w:tcPr>
          <w:p>
            <w:pPr>
              <w:jc w:val="right"/>
              <w:spacing w:after="0"/>
              <w:rPr>
                <w:sz w:val="20"/>
                <w:szCs w:val="20"/>
                <w:color w:val="auto"/>
              </w:rPr>
            </w:pPr>
            <w:r>
              <w:rPr>
                <w:rFonts w:ascii="Arial" w:cs="Arial" w:eastAsia="Arial" w:hAnsi="Arial"/>
                <w:sz w:val="13"/>
                <w:szCs w:val="13"/>
                <w:color w:val="auto"/>
              </w:rPr>
              <w:t>129,673</w:t>
            </w:r>
          </w:p>
        </w:tc>
      </w:tr>
      <w:tr>
        <w:trPr>
          <w:trHeight w:val="148"/>
        </w:trPr>
        <w:tc>
          <w:tcPr>
            <w:tcW w:w="1460" w:type="dxa"/>
            <w:vAlign w:val="bottom"/>
          </w:tcPr>
          <w:p>
            <w:pPr>
              <w:jc w:val="center"/>
              <w:ind w:right="173"/>
              <w:spacing w:after="0"/>
              <w:rPr>
                <w:sz w:val="20"/>
                <w:szCs w:val="20"/>
                <w:color w:val="auto"/>
              </w:rPr>
            </w:pPr>
            <w:r>
              <w:rPr>
                <w:rFonts w:ascii="Arial" w:cs="Arial" w:eastAsia="Arial" w:hAnsi="Arial"/>
                <w:sz w:val="13"/>
                <w:szCs w:val="13"/>
                <w:color w:val="auto"/>
                <w:w w:val="89"/>
              </w:rPr>
              <w:t>Personal</w:t>
            </w:r>
          </w:p>
        </w:tc>
        <w:tc>
          <w:tcPr>
            <w:tcW w:w="780" w:type="dxa"/>
            <w:vAlign w:val="bottom"/>
          </w:tcPr>
          <w:p>
            <w:pPr>
              <w:ind w:left="240"/>
              <w:spacing w:after="0"/>
              <w:rPr>
                <w:sz w:val="20"/>
                <w:szCs w:val="20"/>
                <w:color w:val="auto"/>
              </w:rPr>
            </w:pPr>
            <w:r>
              <w:rPr>
                <w:rFonts w:ascii="Arial" w:cs="Arial" w:eastAsia="Arial" w:hAnsi="Arial"/>
                <w:sz w:val="13"/>
                <w:szCs w:val="13"/>
                <w:color w:val="auto"/>
              </w:rPr>
              <w:t>—</w:t>
            </w:r>
          </w:p>
        </w:tc>
        <w:tc>
          <w:tcPr>
            <w:tcW w:w="760" w:type="dxa"/>
            <w:vAlign w:val="bottom"/>
          </w:tcPr>
          <w:p>
            <w:pPr>
              <w:ind w:left="42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9,166</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9,166</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149"/>
        </w:trPr>
        <w:tc>
          <w:tcPr>
            <w:tcW w:w="1460" w:type="dxa"/>
            <w:vAlign w:val="bottom"/>
          </w:tcPr>
          <w:p>
            <w:pPr>
              <w:jc w:val="center"/>
              <w:ind w:right="173"/>
              <w:spacing w:after="0"/>
              <w:rPr>
                <w:sz w:val="20"/>
                <w:szCs w:val="20"/>
                <w:color w:val="auto"/>
              </w:rPr>
            </w:pPr>
            <w:r>
              <w:rPr>
                <w:rFonts w:ascii="Arial" w:cs="Arial" w:eastAsia="Arial" w:hAnsi="Arial"/>
                <w:sz w:val="13"/>
                <w:szCs w:val="13"/>
                <w:color w:val="auto"/>
                <w:w w:val="93"/>
              </w:rPr>
              <w:t>Transportation</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8"/>
        </w:trPr>
        <w:tc>
          <w:tcPr>
            <w:tcW w:w="1460" w:type="dxa"/>
            <w:vAlign w:val="bottom"/>
          </w:tcPr>
          <w:p>
            <w:pPr>
              <w:jc w:val="center"/>
              <w:ind w:right="173"/>
              <w:spacing w:after="0"/>
              <w:rPr>
                <w:sz w:val="20"/>
                <w:szCs w:val="20"/>
                <w:color w:val="auto"/>
              </w:rPr>
            </w:pPr>
            <w:r>
              <w:rPr>
                <w:rFonts w:ascii="Arial" w:cs="Arial" w:eastAsia="Arial" w:hAnsi="Arial"/>
                <w:sz w:val="13"/>
                <w:szCs w:val="13"/>
                <w:color w:val="auto"/>
                <w:w w:val="95"/>
              </w:rPr>
              <w:t>Printing and</w:t>
            </w:r>
          </w:p>
        </w:tc>
        <w:tc>
          <w:tcPr>
            <w:tcW w:w="780" w:type="dxa"/>
            <w:vAlign w:val="bottom"/>
          </w:tcPr>
          <w:p>
            <w:pPr>
              <w:ind w:left="240"/>
              <w:spacing w:after="0"/>
              <w:rPr>
                <w:sz w:val="20"/>
                <w:szCs w:val="20"/>
                <w:color w:val="auto"/>
              </w:rPr>
            </w:pPr>
            <w:r>
              <w:rPr>
                <w:rFonts w:ascii="Arial" w:cs="Arial" w:eastAsia="Arial" w:hAnsi="Arial"/>
                <w:sz w:val="13"/>
                <w:szCs w:val="13"/>
                <w:color w:val="auto"/>
              </w:rPr>
              <w:t>—</w:t>
            </w:r>
          </w:p>
        </w:tc>
        <w:tc>
          <w:tcPr>
            <w:tcW w:w="760" w:type="dxa"/>
            <w:vAlign w:val="bottom"/>
          </w:tcPr>
          <w:p>
            <w:pPr>
              <w:ind w:left="42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211,797</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2,325,555</w:t>
            </w:r>
          </w:p>
        </w:tc>
        <w:tc>
          <w:tcPr>
            <w:tcW w:w="860" w:type="dxa"/>
            <w:vAlign w:val="bottom"/>
          </w:tcPr>
          <w:p>
            <w:pPr>
              <w:jc w:val="right"/>
              <w:spacing w:after="0"/>
              <w:rPr>
                <w:sz w:val="20"/>
                <w:szCs w:val="20"/>
                <w:color w:val="auto"/>
              </w:rPr>
            </w:pPr>
            <w:r>
              <w:rPr>
                <w:rFonts w:ascii="Arial" w:cs="Arial" w:eastAsia="Arial" w:hAnsi="Arial"/>
                <w:sz w:val="13"/>
                <w:szCs w:val="13"/>
                <w:color w:val="auto"/>
              </w:rPr>
              <w:t>2,325,555</w:t>
            </w:r>
          </w:p>
        </w:tc>
      </w:tr>
      <w:tr>
        <w:trPr>
          <w:trHeight w:val="149"/>
        </w:trPr>
        <w:tc>
          <w:tcPr>
            <w:tcW w:w="1460" w:type="dxa"/>
            <w:vAlign w:val="bottom"/>
          </w:tcPr>
          <w:p>
            <w:pPr>
              <w:jc w:val="center"/>
              <w:ind w:right="173"/>
              <w:spacing w:after="0"/>
              <w:rPr>
                <w:sz w:val="20"/>
                <w:szCs w:val="20"/>
                <w:color w:val="auto"/>
              </w:rPr>
            </w:pPr>
            <w:r>
              <w:rPr>
                <w:rFonts w:ascii="Arial" w:cs="Arial" w:eastAsia="Arial" w:hAnsi="Arial"/>
                <w:sz w:val="13"/>
                <w:szCs w:val="13"/>
                <w:color w:val="auto"/>
                <w:w w:val="96"/>
              </w:rPr>
              <w:t>Publishing</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9"/>
        </w:trPr>
        <w:tc>
          <w:tcPr>
            <w:tcW w:w="1460" w:type="dxa"/>
            <w:vAlign w:val="bottom"/>
          </w:tcPr>
          <w:p>
            <w:pPr>
              <w:jc w:val="center"/>
              <w:ind w:right="173"/>
              <w:spacing w:after="0"/>
              <w:rPr>
                <w:sz w:val="20"/>
                <w:szCs w:val="20"/>
                <w:color w:val="auto"/>
              </w:rPr>
            </w:pPr>
            <w:r>
              <w:rPr>
                <w:rFonts w:ascii="Arial" w:cs="Arial" w:eastAsia="Arial" w:hAnsi="Arial"/>
                <w:sz w:val="13"/>
                <w:szCs w:val="13"/>
                <w:color w:val="auto"/>
                <w:w w:val="92"/>
              </w:rPr>
              <w:t>Business Services</w:t>
            </w:r>
          </w:p>
        </w:tc>
        <w:tc>
          <w:tcPr>
            <w:tcW w:w="780" w:type="dxa"/>
            <w:vAlign w:val="bottom"/>
          </w:tcPr>
          <w:p>
            <w:pPr>
              <w:ind w:left="240"/>
              <w:spacing w:after="0"/>
              <w:rPr>
                <w:sz w:val="20"/>
                <w:szCs w:val="20"/>
                <w:color w:val="auto"/>
              </w:rPr>
            </w:pPr>
            <w:r>
              <w:rPr>
                <w:rFonts w:ascii="Arial" w:cs="Arial" w:eastAsia="Arial" w:hAnsi="Arial"/>
                <w:sz w:val="13"/>
                <w:szCs w:val="13"/>
                <w:color w:val="auto"/>
              </w:rPr>
              <w:t>—</w:t>
            </w:r>
          </w:p>
        </w:tc>
        <w:tc>
          <w:tcPr>
            <w:tcW w:w="760" w:type="dxa"/>
            <w:vAlign w:val="bottom"/>
          </w:tcPr>
          <w:p>
            <w:pPr>
              <w:ind w:left="42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35,526</w:t>
            </w:r>
          </w:p>
        </w:tc>
        <w:tc>
          <w:tcPr>
            <w:tcW w:w="1060" w:type="dxa"/>
            <w:vAlign w:val="bottom"/>
          </w:tcPr>
          <w:p>
            <w:pPr>
              <w:jc w:val="right"/>
              <w:ind w:right="173"/>
              <w:spacing w:after="0"/>
              <w:rPr>
                <w:sz w:val="20"/>
                <w:szCs w:val="20"/>
                <w:color w:val="auto"/>
              </w:rPr>
            </w:pPr>
            <w:r>
              <w:rPr>
                <w:rFonts w:ascii="Arial" w:cs="Arial" w:eastAsia="Arial" w:hAnsi="Arial"/>
                <w:sz w:val="13"/>
                <w:szCs w:val="13"/>
                <w:color w:val="auto"/>
              </w:rPr>
              <w:t>4,050,000</w:t>
            </w:r>
          </w:p>
        </w:tc>
        <w:tc>
          <w:tcPr>
            <w:tcW w:w="860" w:type="dxa"/>
            <w:vAlign w:val="bottom"/>
          </w:tcPr>
          <w:p>
            <w:pPr>
              <w:jc w:val="right"/>
              <w:spacing w:after="0"/>
              <w:rPr>
                <w:sz w:val="20"/>
                <w:szCs w:val="20"/>
                <w:color w:val="auto"/>
              </w:rPr>
            </w:pPr>
            <w:r>
              <w:rPr>
                <w:rFonts w:ascii="Arial" w:cs="Arial" w:eastAsia="Arial" w:hAnsi="Arial"/>
                <w:sz w:val="13"/>
                <w:szCs w:val="13"/>
                <w:color w:val="auto"/>
              </w:rPr>
              <w:t>6,668,990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-4199890</wp:posOffset>
            </wp:positionV>
            <wp:extent cx="7132320" cy="1974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-3805555</wp:posOffset>
            </wp:positionV>
            <wp:extent cx="7132320" cy="946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-3616960</wp:posOffset>
            </wp:positionV>
            <wp:extent cx="7132320" cy="939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-3325495</wp:posOffset>
            </wp:positionV>
            <wp:extent cx="7132320" cy="1974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-3034030</wp:posOffset>
            </wp:positionV>
            <wp:extent cx="7132320"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-2656840</wp:posOffset>
            </wp:positionV>
            <wp:extent cx="7132320" cy="188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-2185035</wp:posOffset>
            </wp:positionV>
            <wp:extent cx="7132320" cy="1968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-1799590</wp:posOffset>
            </wp:positionV>
            <wp:extent cx="7132320"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-1422400</wp:posOffset>
            </wp:positionV>
            <wp:extent cx="7132320"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-1036320</wp:posOffset>
            </wp:positionV>
            <wp:extent cx="7132320"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-753745</wp:posOffset>
            </wp:positionV>
            <wp:extent cx="7132320"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-471170</wp:posOffset>
            </wp:positionV>
            <wp:extent cx="7132320"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-93345</wp:posOffset>
            </wp:positionV>
            <wp:extent cx="7132320" cy="939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100" w:space="220"/>
            <w:col w:w="5920"/>
          </w:cols>
          <w:pgMar w:left="320" w:top="459" w:right="33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9340" w:type="dxa"/>
            <w:vAlign w:val="bottom"/>
          </w:tcPr>
          <w:p>
            <w:pPr>
              <w:spacing w:after="0"/>
              <w:rPr>
                <w:sz w:val="20"/>
                <w:szCs w:val="20"/>
                <w:color w:val="auto"/>
              </w:rPr>
            </w:pPr>
            <w:r>
              <w:rPr>
                <w:rFonts w:ascii="Arial" w:cs="Arial" w:eastAsia="Arial" w:hAnsi="Arial"/>
                <w:sz w:val="13"/>
                <w:szCs w:val="13"/>
                <w:b w:val="1"/>
                <w:bCs w:val="1"/>
                <w:color w:val="auto"/>
              </w:rPr>
              <w:t>Total Common Equity/Warrants/Partnership Interests</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50,512,068</w:t>
            </w:r>
          </w:p>
        </w:tc>
        <w:tc>
          <w:tcPr>
            <w:tcW w:w="28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79,390,159</w:t>
            </w:r>
          </w:p>
        </w:tc>
        <w:tc>
          <w:tcPr>
            <w:tcW w:w="60" w:type="dxa"/>
            <w:vAlign w:val="bottom"/>
          </w:tcPr>
          <w:p>
            <w:pPr>
              <w:spacing w:after="0"/>
              <w:rPr>
                <w:sz w:val="14"/>
                <w:szCs w:val="14"/>
                <w:color w:val="auto"/>
              </w:rPr>
            </w:pPr>
          </w:p>
        </w:tc>
      </w:tr>
      <w:tr>
        <w:trPr>
          <w:trHeight w:val="149"/>
        </w:trPr>
        <w:tc>
          <w:tcPr>
            <w:tcW w:w="93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Investments in Non-Controlled, Non-Affiliated Portfolio Companies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9"/>
              </w:rPr>
              <w:t>902,897,172</w:t>
            </w:r>
          </w:p>
        </w:tc>
        <w:tc>
          <w:tcPr>
            <w:tcW w:w="28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931,419,104</w:t>
            </w:r>
          </w:p>
        </w:tc>
        <w:tc>
          <w:tcPr>
            <w:tcW w:w="60" w:type="dxa"/>
            <w:vAlign w:val="bottom"/>
            <w:shd w:val="clear" w:color="auto" w:fill="CCEEFF"/>
          </w:tcPr>
          <w:p>
            <w:pPr>
              <w:spacing w:after="0"/>
              <w:rPr>
                <w:sz w:val="12"/>
                <w:szCs w:val="12"/>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459" w:right="3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tcPr>
          <w:p>
            <w:pPr>
              <w:jc w:val="center"/>
              <w:ind w:right="94"/>
              <w:spacing w:after="0"/>
              <w:rPr>
                <w:sz w:val="20"/>
                <w:szCs w:val="20"/>
                <w:color w:val="auto"/>
              </w:rPr>
            </w:pPr>
            <w:r>
              <w:rPr>
                <w:rFonts w:ascii="Arial" w:cs="Arial" w:eastAsia="Arial" w:hAnsi="Arial"/>
                <w:sz w:val="13"/>
                <w:szCs w:val="13"/>
                <w:b w:val="1"/>
                <w:bCs w:val="1"/>
                <w:color w:val="auto"/>
                <w:w w:val="90"/>
              </w:rPr>
              <w:t>Basis Point</w:t>
            </w: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jc w:val="center"/>
              <w:ind w:right="94"/>
              <w:spacing w:after="0"/>
              <w:rPr>
                <w:sz w:val="20"/>
                <w:szCs w:val="20"/>
                <w:color w:val="auto"/>
              </w:rPr>
            </w:pPr>
            <w:r>
              <w:rPr>
                <w:rFonts w:ascii="Arial" w:cs="Arial" w:eastAsia="Arial" w:hAnsi="Arial"/>
                <w:sz w:val="13"/>
                <w:szCs w:val="13"/>
                <w:b w:val="1"/>
                <w:bCs w:val="1"/>
                <w:color w:val="auto"/>
                <w:w w:val="90"/>
              </w:rPr>
              <w:t>Spread</w:t>
            </w: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40" w:type="dxa"/>
            <w:vAlign w:val="bottom"/>
          </w:tcPr>
          <w:p>
            <w:pPr>
              <w:jc w:val="right"/>
              <w:ind w:right="395"/>
              <w:spacing w:after="0" w:line="134" w:lineRule="exact"/>
              <w:rPr>
                <w:sz w:val="20"/>
                <w:szCs w:val="20"/>
                <w:color w:val="auto"/>
              </w:rPr>
            </w:pPr>
            <w:r>
              <w:rPr>
                <w:rFonts w:ascii="Arial" w:cs="Arial" w:eastAsia="Arial" w:hAnsi="Arial"/>
                <w:sz w:val="13"/>
                <w:szCs w:val="13"/>
                <w:b w:val="1"/>
                <w:bCs w:val="1"/>
                <w:color w:val="auto"/>
              </w:rPr>
              <w:t>Current</w:t>
            </w:r>
          </w:p>
        </w:tc>
        <w:tc>
          <w:tcPr>
            <w:tcW w:w="960" w:type="dxa"/>
            <w:vAlign w:val="bottom"/>
          </w:tcPr>
          <w:p>
            <w:pPr>
              <w:jc w:val="center"/>
              <w:ind w:right="94"/>
              <w:spacing w:after="0" w:line="134" w:lineRule="exact"/>
              <w:rPr>
                <w:sz w:val="20"/>
                <w:szCs w:val="20"/>
                <w:color w:val="auto"/>
              </w:rPr>
            </w:pPr>
            <w:r>
              <w:rPr>
                <w:rFonts w:ascii="Arial" w:cs="Arial" w:eastAsia="Arial" w:hAnsi="Arial"/>
                <w:sz w:val="13"/>
                <w:szCs w:val="13"/>
                <w:b w:val="1"/>
                <w:bCs w:val="1"/>
                <w:color w:val="auto"/>
                <w:w w:val="90"/>
              </w:rPr>
              <w:t>Above</w:t>
            </w:r>
          </w:p>
        </w:tc>
        <w:tc>
          <w:tcPr>
            <w:tcW w:w="1020" w:type="dxa"/>
            <w:vAlign w:val="bottom"/>
            <w:gridSpan w:val="2"/>
          </w:tcPr>
          <w:p>
            <w:pPr>
              <w:jc w:val="center"/>
              <w:ind w:right="260"/>
              <w:spacing w:after="0" w:line="134" w:lineRule="exact"/>
              <w:rPr>
                <w:sz w:val="20"/>
                <w:szCs w:val="20"/>
                <w:color w:val="auto"/>
              </w:rPr>
            </w:pPr>
            <w:r>
              <w:rPr>
                <w:rFonts w:ascii="Arial" w:cs="Arial" w:eastAsia="Arial" w:hAnsi="Arial"/>
                <w:sz w:val="13"/>
                <w:szCs w:val="13"/>
                <w:b w:val="1"/>
                <w:bCs w:val="1"/>
                <w:color w:val="auto"/>
                <w:w w:val="99"/>
              </w:rPr>
              <w:t>Par /</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3"/>
            <w:vMerge w:val="restart"/>
          </w:tcPr>
          <w:p>
            <w:pPr>
              <w:jc w:val="right"/>
              <w:ind w:right="100"/>
              <w:spacing w:after="0"/>
              <w:rPr>
                <w:sz w:val="20"/>
                <w:szCs w:val="20"/>
                <w:color w:val="auto"/>
              </w:rPr>
            </w:pPr>
            <w:r>
              <w:rPr>
                <w:rFonts w:ascii="Arial" w:cs="Arial" w:eastAsia="Arial" w:hAnsi="Arial"/>
                <w:sz w:val="13"/>
                <w:szCs w:val="13"/>
                <w:b w:val="1"/>
                <w:bCs w:val="1"/>
                <w:color w:val="auto"/>
                <w:w w:val="97"/>
              </w:rPr>
              <w:t xml:space="preserve">Fair Value </w:t>
            </w:r>
            <w:r>
              <w:rPr>
                <w:rFonts w:ascii="Arial" w:cs="Arial" w:eastAsia="Arial" w:hAnsi="Arial"/>
                <w:sz w:val="22"/>
                <w:szCs w:val="22"/>
                <w:b w:val="1"/>
                <w:bCs w:val="1"/>
                <w:color w:val="auto"/>
                <w:w w:val="97"/>
                <w:vertAlign w:val="superscript"/>
              </w:rPr>
              <w:t>(3)</w:t>
            </w:r>
          </w:p>
        </w:tc>
        <w:tc>
          <w:tcPr>
            <w:tcW w:w="0" w:type="dxa"/>
            <w:vAlign w:val="bottom"/>
          </w:tcPr>
          <w:p>
            <w:pPr>
              <w:spacing w:after="0"/>
              <w:rPr>
                <w:sz w:val="1"/>
                <w:szCs w:val="1"/>
                <w:color w:val="auto"/>
              </w:rPr>
            </w:pPr>
          </w:p>
        </w:tc>
      </w:tr>
      <w:tr>
        <w:trPr>
          <w:trHeight w:val="176"/>
        </w:trPr>
        <w:tc>
          <w:tcPr>
            <w:tcW w:w="4160" w:type="dxa"/>
            <w:vAlign w:val="bottom"/>
          </w:tcPr>
          <w:p>
            <w:pPr>
              <w:spacing w:after="0"/>
              <w:rPr>
                <w:sz w:val="20"/>
                <w:szCs w:val="20"/>
                <w:color w:val="auto"/>
              </w:rPr>
            </w:pPr>
            <w:r>
              <w:rPr>
                <w:rFonts w:ascii="Arial" w:cs="Arial" w:eastAsia="Arial" w:hAnsi="Arial"/>
                <w:sz w:val="13"/>
                <w:szCs w:val="13"/>
                <w:b w:val="1"/>
                <w:bCs w:val="1"/>
                <w:color w:val="auto"/>
              </w:rPr>
              <w:t>Issuer Name</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Maturity</w:t>
            </w:r>
          </w:p>
        </w:tc>
        <w:tc>
          <w:tcPr>
            <w:tcW w:w="1420" w:type="dxa"/>
            <w:vAlign w:val="bottom"/>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1040" w:type="dxa"/>
            <w:vAlign w:val="bottom"/>
          </w:tcPr>
          <w:p>
            <w:pPr>
              <w:jc w:val="right"/>
              <w:ind w:right="395"/>
              <w:spacing w:after="0"/>
              <w:rPr>
                <w:sz w:val="20"/>
                <w:szCs w:val="20"/>
                <w:color w:val="auto"/>
              </w:rPr>
            </w:pPr>
            <w:r>
              <w:rPr>
                <w:rFonts w:ascii="Arial" w:cs="Arial" w:eastAsia="Arial" w:hAnsi="Arial"/>
                <w:sz w:val="13"/>
                <w:szCs w:val="13"/>
                <w:b w:val="1"/>
                <w:bCs w:val="1"/>
                <w:color w:val="auto"/>
              </w:rPr>
              <w:t>Coupon</w:t>
            </w:r>
          </w:p>
        </w:tc>
        <w:tc>
          <w:tcPr>
            <w:tcW w:w="960" w:type="dxa"/>
            <w:vAlign w:val="bottom"/>
          </w:tcPr>
          <w:p>
            <w:pPr>
              <w:jc w:val="center"/>
              <w:ind w:right="94"/>
              <w:spacing w:after="0" w:line="176" w:lineRule="exact"/>
              <w:rPr>
                <w:sz w:val="20"/>
                <w:szCs w:val="20"/>
                <w:color w:val="auto"/>
              </w:rPr>
            </w:pPr>
            <w:r>
              <w:rPr>
                <w:rFonts w:ascii="Arial" w:cs="Arial" w:eastAsia="Arial" w:hAnsi="Arial"/>
                <w:sz w:val="12"/>
                <w:szCs w:val="12"/>
                <w:b w:val="1"/>
                <w:bCs w:val="1"/>
                <w:color w:val="auto"/>
                <w:w w:val="94"/>
              </w:rPr>
              <w:t xml:space="preserve">Index </w:t>
            </w:r>
            <w:r>
              <w:rPr>
                <w:rFonts w:ascii="Arial" w:cs="Arial" w:eastAsia="Arial" w:hAnsi="Arial"/>
                <w:sz w:val="20"/>
                <w:szCs w:val="20"/>
                <w:b w:val="1"/>
                <w:bCs w:val="1"/>
                <w:color w:val="auto"/>
                <w:w w:val="94"/>
                <w:vertAlign w:val="superscript"/>
              </w:rPr>
              <w:t>(4)</w:t>
            </w:r>
          </w:p>
        </w:tc>
        <w:tc>
          <w:tcPr>
            <w:tcW w:w="10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Shares</w:t>
            </w:r>
          </w:p>
        </w:tc>
        <w:tc>
          <w:tcPr>
            <w:tcW w:w="60" w:type="dxa"/>
            <w:vAlign w:val="bottom"/>
          </w:tcPr>
          <w:p>
            <w:pPr>
              <w:spacing w:after="0"/>
              <w:rPr>
                <w:sz w:val="15"/>
                <w:szCs w:val="15"/>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Cost</w:t>
            </w:r>
          </w:p>
        </w:tc>
        <w:tc>
          <w:tcPr>
            <w:tcW w:w="9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6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0"/>
                <w:szCs w:val="10"/>
                <w:b w:val="1"/>
                <w:bCs w:val="1"/>
                <w:color w:val="auto"/>
              </w:rPr>
              <w:t xml:space="preserve">Investments in Non-Controlled, Affiliated Portfolio Companies—13.6% </w:t>
            </w:r>
            <w:r>
              <w:rPr>
                <w:rFonts w:ascii="Arial" w:cs="Arial" w:eastAsia="Arial" w:hAnsi="Arial"/>
                <w:sz w:val="16"/>
                <w:szCs w:val="16"/>
                <w:b w:val="1"/>
                <w:bCs w:val="1"/>
                <w:color w:val="auto"/>
                <w:vertAlign w:val="superscript"/>
              </w:rPr>
              <w:t>(1),(2)</w:t>
            </w:r>
          </w:p>
        </w:tc>
        <w:tc>
          <w:tcPr>
            <w:tcW w:w="14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20"/>
                <w:szCs w:val="20"/>
                <w:color w:val="auto"/>
              </w:rPr>
            </w:pPr>
            <w:r>
              <w:rPr>
                <w:rFonts w:ascii="Arial" w:cs="Arial" w:eastAsia="Arial" w:hAnsi="Arial"/>
                <w:sz w:val="13"/>
                <w:szCs w:val="13"/>
                <w:b w:val="1"/>
                <w:bCs w:val="1"/>
                <w:color w:val="auto"/>
              </w:rPr>
              <w:t>Second Lien Secured Debt—1.1%</w:t>
            </w:r>
          </w:p>
        </w:tc>
        <w:tc>
          <w:tcPr>
            <w:tcW w:w="7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1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Performance, Inc.</w:t>
            </w:r>
          </w:p>
        </w:tc>
        <w:tc>
          <w:tcPr>
            <w:tcW w:w="7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01/16/2015</w:t>
            </w:r>
          </w:p>
        </w:tc>
        <w:tc>
          <w:tcPr>
            <w:tcW w:w="14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Leisure, Amusement</w:t>
            </w:r>
          </w:p>
        </w:tc>
        <w:tc>
          <w:tcPr>
            <w:tcW w:w="1040" w:type="dxa"/>
            <w:vAlign w:val="bottom"/>
            <w:shd w:val="clear" w:color="auto" w:fill="CCEEFF"/>
          </w:tcPr>
          <w:p>
            <w:pPr>
              <w:jc w:val="right"/>
              <w:ind w:right="195"/>
              <w:spacing w:after="0" w:line="138" w:lineRule="exact"/>
              <w:rPr>
                <w:sz w:val="20"/>
                <w:szCs w:val="20"/>
                <w:color w:val="auto"/>
              </w:rPr>
            </w:pPr>
            <w:r>
              <w:rPr>
                <w:rFonts w:ascii="Arial" w:cs="Arial" w:eastAsia="Arial" w:hAnsi="Arial"/>
                <w:sz w:val="13"/>
                <w:szCs w:val="13"/>
                <w:color w:val="auto"/>
              </w:rPr>
              <w:t>7.25%</w:t>
            </w:r>
          </w:p>
        </w:tc>
        <w:tc>
          <w:tcPr>
            <w:tcW w:w="960" w:type="dxa"/>
            <w:vAlign w:val="bottom"/>
            <w:shd w:val="clear" w:color="auto" w:fill="CCEEFF"/>
          </w:tcPr>
          <w:p>
            <w:pPr>
              <w:ind w:left="360"/>
              <w:spacing w:after="0" w:line="138" w:lineRule="exact"/>
              <w:rPr>
                <w:sz w:val="20"/>
                <w:szCs w:val="20"/>
                <w:color w:val="auto"/>
              </w:rPr>
            </w:pPr>
            <w:r>
              <w:rPr>
                <w:rFonts w:ascii="Arial" w:cs="Arial" w:eastAsia="Arial" w:hAnsi="Arial"/>
                <w:sz w:val="10"/>
                <w:szCs w:val="10"/>
                <w:color w:val="auto"/>
              </w:rPr>
              <w:t xml:space="preserve">L+625 </w:t>
            </w:r>
            <w:r>
              <w:rPr>
                <w:rFonts w:ascii="Arial" w:cs="Arial" w:eastAsia="Arial" w:hAnsi="Arial"/>
                <w:sz w:val="15"/>
                <w:szCs w:val="15"/>
                <w:color w:val="auto"/>
                <w:vertAlign w:val="superscript"/>
              </w:rPr>
              <w:t>(8)</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8,000,000</w:t>
            </w: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8,000,000</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7,780,000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Motion Pictures and</w:t>
            </w:r>
          </w:p>
        </w:tc>
        <w:tc>
          <w:tcPr>
            <w:tcW w:w="10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Entertainment</w:t>
            </w:r>
          </w:p>
        </w:tc>
        <w:tc>
          <w:tcPr>
            <w:tcW w:w="10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160" w:type="dxa"/>
            <w:vAlign w:val="bottom"/>
          </w:tcPr>
          <w:p>
            <w:pPr>
              <w:spacing w:after="0"/>
              <w:rPr>
                <w:sz w:val="20"/>
                <w:szCs w:val="20"/>
                <w:color w:val="auto"/>
              </w:rPr>
            </w:pPr>
            <w:r>
              <w:rPr>
                <w:rFonts w:ascii="Arial" w:cs="Arial" w:eastAsia="Arial" w:hAnsi="Arial"/>
                <w:sz w:val="13"/>
                <w:szCs w:val="13"/>
                <w:b w:val="1"/>
                <w:bCs w:val="1"/>
                <w:color w:val="auto"/>
              </w:rPr>
              <w:t>Subordinated Debt/Corporate Notes—8.5%</w:t>
            </w:r>
          </w:p>
        </w:tc>
        <w:tc>
          <w:tcPr>
            <w:tcW w:w="7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1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DirectBuy Holdings, Inc.</w:t>
            </w:r>
          </w:p>
        </w:tc>
        <w:tc>
          <w:tcPr>
            <w:tcW w:w="7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11/05/2019</w:t>
            </w:r>
          </w:p>
        </w:tc>
        <w:tc>
          <w:tcPr>
            <w:tcW w:w="14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Consumer Products</w:t>
            </w:r>
          </w:p>
        </w:tc>
        <w:tc>
          <w:tcPr>
            <w:tcW w:w="1040" w:type="dxa"/>
            <w:vAlign w:val="bottom"/>
            <w:shd w:val="clear" w:color="auto" w:fill="CCEEFF"/>
          </w:tcPr>
          <w:p>
            <w:pPr>
              <w:jc w:val="right"/>
              <w:ind w:right="195"/>
              <w:spacing w:after="0" w:line="138" w:lineRule="exact"/>
              <w:rPr>
                <w:sz w:val="20"/>
                <w:szCs w:val="20"/>
                <w:color w:val="auto"/>
              </w:rPr>
            </w:pPr>
            <w:r>
              <w:rPr>
                <w:rFonts w:ascii="Arial" w:cs="Arial" w:eastAsia="Arial" w:hAnsi="Arial"/>
                <w:sz w:val="13"/>
                <w:szCs w:val="13"/>
                <w:color w:val="auto"/>
              </w:rPr>
              <w:t>12.00%</w:t>
            </w:r>
          </w:p>
        </w:tc>
        <w:tc>
          <w:tcPr>
            <w:tcW w:w="960" w:type="dxa"/>
            <w:vAlign w:val="bottom"/>
            <w:shd w:val="clear" w:color="auto" w:fill="CCEEFF"/>
          </w:tcPr>
          <w:p>
            <w:pPr>
              <w:ind w:left="520"/>
              <w:spacing w:after="0" w:line="138"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10,472,000</w:t>
            </w: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10,472,000</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10,472,000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rPr>
              <w:t>(PIK 12.00%)</w:t>
            </w:r>
          </w:p>
        </w:tc>
        <w:tc>
          <w:tcPr>
            <w:tcW w:w="9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160" w:type="dxa"/>
            <w:vAlign w:val="bottom"/>
          </w:tcPr>
          <w:p>
            <w:pPr>
              <w:spacing w:after="0" w:line="138" w:lineRule="exact"/>
              <w:rPr>
                <w:sz w:val="20"/>
                <w:szCs w:val="20"/>
                <w:color w:val="auto"/>
              </w:rPr>
            </w:pPr>
            <w:r>
              <w:rPr>
                <w:rFonts w:ascii="Arial" w:cs="Arial" w:eastAsia="Arial" w:hAnsi="Arial"/>
                <w:sz w:val="13"/>
                <w:szCs w:val="13"/>
                <w:color w:val="auto"/>
              </w:rPr>
              <w:t>Performance Holdings, Inc.</w:t>
            </w:r>
          </w:p>
        </w:tc>
        <w:tc>
          <w:tcPr>
            <w:tcW w:w="700" w:type="dxa"/>
            <w:vAlign w:val="bottom"/>
          </w:tcPr>
          <w:p>
            <w:pPr>
              <w:jc w:val="center"/>
              <w:spacing w:after="0" w:line="138" w:lineRule="exact"/>
              <w:rPr>
                <w:sz w:val="20"/>
                <w:szCs w:val="20"/>
                <w:color w:val="auto"/>
              </w:rPr>
            </w:pPr>
            <w:r>
              <w:rPr>
                <w:rFonts w:ascii="Arial" w:cs="Arial" w:eastAsia="Arial" w:hAnsi="Arial"/>
                <w:sz w:val="13"/>
                <w:szCs w:val="13"/>
                <w:color w:val="auto"/>
                <w:w w:val="95"/>
              </w:rPr>
              <w:t>07/16/2015</w:t>
            </w:r>
          </w:p>
        </w:tc>
        <w:tc>
          <w:tcPr>
            <w:tcW w:w="1420" w:type="dxa"/>
            <w:vAlign w:val="bottom"/>
          </w:tcPr>
          <w:p>
            <w:pPr>
              <w:jc w:val="center"/>
              <w:spacing w:after="0" w:line="138" w:lineRule="exact"/>
              <w:rPr>
                <w:sz w:val="20"/>
                <w:szCs w:val="20"/>
                <w:color w:val="auto"/>
              </w:rPr>
            </w:pPr>
            <w:r>
              <w:rPr>
                <w:rFonts w:ascii="Arial" w:cs="Arial" w:eastAsia="Arial" w:hAnsi="Arial"/>
                <w:sz w:val="13"/>
                <w:szCs w:val="13"/>
                <w:color w:val="auto"/>
                <w:w w:val="94"/>
              </w:rPr>
              <w:t>Leisure, Amusement,</w:t>
            </w:r>
          </w:p>
        </w:tc>
        <w:tc>
          <w:tcPr>
            <w:tcW w:w="1040" w:type="dxa"/>
            <w:vAlign w:val="bottom"/>
          </w:tcPr>
          <w:p>
            <w:pPr>
              <w:jc w:val="right"/>
              <w:spacing w:after="0" w:line="138" w:lineRule="exact"/>
              <w:rPr>
                <w:sz w:val="20"/>
                <w:szCs w:val="20"/>
                <w:color w:val="auto"/>
              </w:rPr>
            </w:pPr>
            <w:r>
              <w:rPr>
                <w:rFonts w:ascii="Arial" w:cs="Arial" w:eastAsia="Arial" w:hAnsi="Arial"/>
                <w:sz w:val="10"/>
                <w:szCs w:val="10"/>
                <w:color w:val="auto"/>
              </w:rPr>
              <w:t xml:space="preserve">15.00%) </w:t>
            </w:r>
            <w:r>
              <w:rPr>
                <w:rFonts w:ascii="Arial" w:cs="Arial" w:eastAsia="Arial" w:hAnsi="Arial"/>
                <w:sz w:val="15"/>
                <w:szCs w:val="15"/>
                <w:color w:val="auto"/>
                <w:vertAlign w:val="superscript"/>
              </w:rPr>
              <w:t>(7)</w:t>
            </w:r>
          </w:p>
        </w:tc>
        <w:tc>
          <w:tcPr>
            <w:tcW w:w="960" w:type="dxa"/>
            <w:vAlign w:val="bottom"/>
          </w:tcPr>
          <w:p>
            <w:pPr>
              <w:ind w:left="520"/>
              <w:spacing w:after="0" w:line="138"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38" w:lineRule="exact"/>
              <w:rPr>
                <w:sz w:val="20"/>
                <w:szCs w:val="20"/>
                <w:color w:val="auto"/>
              </w:rPr>
            </w:pPr>
            <w:r>
              <w:rPr>
                <w:rFonts w:ascii="Arial" w:cs="Arial" w:eastAsia="Arial" w:hAnsi="Arial"/>
                <w:sz w:val="13"/>
                <w:szCs w:val="13"/>
                <w:color w:val="auto"/>
              </w:rPr>
              <w:t>7,567,234</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8" w:lineRule="exact"/>
              <w:rPr>
                <w:sz w:val="20"/>
                <w:szCs w:val="20"/>
                <w:color w:val="auto"/>
              </w:rPr>
            </w:pPr>
            <w:r>
              <w:rPr>
                <w:rFonts w:ascii="Arial" w:cs="Arial" w:eastAsia="Arial" w:hAnsi="Arial"/>
                <w:sz w:val="13"/>
                <w:szCs w:val="13"/>
                <w:color w:val="auto"/>
              </w:rPr>
              <w:t>7,442,664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line="138" w:lineRule="exact"/>
              <w:rPr>
                <w:sz w:val="20"/>
                <w:szCs w:val="20"/>
                <w:color w:val="auto"/>
              </w:rPr>
            </w:pPr>
            <w:r>
              <w:rPr>
                <w:rFonts w:ascii="Arial" w:cs="Arial" w:eastAsia="Arial" w:hAnsi="Arial"/>
                <w:sz w:val="13"/>
                <w:szCs w:val="13"/>
                <w:color w:val="auto"/>
              </w:rPr>
              <w:t>7,567,234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Arial" w:cs="Arial" w:eastAsia="Arial" w:hAnsi="Arial"/>
                <w:sz w:val="13"/>
                <w:szCs w:val="13"/>
                <w:color w:val="auto"/>
                <w:w w:val="95"/>
              </w:rPr>
              <w:t>Motion Pictures and</w:t>
            </w: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3"/>
                <w:szCs w:val="13"/>
                <w:color w:val="auto"/>
                <w:w w:val="93"/>
              </w:rPr>
              <w:t>Entertainment</w:t>
            </w: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160" w:type="dxa"/>
            <w:vAlign w:val="bottom"/>
            <w:shd w:val="clear" w:color="auto" w:fill="CCEEFF"/>
          </w:tcPr>
          <w:p>
            <w:pPr>
              <w:spacing w:after="0"/>
              <w:rPr>
                <w:sz w:val="20"/>
                <w:szCs w:val="20"/>
                <w:color w:val="auto"/>
              </w:rPr>
            </w:pPr>
            <w:r>
              <w:rPr>
                <w:rFonts w:ascii="Arial" w:cs="Arial" w:eastAsia="Arial" w:hAnsi="Arial"/>
                <w:sz w:val="13"/>
                <w:szCs w:val="13"/>
                <w:color w:val="auto"/>
              </w:rPr>
              <w:t>Service Champ, Inc.</w:t>
            </w: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10/02/2017</w:t>
            </w: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Auto Sector</w:t>
            </w:r>
          </w:p>
        </w:tc>
        <w:tc>
          <w:tcPr>
            <w:tcW w:w="104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12.50%</w:t>
            </w:r>
          </w:p>
        </w:tc>
        <w:tc>
          <w:tcPr>
            <w:tcW w:w="9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24,000,000</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23,514,474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24,190,344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160" w:type="dxa"/>
            <w:vAlign w:val="bottom"/>
          </w:tcPr>
          <w:p>
            <w:pPr>
              <w:spacing w:after="0" w:line="149" w:lineRule="exact"/>
              <w:rPr>
                <w:sz w:val="20"/>
                <w:szCs w:val="20"/>
                <w:color w:val="auto"/>
              </w:rPr>
            </w:pPr>
            <w:r>
              <w:rPr>
                <w:rFonts w:ascii="Arial" w:cs="Arial" w:eastAsia="Arial" w:hAnsi="Arial"/>
                <w:sz w:val="11"/>
                <w:szCs w:val="11"/>
                <w:color w:val="auto"/>
              </w:rPr>
              <w:t xml:space="preserve">Service Champ, Inc. </w:t>
            </w:r>
            <w:r>
              <w:rPr>
                <w:rFonts w:ascii="Arial" w:cs="Arial" w:eastAsia="Arial" w:hAnsi="Arial"/>
                <w:sz w:val="17"/>
                <w:szCs w:val="17"/>
                <w:color w:val="auto"/>
                <w:vertAlign w:val="superscript"/>
              </w:rPr>
              <w:t>(9)</w:t>
            </w:r>
          </w:p>
        </w:tc>
        <w:tc>
          <w:tcPr>
            <w:tcW w:w="700" w:type="dxa"/>
            <w:vAlign w:val="bottom"/>
          </w:tcPr>
          <w:p>
            <w:pPr>
              <w:jc w:val="center"/>
              <w:spacing w:after="0"/>
              <w:rPr>
                <w:sz w:val="20"/>
                <w:szCs w:val="20"/>
                <w:color w:val="auto"/>
              </w:rPr>
            </w:pPr>
            <w:r>
              <w:rPr>
                <w:rFonts w:ascii="Arial" w:cs="Arial" w:eastAsia="Arial" w:hAnsi="Arial"/>
                <w:sz w:val="13"/>
                <w:szCs w:val="13"/>
                <w:color w:val="auto"/>
                <w:w w:val="95"/>
              </w:rPr>
              <w:t>10/02/2013</w:t>
            </w:r>
          </w:p>
        </w:tc>
        <w:tc>
          <w:tcPr>
            <w:tcW w:w="1420" w:type="dxa"/>
            <w:vAlign w:val="bottom"/>
          </w:tcPr>
          <w:p>
            <w:pPr>
              <w:jc w:val="center"/>
              <w:spacing w:after="0"/>
              <w:rPr>
                <w:sz w:val="20"/>
                <w:szCs w:val="20"/>
                <w:color w:val="auto"/>
              </w:rPr>
            </w:pPr>
            <w:r>
              <w:rPr>
                <w:rFonts w:ascii="Arial" w:cs="Arial" w:eastAsia="Arial" w:hAnsi="Arial"/>
                <w:sz w:val="13"/>
                <w:szCs w:val="13"/>
                <w:color w:val="auto"/>
                <w:w w:val="94"/>
              </w:rPr>
              <w:t>Auto Sector</w:t>
            </w:r>
          </w:p>
        </w:tc>
        <w:tc>
          <w:tcPr>
            <w:tcW w:w="1040" w:type="dxa"/>
            <w:vAlign w:val="bottom"/>
          </w:tcPr>
          <w:p>
            <w:pPr>
              <w:jc w:val="right"/>
              <w:ind w:right="375"/>
              <w:spacing w:after="0"/>
              <w:rPr>
                <w:sz w:val="20"/>
                <w:szCs w:val="20"/>
                <w:color w:val="auto"/>
              </w:rPr>
            </w:pPr>
            <w:r>
              <w:rPr>
                <w:rFonts w:ascii="Arial" w:cs="Arial" w:eastAsia="Arial" w:hAnsi="Arial"/>
                <w:sz w:val="13"/>
                <w:szCs w:val="13"/>
                <w:color w:val="auto"/>
              </w:rPr>
              <w:t>—</w:t>
            </w:r>
          </w:p>
        </w:tc>
        <w:tc>
          <w:tcPr>
            <w:tcW w:w="960" w:type="dxa"/>
            <w:vAlign w:val="bottom"/>
          </w:tcPr>
          <w:p>
            <w:pPr>
              <w:ind w:left="5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16,000,000</w:t>
            </w:r>
          </w:p>
        </w:tc>
        <w:tc>
          <w:tcPr>
            <w:tcW w:w="3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15,640,000</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16,126,896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Subordinated Debt/Corporate Notes</w:t>
            </w:r>
          </w:p>
        </w:tc>
        <w:tc>
          <w:tcPr>
            <w:tcW w:w="7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57,069,138</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58,356,474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160" w:type="dxa"/>
            <w:vAlign w:val="bottom"/>
          </w:tcPr>
          <w:p>
            <w:pPr>
              <w:spacing w:after="0" w:line="156" w:lineRule="exact"/>
              <w:rPr>
                <w:sz w:val="20"/>
                <w:szCs w:val="20"/>
                <w:color w:val="auto"/>
              </w:rPr>
            </w:pPr>
            <w:r>
              <w:rPr>
                <w:rFonts w:ascii="Arial" w:cs="Arial" w:eastAsia="Arial" w:hAnsi="Arial"/>
                <w:sz w:val="11"/>
                <w:szCs w:val="11"/>
                <w:b w:val="1"/>
                <w:bCs w:val="1"/>
                <w:color w:val="auto"/>
              </w:rPr>
              <w:t xml:space="preserve">Common Equity/Partnership Interest—4.0% </w:t>
            </w:r>
            <w:r>
              <w:rPr>
                <w:rFonts w:ascii="Arial" w:cs="Arial" w:eastAsia="Arial" w:hAnsi="Arial"/>
                <w:sz w:val="18"/>
                <w:szCs w:val="18"/>
                <w:b w:val="1"/>
                <w:bCs w:val="1"/>
                <w:color w:val="auto"/>
                <w:vertAlign w:val="superscript"/>
              </w:rPr>
              <w:t>(6)</w:t>
            </w:r>
          </w:p>
        </w:tc>
        <w:tc>
          <w:tcPr>
            <w:tcW w:w="7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60" w:type="dxa"/>
            <w:vAlign w:val="bottom"/>
            <w:shd w:val="clear" w:color="auto" w:fill="CCEEFF"/>
          </w:tcPr>
          <w:p>
            <w:pPr>
              <w:spacing w:after="0"/>
              <w:rPr>
                <w:sz w:val="20"/>
                <w:szCs w:val="20"/>
                <w:color w:val="auto"/>
              </w:rPr>
            </w:pPr>
            <w:r>
              <w:rPr>
                <w:rFonts w:ascii="Arial" w:cs="Arial" w:eastAsia="Arial" w:hAnsi="Arial"/>
                <w:sz w:val="13"/>
                <w:szCs w:val="13"/>
                <w:color w:val="auto"/>
              </w:rPr>
              <w:t>DirectBuy Holdings, Inc.</w:t>
            </w:r>
          </w:p>
        </w:tc>
        <w:tc>
          <w:tcPr>
            <w:tcW w:w="7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Consumer Products</w:t>
            </w:r>
          </w:p>
        </w:tc>
        <w:tc>
          <w:tcPr>
            <w:tcW w:w="1040" w:type="dxa"/>
            <w:vAlign w:val="bottom"/>
            <w:shd w:val="clear" w:color="auto" w:fill="CCEEFF"/>
          </w:tcPr>
          <w:p>
            <w:pPr>
              <w:jc w:val="right"/>
              <w:ind w:right="375"/>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104,719</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21,492,822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20"/>
                <w:szCs w:val="20"/>
                <w:color w:val="auto"/>
              </w:rPr>
            </w:pPr>
            <w:r>
              <w:rPr>
                <w:rFonts w:ascii="Arial" w:cs="Arial" w:eastAsia="Arial" w:hAnsi="Arial"/>
                <w:sz w:val="13"/>
                <w:szCs w:val="13"/>
                <w:color w:val="auto"/>
              </w:rPr>
              <w:t>DirectBuy Holdings, Inc. (Warrants)</w:t>
            </w:r>
          </w:p>
        </w:tc>
        <w:tc>
          <w:tcPr>
            <w:tcW w:w="700" w:type="dxa"/>
            <w:vAlign w:val="bottom"/>
          </w:tcPr>
          <w:p>
            <w:pPr>
              <w:jc w:val="center"/>
              <w:spacing w:after="0"/>
              <w:rPr>
                <w:sz w:val="20"/>
                <w:szCs w:val="20"/>
                <w:color w:val="auto"/>
              </w:rPr>
            </w:pPr>
            <w:r>
              <w:rPr>
                <w:rFonts w:ascii="Arial" w:cs="Arial" w:eastAsia="Arial" w:hAnsi="Arial"/>
                <w:sz w:val="13"/>
                <w:szCs w:val="13"/>
                <w:color w:val="auto"/>
                <w:w w:val="92"/>
              </w:rPr>
              <w:t>11/05/2022</w:t>
            </w:r>
          </w:p>
        </w:tc>
        <w:tc>
          <w:tcPr>
            <w:tcW w:w="1420" w:type="dxa"/>
            <w:vAlign w:val="bottom"/>
          </w:tcPr>
          <w:p>
            <w:pPr>
              <w:jc w:val="center"/>
              <w:spacing w:after="0"/>
              <w:rPr>
                <w:sz w:val="20"/>
                <w:szCs w:val="20"/>
                <w:color w:val="auto"/>
              </w:rPr>
            </w:pPr>
            <w:r>
              <w:rPr>
                <w:rFonts w:ascii="Arial" w:cs="Arial" w:eastAsia="Arial" w:hAnsi="Arial"/>
                <w:sz w:val="13"/>
                <w:szCs w:val="13"/>
                <w:color w:val="auto"/>
                <w:w w:val="92"/>
              </w:rPr>
              <w:t>Consumer Products</w:t>
            </w:r>
          </w:p>
        </w:tc>
        <w:tc>
          <w:tcPr>
            <w:tcW w:w="1040" w:type="dxa"/>
            <w:vAlign w:val="bottom"/>
          </w:tcPr>
          <w:p>
            <w:pPr>
              <w:jc w:val="right"/>
              <w:ind w:right="375"/>
              <w:spacing w:after="0"/>
              <w:rPr>
                <w:sz w:val="20"/>
                <w:szCs w:val="20"/>
                <w:color w:val="auto"/>
              </w:rPr>
            </w:pPr>
            <w:r>
              <w:rPr>
                <w:rFonts w:ascii="Arial" w:cs="Arial" w:eastAsia="Arial" w:hAnsi="Arial"/>
                <w:sz w:val="13"/>
                <w:szCs w:val="13"/>
                <w:color w:val="auto"/>
              </w:rPr>
              <w:t>—</w:t>
            </w:r>
          </w:p>
        </w:tc>
        <w:tc>
          <w:tcPr>
            <w:tcW w:w="960" w:type="dxa"/>
            <w:vAlign w:val="bottom"/>
          </w:tcPr>
          <w:p>
            <w:pPr>
              <w:ind w:left="5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15,486</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4160" w:type="dxa"/>
            <w:vAlign w:val="bottom"/>
            <w:shd w:val="clear" w:color="auto" w:fill="CCEEFF"/>
          </w:tcPr>
          <w:p>
            <w:pPr>
              <w:spacing w:after="0"/>
              <w:rPr>
                <w:sz w:val="20"/>
                <w:szCs w:val="20"/>
                <w:color w:val="auto"/>
              </w:rPr>
            </w:pPr>
            <w:r>
              <w:rPr>
                <w:rFonts w:ascii="Arial" w:cs="Arial" w:eastAsia="Arial" w:hAnsi="Arial"/>
                <w:sz w:val="13"/>
                <w:szCs w:val="13"/>
                <w:color w:val="auto"/>
              </w:rPr>
              <w:t>EnviroSolutions, Inc.</w:t>
            </w:r>
          </w:p>
        </w:tc>
        <w:tc>
          <w:tcPr>
            <w:tcW w:w="7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Environmental Services</w:t>
            </w:r>
          </w:p>
        </w:tc>
        <w:tc>
          <w:tcPr>
            <w:tcW w:w="1040" w:type="dxa"/>
            <w:vAlign w:val="bottom"/>
            <w:shd w:val="clear" w:color="auto" w:fill="CCEEFF"/>
          </w:tcPr>
          <w:p>
            <w:pPr>
              <w:jc w:val="right"/>
              <w:ind w:right="375"/>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137,450</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11,413,684</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19,971,112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160" w:type="dxa"/>
            <w:vAlign w:val="bottom"/>
          </w:tcPr>
          <w:p>
            <w:pPr>
              <w:spacing w:after="0" w:line="138" w:lineRule="exact"/>
              <w:rPr>
                <w:sz w:val="20"/>
                <w:szCs w:val="20"/>
                <w:color w:val="auto"/>
              </w:rPr>
            </w:pPr>
            <w:r>
              <w:rPr>
                <w:rFonts w:ascii="Arial" w:cs="Arial" w:eastAsia="Arial" w:hAnsi="Arial"/>
                <w:sz w:val="13"/>
                <w:szCs w:val="13"/>
                <w:color w:val="auto"/>
              </w:rPr>
              <w:t>NCP-Performance</w:t>
            </w:r>
          </w:p>
        </w:tc>
        <w:tc>
          <w:tcPr>
            <w:tcW w:w="700" w:type="dxa"/>
            <w:vAlign w:val="bottom"/>
          </w:tcPr>
          <w:p>
            <w:pPr>
              <w:ind w:left="240"/>
              <w:spacing w:after="0" w:line="138" w:lineRule="exact"/>
              <w:rPr>
                <w:sz w:val="20"/>
                <w:szCs w:val="20"/>
                <w:color w:val="auto"/>
              </w:rPr>
            </w:pPr>
            <w:r>
              <w:rPr>
                <w:rFonts w:ascii="Arial" w:cs="Arial" w:eastAsia="Arial" w:hAnsi="Arial"/>
                <w:sz w:val="13"/>
                <w:szCs w:val="13"/>
                <w:color w:val="auto"/>
              </w:rPr>
              <w:t>—</w:t>
            </w:r>
          </w:p>
        </w:tc>
        <w:tc>
          <w:tcPr>
            <w:tcW w:w="1420" w:type="dxa"/>
            <w:vAlign w:val="bottom"/>
          </w:tcPr>
          <w:p>
            <w:pPr>
              <w:jc w:val="center"/>
              <w:spacing w:after="0" w:line="138" w:lineRule="exact"/>
              <w:rPr>
                <w:sz w:val="20"/>
                <w:szCs w:val="20"/>
                <w:color w:val="auto"/>
              </w:rPr>
            </w:pPr>
            <w:r>
              <w:rPr>
                <w:rFonts w:ascii="Arial" w:cs="Arial" w:eastAsia="Arial" w:hAnsi="Arial"/>
                <w:sz w:val="13"/>
                <w:szCs w:val="13"/>
                <w:color w:val="auto"/>
                <w:w w:val="94"/>
              </w:rPr>
              <w:t>Leisure, Amusement,</w:t>
            </w:r>
          </w:p>
        </w:tc>
        <w:tc>
          <w:tcPr>
            <w:tcW w:w="1040" w:type="dxa"/>
            <w:vAlign w:val="bottom"/>
          </w:tcPr>
          <w:p>
            <w:pPr>
              <w:jc w:val="right"/>
              <w:ind w:right="375"/>
              <w:spacing w:after="0" w:line="138" w:lineRule="exact"/>
              <w:rPr>
                <w:sz w:val="20"/>
                <w:szCs w:val="20"/>
                <w:color w:val="auto"/>
              </w:rPr>
            </w:pPr>
            <w:r>
              <w:rPr>
                <w:rFonts w:ascii="Arial" w:cs="Arial" w:eastAsia="Arial" w:hAnsi="Arial"/>
                <w:sz w:val="13"/>
                <w:szCs w:val="13"/>
                <w:color w:val="auto"/>
              </w:rPr>
              <w:t>—</w:t>
            </w:r>
          </w:p>
        </w:tc>
        <w:tc>
          <w:tcPr>
            <w:tcW w:w="960" w:type="dxa"/>
            <w:vAlign w:val="bottom"/>
          </w:tcPr>
          <w:p>
            <w:pPr>
              <w:ind w:left="520"/>
              <w:spacing w:after="0" w:line="138"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38" w:lineRule="exact"/>
              <w:rPr>
                <w:sz w:val="20"/>
                <w:szCs w:val="20"/>
                <w:color w:val="auto"/>
              </w:rPr>
            </w:pPr>
            <w:r>
              <w:rPr>
                <w:rFonts w:ascii="Arial" w:cs="Arial" w:eastAsia="Arial" w:hAnsi="Arial"/>
                <w:sz w:val="13"/>
                <w:szCs w:val="13"/>
                <w:color w:val="auto"/>
              </w:rPr>
              <w:t>375,000</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8" w:lineRule="exact"/>
              <w:rPr>
                <w:sz w:val="20"/>
                <w:szCs w:val="20"/>
                <w:color w:val="auto"/>
              </w:rPr>
            </w:pPr>
            <w:r>
              <w:rPr>
                <w:rFonts w:ascii="Arial" w:cs="Arial" w:eastAsia="Arial" w:hAnsi="Arial"/>
                <w:sz w:val="13"/>
                <w:szCs w:val="13"/>
                <w:color w:val="auto"/>
              </w:rPr>
              <w:t>3,750,000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line="138" w:lineRule="exact"/>
              <w:rPr>
                <w:sz w:val="20"/>
                <w:szCs w:val="20"/>
                <w:color w:val="auto"/>
              </w:rPr>
            </w:pPr>
            <w:r>
              <w:rPr>
                <w:rFonts w:ascii="Arial" w:cs="Arial" w:eastAsia="Arial" w:hAnsi="Arial"/>
                <w:sz w:val="13"/>
                <w:szCs w:val="13"/>
                <w:color w:val="auto"/>
              </w:rPr>
              <w:t>2,779,601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60" w:type="dxa"/>
            <w:vAlign w:val="bottom"/>
          </w:tcPr>
          <w:p>
            <w:pPr>
              <w:ind w:left="220"/>
              <w:spacing w:after="0"/>
              <w:rPr>
                <w:sz w:val="20"/>
                <w:szCs w:val="20"/>
                <w:color w:val="auto"/>
              </w:rPr>
            </w:pPr>
            <w:r>
              <w:rPr>
                <w:rFonts w:ascii="Arial" w:cs="Arial" w:eastAsia="Arial" w:hAnsi="Arial"/>
                <w:sz w:val="13"/>
                <w:szCs w:val="13"/>
                <w:color w:val="auto"/>
              </w:rPr>
              <w:t>(Performance Holdings, Inc.)</w:t>
            </w:r>
          </w:p>
        </w:tc>
        <w:tc>
          <w:tcPr>
            <w:tcW w:w="70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Arial" w:cs="Arial" w:eastAsia="Arial" w:hAnsi="Arial"/>
                <w:sz w:val="13"/>
                <w:szCs w:val="13"/>
                <w:color w:val="auto"/>
                <w:w w:val="95"/>
              </w:rPr>
              <w:t>Motion Pictures and</w:t>
            </w: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3"/>
                <w:szCs w:val="13"/>
                <w:color w:val="auto"/>
                <w:w w:val="93"/>
              </w:rPr>
              <w:t>Entertainment</w:t>
            </w: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1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New Service Champ Holdings, Inc.</w:t>
            </w:r>
          </w:p>
        </w:tc>
        <w:tc>
          <w:tcPr>
            <w:tcW w:w="700" w:type="dxa"/>
            <w:vAlign w:val="bottom"/>
            <w:shd w:val="clear" w:color="auto" w:fill="CCEEFF"/>
          </w:tcPr>
          <w:p>
            <w:pPr>
              <w:ind w:left="240"/>
              <w:spacing w:after="0" w:line="138" w:lineRule="exact"/>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Auto Sector</w:t>
            </w:r>
          </w:p>
        </w:tc>
        <w:tc>
          <w:tcPr>
            <w:tcW w:w="1040" w:type="dxa"/>
            <w:vAlign w:val="bottom"/>
            <w:shd w:val="clear" w:color="auto" w:fill="CCEEFF"/>
          </w:tcPr>
          <w:p>
            <w:pPr>
              <w:jc w:val="right"/>
              <w:ind w:right="375"/>
              <w:spacing w:after="0" w:line="138"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ind w:left="520"/>
              <w:spacing w:after="0" w:line="138"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16,800</w:t>
            </w: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4,200,000</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4,784,499</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1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(Service Champ, Inc.)</w:t>
            </w:r>
          </w:p>
        </w:tc>
        <w:tc>
          <w:tcPr>
            <w:tcW w:w="7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160" w:type="dxa"/>
            <w:vAlign w:val="bottom"/>
          </w:tcPr>
          <w:p>
            <w:pPr>
              <w:spacing w:after="0"/>
              <w:rPr>
                <w:sz w:val="20"/>
                <w:szCs w:val="20"/>
                <w:color w:val="auto"/>
              </w:rPr>
            </w:pPr>
            <w:r>
              <w:rPr>
                <w:rFonts w:ascii="Arial" w:cs="Arial" w:eastAsia="Arial" w:hAnsi="Arial"/>
                <w:sz w:val="13"/>
                <w:szCs w:val="13"/>
                <w:b w:val="1"/>
                <w:bCs w:val="1"/>
                <w:color w:val="auto"/>
              </w:rPr>
              <w:t>Total Common Equity/Partnership Interest</w:t>
            </w:r>
          </w:p>
        </w:tc>
        <w:tc>
          <w:tcPr>
            <w:tcW w:w="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40,856,506</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27,535,212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w w:val="99"/>
              </w:rPr>
              <w:t>Total Investments in Non-Controlled, Affiliated Portfolio Companies</w:t>
            </w:r>
          </w:p>
        </w:tc>
        <w:tc>
          <w:tcPr>
            <w:tcW w:w="7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105,925,644</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93,671,686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160" w:type="dxa"/>
            <w:vAlign w:val="bottom"/>
          </w:tcPr>
          <w:p>
            <w:pPr>
              <w:spacing w:after="0" w:line="156" w:lineRule="exact"/>
              <w:rPr>
                <w:sz w:val="20"/>
                <w:szCs w:val="20"/>
                <w:color w:val="auto"/>
              </w:rPr>
            </w:pPr>
            <w:r>
              <w:rPr>
                <w:rFonts w:ascii="Arial" w:cs="Arial" w:eastAsia="Arial" w:hAnsi="Arial"/>
                <w:sz w:val="11"/>
                <w:szCs w:val="11"/>
                <w:b w:val="1"/>
                <w:bCs w:val="1"/>
                <w:color w:val="auto"/>
              </w:rPr>
              <w:t xml:space="preserve">Investments in Controlled, Affiliated Portfolio Companies—5.7% </w:t>
            </w:r>
            <w:r>
              <w:rPr>
                <w:rFonts w:ascii="Arial" w:cs="Arial" w:eastAsia="Arial" w:hAnsi="Arial"/>
                <w:sz w:val="18"/>
                <w:szCs w:val="18"/>
                <w:b w:val="1"/>
                <w:bCs w:val="1"/>
                <w:color w:val="auto"/>
                <w:vertAlign w:val="superscript"/>
              </w:rPr>
              <w:t>(1),(2)</w:t>
            </w:r>
          </w:p>
        </w:tc>
        <w:tc>
          <w:tcPr>
            <w:tcW w:w="7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First Lien Secured Debt—1.8%</w:t>
            </w:r>
          </w:p>
        </w:tc>
        <w:tc>
          <w:tcPr>
            <w:tcW w:w="7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20"/>
                <w:szCs w:val="20"/>
                <w:color w:val="auto"/>
              </w:rPr>
            </w:pPr>
            <w:r>
              <w:rPr>
                <w:rFonts w:ascii="Arial" w:cs="Arial" w:eastAsia="Arial" w:hAnsi="Arial"/>
                <w:sz w:val="13"/>
                <w:szCs w:val="13"/>
                <w:color w:val="auto"/>
              </w:rPr>
              <w:t>SuttonPark Holdings, Inc.</w:t>
            </w:r>
          </w:p>
        </w:tc>
        <w:tc>
          <w:tcPr>
            <w:tcW w:w="700" w:type="dxa"/>
            <w:vAlign w:val="bottom"/>
          </w:tcPr>
          <w:p>
            <w:pPr>
              <w:jc w:val="center"/>
              <w:spacing w:after="0"/>
              <w:rPr>
                <w:sz w:val="20"/>
                <w:szCs w:val="20"/>
                <w:color w:val="auto"/>
              </w:rPr>
            </w:pPr>
            <w:r>
              <w:rPr>
                <w:rFonts w:ascii="Arial" w:cs="Arial" w:eastAsia="Arial" w:hAnsi="Arial"/>
                <w:sz w:val="13"/>
                <w:szCs w:val="13"/>
                <w:color w:val="auto"/>
                <w:w w:val="95"/>
              </w:rPr>
              <w:t>06/30/2020</w:t>
            </w:r>
          </w:p>
        </w:tc>
        <w:tc>
          <w:tcPr>
            <w:tcW w:w="1420" w:type="dxa"/>
            <w:vAlign w:val="bottom"/>
          </w:tcPr>
          <w:p>
            <w:pPr>
              <w:jc w:val="center"/>
              <w:spacing w:after="0"/>
              <w:rPr>
                <w:sz w:val="20"/>
                <w:szCs w:val="20"/>
                <w:color w:val="auto"/>
              </w:rPr>
            </w:pPr>
            <w:r>
              <w:rPr>
                <w:rFonts w:ascii="Arial" w:cs="Arial" w:eastAsia="Arial" w:hAnsi="Arial"/>
                <w:sz w:val="13"/>
                <w:szCs w:val="13"/>
                <w:color w:val="auto"/>
                <w:w w:val="90"/>
              </w:rPr>
              <w:t>Business Services</w:t>
            </w:r>
          </w:p>
        </w:tc>
        <w:tc>
          <w:tcPr>
            <w:tcW w:w="1040" w:type="dxa"/>
            <w:vAlign w:val="bottom"/>
          </w:tcPr>
          <w:p>
            <w:pPr>
              <w:jc w:val="right"/>
              <w:ind w:right="35"/>
              <w:spacing w:after="0" w:line="149" w:lineRule="exact"/>
              <w:rPr>
                <w:sz w:val="20"/>
                <w:szCs w:val="20"/>
                <w:color w:val="auto"/>
              </w:rPr>
            </w:pPr>
            <w:r>
              <w:rPr>
                <w:rFonts w:ascii="Arial" w:cs="Arial" w:eastAsia="Arial" w:hAnsi="Arial"/>
                <w:sz w:val="11"/>
                <w:szCs w:val="11"/>
                <w:color w:val="auto"/>
              </w:rPr>
              <w:t xml:space="preserve">14.00% </w:t>
            </w:r>
            <w:r>
              <w:rPr>
                <w:rFonts w:ascii="Arial" w:cs="Arial" w:eastAsia="Arial" w:hAnsi="Arial"/>
                <w:sz w:val="17"/>
                <w:szCs w:val="17"/>
                <w:color w:val="auto"/>
                <w:vertAlign w:val="superscript"/>
              </w:rPr>
              <w:t>(7)</w:t>
            </w:r>
          </w:p>
        </w:tc>
        <w:tc>
          <w:tcPr>
            <w:tcW w:w="9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10,400,000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10,400,000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10,767,224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UP Support Services, Inc. </w:t>
            </w:r>
            <w:r>
              <w:rPr>
                <w:rFonts w:ascii="Arial" w:cs="Arial" w:eastAsia="Arial" w:hAnsi="Arial"/>
                <w:sz w:val="17"/>
                <w:szCs w:val="17"/>
                <w:color w:val="auto"/>
                <w:vertAlign w:val="superscript"/>
              </w:rPr>
              <w:t>(9)</w:t>
            </w: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12/31/2015</w:t>
            </w: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Oil and Gas</w:t>
            </w:r>
          </w:p>
        </w:tc>
        <w:tc>
          <w:tcPr>
            <w:tcW w:w="1040" w:type="dxa"/>
            <w:vAlign w:val="bottom"/>
            <w:shd w:val="clear" w:color="auto" w:fill="CCEEFF"/>
          </w:tcPr>
          <w:p>
            <w:pPr>
              <w:jc w:val="right"/>
              <w:ind w:right="375"/>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1,916,666</w:t>
            </w:r>
          </w:p>
        </w:tc>
        <w:tc>
          <w:tcPr>
            <w:tcW w:w="3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1,749,448</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1,916,666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160" w:type="dxa"/>
            <w:vAlign w:val="bottom"/>
          </w:tcPr>
          <w:p>
            <w:pPr>
              <w:spacing w:after="0"/>
              <w:rPr>
                <w:sz w:val="20"/>
                <w:szCs w:val="20"/>
                <w:color w:val="auto"/>
              </w:rPr>
            </w:pPr>
            <w:r>
              <w:rPr>
                <w:rFonts w:ascii="Arial" w:cs="Arial" w:eastAsia="Arial" w:hAnsi="Arial"/>
                <w:sz w:val="13"/>
                <w:szCs w:val="13"/>
                <w:b w:val="1"/>
                <w:bCs w:val="1"/>
                <w:color w:val="auto"/>
              </w:rPr>
              <w:t>Total First Lien Secured Debt</w:t>
            </w:r>
          </w:p>
        </w:tc>
        <w:tc>
          <w:tcPr>
            <w:tcW w:w="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12,149,448</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12,683,890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Second Lien Secured Debt—2.2%</w:t>
            </w:r>
          </w:p>
        </w:tc>
        <w:tc>
          <w:tcPr>
            <w:tcW w:w="7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160" w:type="dxa"/>
            <w:vAlign w:val="bottom"/>
          </w:tcPr>
          <w:p>
            <w:pPr>
              <w:spacing w:after="0" w:line="138" w:lineRule="exact"/>
              <w:rPr>
                <w:sz w:val="20"/>
                <w:szCs w:val="20"/>
                <w:color w:val="auto"/>
              </w:rPr>
            </w:pPr>
            <w:r>
              <w:rPr>
                <w:rFonts w:ascii="Arial" w:cs="Arial" w:eastAsia="Arial" w:hAnsi="Arial"/>
                <w:sz w:val="13"/>
                <w:szCs w:val="13"/>
                <w:color w:val="auto"/>
              </w:rPr>
              <w:t>UP Support Services, Inc.</w:t>
            </w:r>
          </w:p>
        </w:tc>
        <w:tc>
          <w:tcPr>
            <w:tcW w:w="700" w:type="dxa"/>
            <w:vAlign w:val="bottom"/>
          </w:tcPr>
          <w:p>
            <w:pPr>
              <w:jc w:val="center"/>
              <w:spacing w:after="0" w:line="138" w:lineRule="exact"/>
              <w:rPr>
                <w:sz w:val="20"/>
                <w:szCs w:val="20"/>
                <w:color w:val="auto"/>
              </w:rPr>
            </w:pPr>
            <w:r>
              <w:rPr>
                <w:rFonts w:ascii="Arial" w:cs="Arial" w:eastAsia="Arial" w:hAnsi="Arial"/>
                <w:sz w:val="13"/>
                <w:szCs w:val="13"/>
                <w:color w:val="auto"/>
                <w:w w:val="95"/>
              </w:rPr>
              <w:t>12/31/2015</w:t>
            </w:r>
          </w:p>
        </w:tc>
        <w:tc>
          <w:tcPr>
            <w:tcW w:w="1420" w:type="dxa"/>
            <w:vAlign w:val="bottom"/>
          </w:tcPr>
          <w:p>
            <w:pPr>
              <w:jc w:val="center"/>
              <w:spacing w:after="0" w:line="138" w:lineRule="exact"/>
              <w:rPr>
                <w:sz w:val="20"/>
                <w:szCs w:val="20"/>
                <w:color w:val="auto"/>
              </w:rPr>
            </w:pPr>
            <w:r>
              <w:rPr>
                <w:rFonts w:ascii="Arial" w:cs="Arial" w:eastAsia="Arial" w:hAnsi="Arial"/>
                <w:sz w:val="13"/>
                <w:szCs w:val="13"/>
                <w:color w:val="auto"/>
                <w:w w:val="93"/>
              </w:rPr>
              <w:t>Oil and Gas</w:t>
            </w:r>
          </w:p>
        </w:tc>
        <w:tc>
          <w:tcPr>
            <w:tcW w:w="1040" w:type="dxa"/>
            <w:vAlign w:val="bottom"/>
          </w:tcPr>
          <w:p>
            <w:pPr>
              <w:jc w:val="right"/>
              <w:ind w:right="195"/>
              <w:spacing w:after="0" w:line="138" w:lineRule="exact"/>
              <w:rPr>
                <w:sz w:val="20"/>
                <w:szCs w:val="20"/>
                <w:color w:val="auto"/>
              </w:rPr>
            </w:pPr>
            <w:r>
              <w:rPr>
                <w:rFonts w:ascii="Arial" w:cs="Arial" w:eastAsia="Arial" w:hAnsi="Arial"/>
                <w:sz w:val="13"/>
                <w:szCs w:val="13"/>
                <w:color w:val="auto"/>
              </w:rPr>
              <w:t>15.00%</w:t>
            </w:r>
          </w:p>
        </w:tc>
        <w:tc>
          <w:tcPr>
            <w:tcW w:w="960" w:type="dxa"/>
            <w:vAlign w:val="bottom"/>
          </w:tcPr>
          <w:p>
            <w:pPr>
              <w:ind w:left="520"/>
              <w:spacing w:after="0" w:line="138"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38" w:lineRule="exact"/>
              <w:rPr>
                <w:sz w:val="20"/>
                <w:szCs w:val="20"/>
                <w:color w:val="auto"/>
              </w:rPr>
            </w:pPr>
            <w:r>
              <w:rPr>
                <w:rFonts w:ascii="Arial" w:cs="Arial" w:eastAsia="Arial" w:hAnsi="Arial"/>
                <w:sz w:val="13"/>
                <w:szCs w:val="13"/>
                <w:color w:val="auto"/>
              </w:rPr>
              <w:t>14,860,377</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8" w:lineRule="exact"/>
              <w:rPr>
                <w:sz w:val="20"/>
                <w:szCs w:val="20"/>
                <w:color w:val="auto"/>
              </w:rPr>
            </w:pPr>
            <w:r>
              <w:rPr>
                <w:rFonts w:ascii="Arial" w:cs="Arial" w:eastAsia="Arial" w:hAnsi="Arial"/>
                <w:sz w:val="13"/>
                <w:szCs w:val="13"/>
                <w:color w:val="auto"/>
              </w:rPr>
              <w:t>12,510,232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line="138" w:lineRule="exact"/>
              <w:rPr>
                <w:sz w:val="20"/>
                <w:szCs w:val="20"/>
                <w:color w:val="auto"/>
              </w:rPr>
            </w:pPr>
            <w:r>
              <w:rPr>
                <w:rFonts w:ascii="Arial" w:cs="Arial" w:eastAsia="Arial" w:hAnsi="Arial"/>
                <w:sz w:val="13"/>
                <w:szCs w:val="13"/>
                <w:color w:val="auto"/>
              </w:rPr>
              <w:t>14,860,377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4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40" w:type="dxa"/>
            <w:vAlign w:val="bottom"/>
          </w:tcPr>
          <w:p>
            <w:pPr>
              <w:jc w:val="right"/>
              <w:ind w:right="155"/>
              <w:spacing w:after="0"/>
              <w:rPr>
                <w:sz w:val="20"/>
                <w:szCs w:val="20"/>
                <w:color w:val="auto"/>
              </w:rPr>
            </w:pPr>
            <w:r>
              <w:rPr>
                <w:rFonts w:ascii="Arial" w:cs="Arial" w:eastAsia="Arial" w:hAnsi="Arial"/>
                <w:sz w:val="13"/>
                <w:szCs w:val="13"/>
                <w:color w:val="auto"/>
              </w:rPr>
              <w:t>(PIK 15.00%)</w:t>
            </w: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1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Subordinated Debt/Corporate Notes—0.3%</w:t>
            </w:r>
          </w:p>
        </w:tc>
        <w:tc>
          <w:tcPr>
            <w:tcW w:w="7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160" w:type="dxa"/>
            <w:vAlign w:val="bottom"/>
          </w:tcPr>
          <w:p>
            <w:pPr>
              <w:spacing w:after="0"/>
              <w:rPr>
                <w:sz w:val="20"/>
                <w:szCs w:val="20"/>
                <w:color w:val="auto"/>
              </w:rPr>
            </w:pPr>
            <w:r>
              <w:rPr>
                <w:rFonts w:ascii="Arial" w:cs="Arial" w:eastAsia="Arial" w:hAnsi="Arial"/>
                <w:sz w:val="13"/>
                <w:szCs w:val="13"/>
                <w:color w:val="auto"/>
              </w:rPr>
              <w:t>SuttonPark Holdings, Inc.</w:t>
            </w:r>
          </w:p>
        </w:tc>
        <w:tc>
          <w:tcPr>
            <w:tcW w:w="700" w:type="dxa"/>
            <w:vAlign w:val="bottom"/>
          </w:tcPr>
          <w:p>
            <w:pPr>
              <w:jc w:val="center"/>
              <w:spacing w:after="0"/>
              <w:rPr>
                <w:sz w:val="20"/>
                <w:szCs w:val="20"/>
                <w:color w:val="auto"/>
              </w:rPr>
            </w:pPr>
            <w:r>
              <w:rPr>
                <w:rFonts w:ascii="Arial" w:cs="Arial" w:eastAsia="Arial" w:hAnsi="Arial"/>
                <w:sz w:val="13"/>
                <w:szCs w:val="13"/>
                <w:color w:val="auto"/>
                <w:w w:val="95"/>
              </w:rPr>
              <w:t>06/30/2020</w:t>
            </w:r>
          </w:p>
        </w:tc>
        <w:tc>
          <w:tcPr>
            <w:tcW w:w="1420" w:type="dxa"/>
            <w:vAlign w:val="bottom"/>
          </w:tcPr>
          <w:p>
            <w:pPr>
              <w:jc w:val="center"/>
              <w:spacing w:after="0"/>
              <w:rPr>
                <w:sz w:val="20"/>
                <w:szCs w:val="20"/>
                <w:color w:val="auto"/>
              </w:rPr>
            </w:pPr>
            <w:r>
              <w:rPr>
                <w:rFonts w:ascii="Arial" w:cs="Arial" w:eastAsia="Arial" w:hAnsi="Arial"/>
                <w:sz w:val="13"/>
                <w:szCs w:val="13"/>
                <w:color w:val="auto"/>
                <w:w w:val="90"/>
              </w:rPr>
              <w:t>Business Services</w:t>
            </w:r>
          </w:p>
        </w:tc>
        <w:tc>
          <w:tcPr>
            <w:tcW w:w="1040" w:type="dxa"/>
            <w:vAlign w:val="bottom"/>
          </w:tcPr>
          <w:p>
            <w:pPr>
              <w:jc w:val="right"/>
              <w:ind w:right="35"/>
              <w:spacing w:after="0" w:line="149" w:lineRule="exact"/>
              <w:rPr>
                <w:sz w:val="20"/>
                <w:szCs w:val="20"/>
                <w:color w:val="auto"/>
              </w:rPr>
            </w:pPr>
            <w:r>
              <w:rPr>
                <w:rFonts w:ascii="Arial" w:cs="Arial" w:eastAsia="Arial" w:hAnsi="Arial"/>
                <w:sz w:val="11"/>
                <w:szCs w:val="11"/>
                <w:color w:val="auto"/>
              </w:rPr>
              <w:t xml:space="preserve">14.00% </w:t>
            </w:r>
            <w:r>
              <w:rPr>
                <w:rFonts w:ascii="Arial" w:cs="Arial" w:eastAsia="Arial" w:hAnsi="Arial"/>
                <w:sz w:val="17"/>
                <w:szCs w:val="17"/>
                <w:color w:val="auto"/>
                <w:vertAlign w:val="superscript"/>
              </w:rPr>
              <w:t>(7)</w:t>
            </w:r>
          </w:p>
        </w:tc>
        <w:tc>
          <w:tcPr>
            <w:tcW w:w="960" w:type="dxa"/>
            <w:vAlign w:val="bottom"/>
          </w:tcPr>
          <w:p>
            <w:pPr>
              <w:ind w:left="5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2,600,000</w:t>
            </w:r>
          </w:p>
        </w:tc>
        <w:tc>
          <w:tcPr>
            <w:tcW w:w="3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2,600,000</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2,248,176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6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Preferred Equity—1.4%</w:t>
            </w:r>
            <w:r>
              <w:rPr>
                <w:rFonts w:ascii="Arial" w:cs="Arial" w:eastAsia="Arial" w:hAnsi="Arial"/>
                <w:sz w:val="17"/>
                <w:szCs w:val="17"/>
                <w:b w:val="1"/>
                <w:bCs w:val="1"/>
                <w:color w:val="auto"/>
                <w:vertAlign w:val="superscript"/>
              </w:rPr>
              <w:t>(6)</w:t>
            </w:r>
          </w:p>
        </w:tc>
        <w:tc>
          <w:tcPr>
            <w:tcW w:w="7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20"/>
                <w:szCs w:val="20"/>
                <w:color w:val="auto"/>
              </w:rPr>
            </w:pPr>
            <w:r>
              <w:rPr>
                <w:rFonts w:ascii="Arial" w:cs="Arial" w:eastAsia="Arial" w:hAnsi="Arial"/>
                <w:sz w:val="13"/>
                <w:szCs w:val="13"/>
                <w:color w:val="auto"/>
              </w:rPr>
              <w:t>SuttonPark Holdings, Inc.</w:t>
            </w:r>
          </w:p>
        </w:tc>
        <w:tc>
          <w:tcPr>
            <w:tcW w:w="700" w:type="dxa"/>
            <w:vAlign w:val="bottom"/>
          </w:tcPr>
          <w:p>
            <w:pPr>
              <w:ind w:left="240"/>
              <w:spacing w:after="0"/>
              <w:rPr>
                <w:sz w:val="20"/>
                <w:szCs w:val="20"/>
                <w:color w:val="auto"/>
              </w:rPr>
            </w:pPr>
            <w:r>
              <w:rPr>
                <w:rFonts w:ascii="Arial" w:cs="Arial" w:eastAsia="Arial" w:hAnsi="Arial"/>
                <w:sz w:val="13"/>
                <w:szCs w:val="13"/>
                <w:color w:val="auto"/>
              </w:rPr>
              <w:t>—</w:t>
            </w:r>
          </w:p>
        </w:tc>
        <w:tc>
          <w:tcPr>
            <w:tcW w:w="1420" w:type="dxa"/>
            <w:vAlign w:val="bottom"/>
          </w:tcPr>
          <w:p>
            <w:pPr>
              <w:jc w:val="center"/>
              <w:spacing w:after="0"/>
              <w:rPr>
                <w:sz w:val="20"/>
                <w:szCs w:val="20"/>
                <w:color w:val="auto"/>
              </w:rPr>
            </w:pPr>
            <w:r>
              <w:rPr>
                <w:rFonts w:ascii="Arial" w:cs="Arial" w:eastAsia="Arial" w:hAnsi="Arial"/>
                <w:sz w:val="13"/>
                <w:szCs w:val="13"/>
                <w:color w:val="auto"/>
                <w:w w:val="90"/>
              </w:rPr>
              <w:t>Business Services</w:t>
            </w:r>
          </w:p>
        </w:tc>
        <w:tc>
          <w:tcPr>
            <w:tcW w:w="1040" w:type="dxa"/>
            <w:vAlign w:val="bottom"/>
          </w:tcPr>
          <w:p>
            <w:pPr>
              <w:jc w:val="right"/>
              <w:ind w:right="195"/>
              <w:spacing w:after="0"/>
              <w:rPr>
                <w:sz w:val="20"/>
                <w:szCs w:val="20"/>
                <w:color w:val="auto"/>
              </w:rPr>
            </w:pPr>
            <w:r>
              <w:rPr>
                <w:rFonts w:ascii="Arial" w:cs="Arial" w:eastAsia="Arial" w:hAnsi="Arial"/>
                <w:sz w:val="13"/>
                <w:szCs w:val="13"/>
                <w:color w:val="auto"/>
              </w:rPr>
              <w:t>14.00%</w:t>
            </w:r>
          </w:p>
        </w:tc>
        <w:tc>
          <w:tcPr>
            <w:tcW w:w="960" w:type="dxa"/>
            <w:vAlign w:val="bottom"/>
          </w:tcPr>
          <w:p>
            <w:pPr>
              <w:ind w:left="5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2,000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2,000,000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1,984,603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1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Universal Pegasus International Holdings, Inc.</w:t>
            </w:r>
          </w:p>
        </w:tc>
        <w:tc>
          <w:tcPr>
            <w:tcW w:w="700" w:type="dxa"/>
            <w:vAlign w:val="bottom"/>
            <w:shd w:val="clear" w:color="auto" w:fill="CCEEFF"/>
          </w:tcPr>
          <w:p>
            <w:pPr>
              <w:ind w:left="240"/>
              <w:spacing w:after="0" w:line="138" w:lineRule="exact"/>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Oil and Gas</w:t>
            </w:r>
          </w:p>
        </w:tc>
        <w:tc>
          <w:tcPr>
            <w:tcW w:w="1040" w:type="dxa"/>
            <w:vAlign w:val="bottom"/>
            <w:shd w:val="clear" w:color="auto" w:fill="CCEEFF"/>
          </w:tcPr>
          <w:p>
            <w:pPr>
              <w:jc w:val="right"/>
              <w:ind w:right="195"/>
              <w:spacing w:after="0" w:line="138" w:lineRule="exact"/>
              <w:rPr>
                <w:sz w:val="20"/>
                <w:szCs w:val="20"/>
                <w:color w:val="auto"/>
              </w:rPr>
            </w:pPr>
            <w:r>
              <w:rPr>
                <w:rFonts w:ascii="Arial" w:cs="Arial" w:eastAsia="Arial" w:hAnsi="Arial"/>
                <w:sz w:val="13"/>
                <w:szCs w:val="13"/>
                <w:color w:val="auto"/>
              </w:rPr>
              <w:t>8.00%</w:t>
            </w:r>
          </w:p>
        </w:tc>
        <w:tc>
          <w:tcPr>
            <w:tcW w:w="960" w:type="dxa"/>
            <w:vAlign w:val="bottom"/>
            <w:shd w:val="clear" w:color="auto" w:fill="CCEEFF"/>
          </w:tcPr>
          <w:p>
            <w:pPr>
              <w:ind w:left="520"/>
              <w:spacing w:after="0" w:line="138"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376,988</w:t>
            </w: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34,420,613</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7,539,759</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1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(UP Support Services, Inc.)</w:t>
            </w:r>
          </w:p>
        </w:tc>
        <w:tc>
          <w:tcPr>
            <w:tcW w:w="7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160" w:type="dxa"/>
            <w:vAlign w:val="bottom"/>
          </w:tcPr>
          <w:p>
            <w:pPr>
              <w:spacing w:after="0"/>
              <w:rPr>
                <w:sz w:val="20"/>
                <w:szCs w:val="20"/>
                <w:color w:val="auto"/>
              </w:rPr>
            </w:pPr>
            <w:r>
              <w:rPr>
                <w:rFonts w:ascii="Arial" w:cs="Arial" w:eastAsia="Arial" w:hAnsi="Arial"/>
                <w:sz w:val="13"/>
                <w:szCs w:val="13"/>
                <w:b w:val="1"/>
                <w:bCs w:val="1"/>
                <w:color w:val="auto"/>
              </w:rPr>
              <w:t>Total Preferred Equity</w:t>
            </w:r>
          </w:p>
        </w:tc>
        <w:tc>
          <w:tcPr>
            <w:tcW w:w="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36,420,613</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9,524,362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6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Common Equity—0.0% </w:t>
            </w:r>
            <w:r>
              <w:rPr>
                <w:rFonts w:ascii="Arial" w:cs="Arial" w:eastAsia="Arial" w:hAnsi="Arial"/>
                <w:sz w:val="17"/>
                <w:szCs w:val="17"/>
                <w:b w:val="1"/>
                <w:bCs w:val="1"/>
                <w:color w:val="auto"/>
                <w:vertAlign w:val="superscript"/>
              </w:rPr>
              <w:t>(6)</w:t>
            </w:r>
          </w:p>
        </w:tc>
        <w:tc>
          <w:tcPr>
            <w:tcW w:w="7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160" w:type="dxa"/>
            <w:vAlign w:val="bottom"/>
          </w:tcPr>
          <w:p>
            <w:pPr>
              <w:spacing w:after="0"/>
              <w:rPr>
                <w:sz w:val="20"/>
                <w:szCs w:val="20"/>
                <w:color w:val="auto"/>
              </w:rPr>
            </w:pPr>
            <w:r>
              <w:rPr>
                <w:rFonts w:ascii="Arial" w:cs="Arial" w:eastAsia="Arial" w:hAnsi="Arial"/>
                <w:sz w:val="13"/>
                <w:szCs w:val="13"/>
                <w:color w:val="auto"/>
              </w:rPr>
              <w:t>SuttonPark Holdings, Inc.</w:t>
            </w:r>
          </w:p>
        </w:tc>
        <w:tc>
          <w:tcPr>
            <w:tcW w:w="700" w:type="dxa"/>
            <w:vAlign w:val="bottom"/>
          </w:tcPr>
          <w:p>
            <w:pPr>
              <w:ind w:left="240"/>
              <w:spacing w:after="0"/>
              <w:rPr>
                <w:sz w:val="20"/>
                <w:szCs w:val="20"/>
                <w:color w:val="auto"/>
              </w:rPr>
            </w:pPr>
            <w:r>
              <w:rPr>
                <w:rFonts w:ascii="Arial" w:cs="Arial" w:eastAsia="Arial" w:hAnsi="Arial"/>
                <w:sz w:val="13"/>
                <w:szCs w:val="13"/>
                <w:color w:val="auto"/>
              </w:rPr>
              <w:t>—</w:t>
            </w:r>
          </w:p>
        </w:tc>
        <w:tc>
          <w:tcPr>
            <w:tcW w:w="1420" w:type="dxa"/>
            <w:vAlign w:val="bottom"/>
          </w:tcPr>
          <w:p>
            <w:pPr>
              <w:jc w:val="center"/>
              <w:spacing w:after="0"/>
              <w:rPr>
                <w:sz w:val="20"/>
                <w:szCs w:val="20"/>
                <w:color w:val="auto"/>
              </w:rPr>
            </w:pPr>
            <w:r>
              <w:rPr>
                <w:rFonts w:ascii="Arial" w:cs="Arial" w:eastAsia="Arial" w:hAnsi="Arial"/>
                <w:sz w:val="13"/>
                <w:szCs w:val="13"/>
                <w:color w:val="auto"/>
                <w:w w:val="90"/>
              </w:rPr>
              <w:t>Business Services</w:t>
            </w:r>
          </w:p>
        </w:tc>
        <w:tc>
          <w:tcPr>
            <w:tcW w:w="1040" w:type="dxa"/>
            <w:vAlign w:val="bottom"/>
          </w:tcPr>
          <w:p>
            <w:pPr>
              <w:jc w:val="right"/>
              <w:ind w:right="375"/>
              <w:spacing w:after="0"/>
              <w:rPr>
                <w:sz w:val="20"/>
                <w:szCs w:val="20"/>
                <w:color w:val="auto"/>
              </w:rPr>
            </w:pPr>
            <w:r>
              <w:rPr>
                <w:rFonts w:ascii="Arial" w:cs="Arial" w:eastAsia="Arial" w:hAnsi="Arial"/>
                <w:sz w:val="13"/>
                <w:szCs w:val="13"/>
                <w:color w:val="auto"/>
              </w:rPr>
              <w:t>—</w:t>
            </w:r>
          </w:p>
        </w:tc>
        <w:tc>
          <w:tcPr>
            <w:tcW w:w="960" w:type="dxa"/>
            <w:vAlign w:val="bottom"/>
          </w:tcPr>
          <w:p>
            <w:pPr>
              <w:ind w:left="5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100</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41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Investments in Controlled, Affiliated Portfolio Companies</w:t>
            </w:r>
          </w:p>
        </w:tc>
        <w:tc>
          <w:tcPr>
            <w:tcW w:w="7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63,680,393</w:t>
            </w:r>
          </w:p>
        </w:tc>
        <w:tc>
          <w:tcPr>
            <w:tcW w:w="16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39,316,805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160" w:type="dxa"/>
            <w:vAlign w:val="bottom"/>
          </w:tcPr>
          <w:p>
            <w:pPr>
              <w:spacing w:after="0"/>
              <w:rPr>
                <w:sz w:val="20"/>
                <w:szCs w:val="20"/>
                <w:color w:val="auto"/>
              </w:rPr>
            </w:pPr>
            <w:r>
              <w:rPr>
                <w:rFonts w:ascii="Arial" w:cs="Arial" w:eastAsia="Arial" w:hAnsi="Arial"/>
                <w:sz w:val="13"/>
                <w:szCs w:val="13"/>
                <w:b w:val="1"/>
                <w:bCs w:val="1"/>
                <w:color w:val="auto"/>
              </w:rPr>
              <w:t>Total Investments—154.6%</w:t>
            </w:r>
          </w:p>
        </w:tc>
        <w:tc>
          <w:tcPr>
            <w:tcW w:w="7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w w:val="91"/>
              </w:rPr>
              <w:t>1,072,503,209</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w w:val="91"/>
              </w:rPr>
              <w:t>1,064,407,595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Equivalents—4.5%</w:t>
            </w:r>
          </w:p>
        </w:tc>
        <w:tc>
          <w:tcPr>
            <w:tcW w:w="7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31,291,517</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31,291,517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160" w:type="dxa"/>
            <w:vAlign w:val="bottom"/>
          </w:tcPr>
          <w:p>
            <w:pPr>
              <w:spacing w:after="0"/>
              <w:rPr>
                <w:sz w:val="20"/>
                <w:szCs w:val="20"/>
                <w:color w:val="auto"/>
              </w:rPr>
            </w:pPr>
            <w:r>
              <w:rPr>
                <w:rFonts w:ascii="Arial" w:cs="Arial" w:eastAsia="Arial" w:hAnsi="Arial"/>
                <w:sz w:val="13"/>
                <w:szCs w:val="13"/>
                <w:b w:val="1"/>
                <w:bCs w:val="1"/>
                <w:color w:val="auto"/>
              </w:rPr>
              <w:t>Total Investments and Cash Equivalents—159.1%</w:t>
            </w:r>
          </w:p>
        </w:tc>
        <w:tc>
          <w:tcPr>
            <w:tcW w:w="7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1"/>
              </w:rPr>
              <w:t>1,103,794,726</w:t>
            </w:r>
          </w:p>
        </w:tc>
        <w:tc>
          <w:tcPr>
            <w:tcW w:w="16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u w:val="single" w:color="auto"/>
                <w:color w:val="auto"/>
                <w:w w:val="82"/>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1"/>
              </w:rPr>
              <w:t>1,095,699,112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16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Liabilities in Excess of Other Assets—(59.1%)</w:t>
            </w:r>
          </w:p>
        </w:tc>
        <w:tc>
          <w:tcPr>
            <w:tcW w:w="7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w w:val="98"/>
              </w:rPr>
              <w:t>(407,196,691)</w:t>
            </w:r>
          </w:p>
        </w:tc>
        <w:tc>
          <w:tcPr>
            <w:tcW w:w="0" w:type="dxa"/>
            <w:vAlign w:val="bottom"/>
          </w:tcPr>
          <w:p>
            <w:pPr>
              <w:spacing w:after="0"/>
              <w:rPr>
                <w:sz w:val="1"/>
                <w:szCs w:val="1"/>
                <w:color w:val="auto"/>
              </w:rPr>
            </w:pPr>
          </w:p>
        </w:tc>
      </w:tr>
      <w:tr>
        <w:trPr>
          <w:trHeight w:val="156"/>
        </w:trPr>
        <w:tc>
          <w:tcPr>
            <w:tcW w:w="4160" w:type="dxa"/>
            <w:vAlign w:val="bottom"/>
          </w:tcPr>
          <w:p>
            <w:pPr>
              <w:spacing w:after="0"/>
              <w:rPr>
                <w:sz w:val="20"/>
                <w:szCs w:val="20"/>
                <w:color w:val="auto"/>
              </w:rPr>
            </w:pPr>
            <w:r>
              <w:rPr>
                <w:rFonts w:ascii="Arial" w:cs="Arial" w:eastAsia="Arial" w:hAnsi="Arial"/>
                <w:sz w:val="13"/>
                <w:szCs w:val="13"/>
                <w:b w:val="1"/>
                <w:bCs w:val="1"/>
                <w:color w:val="auto"/>
              </w:rPr>
              <w:t>Net Assets—100.0%</w:t>
            </w:r>
          </w:p>
        </w:tc>
        <w:tc>
          <w:tcPr>
            <w:tcW w:w="7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688,502,421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12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77" w:lineRule="exact"/>
        <w:rPr>
          <w:sz w:val="20"/>
          <w:szCs w:val="20"/>
          <w:color w:val="auto"/>
        </w:rPr>
      </w:pPr>
    </w:p>
    <w:p>
      <w:pPr>
        <w:ind w:left="340" w:right="100" w:hanging="332"/>
        <w:spacing w:after="0" w:line="244" w:lineRule="auto"/>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provisions of the Investment Company Act of 1940, or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spacing w:after="0" w:line="1" w:lineRule="exact"/>
        <w:rPr>
          <w:rFonts w:ascii="Arial" w:cs="Arial" w:eastAsia="Arial" w:hAnsi="Arial"/>
          <w:sz w:val="13"/>
          <w:szCs w:val="13"/>
          <w:color w:val="auto"/>
        </w:rPr>
      </w:pPr>
    </w:p>
    <w:p>
      <w:pPr>
        <w:ind w:left="340" w:right="220" w:hanging="332"/>
        <w:spacing w:after="0" w:line="258"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 (see Note 6).</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Valued based on our accounting policy (see Note 2).</w:t>
      </w:r>
    </w:p>
    <w:p>
      <w:pPr>
        <w:ind w:left="340" w:hanging="332"/>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Offered Rate, or LIBOR or “L”, or Prime or “P”, rate.</w:t>
      </w:r>
    </w:p>
    <w:p>
      <w:pPr>
        <w:spacing w:after="0" w:line="10" w:lineRule="exact"/>
        <w:rPr>
          <w:rFonts w:ascii="Arial" w:cs="Arial" w:eastAsia="Arial" w:hAnsi="Arial"/>
          <w:sz w:val="12"/>
          <w:szCs w:val="12"/>
          <w:color w:val="auto"/>
        </w:rPr>
      </w:pPr>
    </w:p>
    <w:p>
      <w:pPr>
        <w:ind w:left="340" w:hanging="332"/>
        <w:spacing w:after="0" w:line="238" w:lineRule="auto"/>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Non-income producing securities.</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Coupon is payable in cash and/or in-kind or PIK.</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Coupon is subject to a LIBOR or Prime rate floor.</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Represents the purchase of a security with delayed settlement (unfunded investment). This security does not have a basis point spread above an index.</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U.S.</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Investment is held through PNNT CI (Galls) Prime Investment Holdings, LLC, a consolidated subsidiary.</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Investment is held through PNNT Acentia LLC, a consolidated subsidiary.</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Investment is held through PNNT Transportation 100 Holdco, LLC, a consolidated subsidiary.</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32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SEPTEMBER 30, 2012</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5"/>
              </w:rPr>
              <w:t>Basis Point</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0"/>
              </w:rPr>
              <w:t>Spread</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2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900" w:type="dxa"/>
            <w:vAlign w:val="bottom"/>
          </w:tcPr>
          <w:p>
            <w:pPr>
              <w:jc w:val="right"/>
              <w:ind w:right="253"/>
              <w:spacing w:after="0" w:line="134" w:lineRule="exact"/>
              <w:rPr>
                <w:sz w:val="20"/>
                <w:szCs w:val="20"/>
                <w:color w:val="auto"/>
              </w:rPr>
            </w:pPr>
            <w:r>
              <w:rPr>
                <w:rFonts w:ascii="Arial" w:cs="Arial" w:eastAsia="Arial" w:hAnsi="Arial"/>
                <w:sz w:val="13"/>
                <w:szCs w:val="13"/>
                <w:b w:val="1"/>
                <w:bCs w:val="1"/>
                <w:color w:val="auto"/>
              </w:rPr>
              <w:t>Current</w:t>
            </w:r>
          </w:p>
        </w:tc>
        <w:tc>
          <w:tcPr>
            <w:tcW w:w="7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0"/>
              </w:rPr>
              <w:t>Above</w:t>
            </w:r>
          </w:p>
        </w:tc>
        <w:tc>
          <w:tcPr>
            <w:tcW w:w="240" w:type="dxa"/>
            <w:vAlign w:val="bottom"/>
          </w:tcPr>
          <w:p>
            <w:pPr>
              <w:spacing w:after="0"/>
              <w:rPr>
                <w:sz w:val="11"/>
                <w:szCs w:val="11"/>
                <w:color w:val="auto"/>
              </w:rPr>
            </w:pPr>
          </w:p>
        </w:tc>
        <w:tc>
          <w:tcPr>
            <w:tcW w:w="760" w:type="dxa"/>
            <w:vAlign w:val="bottom"/>
          </w:tcPr>
          <w:p>
            <w:pPr>
              <w:jc w:val="right"/>
              <w:ind w:right="213"/>
              <w:spacing w:after="0" w:line="134" w:lineRule="exact"/>
              <w:rPr>
                <w:sz w:val="20"/>
                <w:szCs w:val="20"/>
                <w:color w:val="auto"/>
              </w:rPr>
            </w:pPr>
            <w:r>
              <w:rPr>
                <w:rFonts w:ascii="Arial" w:cs="Arial" w:eastAsia="Arial" w:hAnsi="Arial"/>
                <w:sz w:val="13"/>
                <w:szCs w:val="13"/>
                <w:b w:val="1"/>
                <w:bCs w:val="1"/>
                <w:color w:val="auto"/>
              </w:rPr>
              <w:t>Par/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w w:val="93"/>
              </w:rPr>
              <w:t xml:space="preserve">Fair Value </w:t>
            </w:r>
            <w:r>
              <w:rPr>
                <w:rFonts w:ascii="Arial" w:cs="Arial" w:eastAsia="Arial" w:hAnsi="Arial"/>
                <w:sz w:val="22"/>
                <w:szCs w:val="22"/>
                <w:b w:val="1"/>
                <w:bCs w:val="1"/>
                <w:color w:val="auto"/>
                <w:w w:val="93"/>
                <w:vertAlign w:val="superscript"/>
              </w:rPr>
              <w:t>(3)</w:t>
            </w:r>
          </w:p>
        </w:tc>
        <w:tc>
          <w:tcPr>
            <w:tcW w:w="0" w:type="dxa"/>
            <w:vAlign w:val="bottom"/>
          </w:tcPr>
          <w:p>
            <w:pPr>
              <w:spacing w:after="0"/>
              <w:rPr>
                <w:sz w:val="1"/>
                <w:szCs w:val="1"/>
                <w:color w:val="auto"/>
              </w:rPr>
            </w:pPr>
          </w:p>
        </w:tc>
      </w:tr>
      <w:tr>
        <w:trPr>
          <w:trHeight w:val="175"/>
        </w:trPr>
        <w:tc>
          <w:tcPr>
            <w:tcW w:w="3280" w:type="dxa"/>
            <w:vAlign w:val="bottom"/>
          </w:tcPr>
          <w:p>
            <w:pPr>
              <w:spacing w:after="0"/>
              <w:rPr>
                <w:sz w:val="20"/>
                <w:szCs w:val="20"/>
                <w:color w:val="auto"/>
              </w:rPr>
            </w:pPr>
            <w:r>
              <w:rPr>
                <w:rFonts w:ascii="Arial" w:cs="Arial" w:eastAsia="Arial" w:hAnsi="Arial"/>
                <w:sz w:val="13"/>
                <w:szCs w:val="13"/>
                <w:b w:val="1"/>
                <w:bCs w:val="1"/>
                <w:color w:val="auto"/>
              </w:rPr>
              <w:t>Issuer Name</w:t>
            </w:r>
          </w:p>
        </w:tc>
        <w:tc>
          <w:tcPr>
            <w:tcW w:w="1440" w:type="dxa"/>
            <w:vAlign w:val="bottom"/>
          </w:tcPr>
          <w:p>
            <w:pPr>
              <w:ind w:left="760"/>
              <w:spacing w:after="0"/>
              <w:rPr>
                <w:sz w:val="20"/>
                <w:szCs w:val="20"/>
                <w:color w:val="auto"/>
              </w:rPr>
            </w:pPr>
            <w:r>
              <w:rPr>
                <w:rFonts w:ascii="Arial" w:cs="Arial" w:eastAsia="Arial" w:hAnsi="Arial"/>
                <w:sz w:val="13"/>
                <w:szCs w:val="13"/>
                <w:b w:val="1"/>
                <w:bCs w:val="1"/>
                <w:color w:val="auto"/>
              </w:rPr>
              <w:t>Maturity</w:t>
            </w:r>
          </w:p>
        </w:tc>
        <w:tc>
          <w:tcPr>
            <w:tcW w:w="1820" w:type="dxa"/>
            <w:vAlign w:val="bottom"/>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900" w:type="dxa"/>
            <w:vAlign w:val="bottom"/>
          </w:tcPr>
          <w:p>
            <w:pPr>
              <w:jc w:val="right"/>
              <w:ind w:right="253"/>
              <w:spacing w:after="0"/>
              <w:rPr>
                <w:sz w:val="20"/>
                <w:szCs w:val="20"/>
                <w:color w:val="auto"/>
              </w:rPr>
            </w:pPr>
            <w:r>
              <w:rPr>
                <w:rFonts w:ascii="Arial" w:cs="Arial" w:eastAsia="Arial" w:hAnsi="Arial"/>
                <w:sz w:val="13"/>
                <w:szCs w:val="13"/>
                <w:b w:val="1"/>
                <w:bCs w:val="1"/>
                <w:color w:val="auto"/>
              </w:rPr>
              <w:t>Coupon</w:t>
            </w:r>
          </w:p>
        </w:tc>
        <w:tc>
          <w:tcPr>
            <w:tcW w:w="780" w:type="dxa"/>
            <w:vAlign w:val="bottom"/>
          </w:tcPr>
          <w:p>
            <w:pPr>
              <w:jc w:val="center"/>
              <w:spacing w:after="0" w:line="176" w:lineRule="exact"/>
              <w:rPr>
                <w:sz w:val="20"/>
                <w:szCs w:val="20"/>
                <w:color w:val="auto"/>
              </w:rPr>
            </w:pPr>
            <w:r>
              <w:rPr>
                <w:rFonts w:ascii="Arial" w:cs="Arial" w:eastAsia="Arial" w:hAnsi="Arial"/>
                <w:sz w:val="12"/>
                <w:szCs w:val="12"/>
                <w:b w:val="1"/>
                <w:bCs w:val="1"/>
                <w:color w:val="auto"/>
                <w:w w:val="94"/>
              </w:rPr>
              <w:t xml:space="preserve">Index </w:t>
            </w:r>
            <w:r>
              <w:rPr>
                <w:rFonts w:ascii="Arial" w:cs="Arial" w:eastAsia="Arial" w:hAnsi="Arial"/>
                <w:sz w:val="20"/>
                <w:szCs w:val="20"/>
                <w:b w:val="1"/>
                <w:bCs w:val="1"/>
                <w:color w:val="auto"/>
                <w:w w:val="94"/>
                <w:vertAlign w:val="superscript"/>
              </w:rPr>
              <w:t>(4)</w:t>
            </w:r>
          </w:p>
        </w:tc>
        <w:tc>
          <w:tcPr>
            <w:tcW w:w="240" w:type="dxa"/>
            <w:vAlign w:val="bottom"/>
          </w:tcPr>
          <w:p>
            <w:pPr>
              <w:spacing w:after="0"/>
              <w:rPr>
                <w:sz w:val="15"/>
                <w:szCs w:val="15"/>
                <w:color w:val="auto"/>
              </w:rPr>
            </w:pPr>
          </w:p>
        </w:tc>
        <w:tc>
          <w:tcPr>
            <w:tcW w:w="760" w:type="dxa"/>
            <w:vAlign w:val="bottom"/>
          </w:tcPr>
          <w:p>
            <w:pPr>
              <w:jc w:val="right"/>
              <w:ind w:right="133"/>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5"/>
                <w:szCs w:val="15"/>
                <w:color w:val="auto"/>
              </w:rPr>
            </w:pPr>
          </w:p>
        </w:tc>
        <w:tc>
          <w:tcPr>
            <w:tcW w:w="920" w:type="dxa"/>
            <w:vAlign w:val="bottom"/>
            <w:gridSpan w:val="2"/>
          </w:tcPr>
          <w:p>
            <w:pPr>
              <w:ind w:left="240"/>
              <w:spacing w:after="0"/>
              <w:rPr>
                <w:sz w:val="20"/>
                <w:szCs w:val="20"/>
                <w:color w:val="auto"/>
              </w:rPr>
            </w:pPr>
            <w:r>
              <w:rPr>
                <w:rFonts w:ascii="Arial" w:cs="Arial" w:eastAsia="Arial" w:hAnsi="Arial"/>
                <w:sz w:val="13"/>
                <w:szCs w:val="13"/>
                <w:b w:val="1"/>
                <w:bCs w:val="1"/>
                <w:color w:val="auto"/>
              </w:rPr>
              <w:t>Cost</w:t>
            </w: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40" w:type="dxa"/>
            <w:vAlign w:val="bottom"/>
            <w:tcBorders>
              <w:top w:val="single" w:sz="8" w:color="auto"/>
            </w:tcBorders>
            <w:gridSpan w:val="3"/>
            <w:shd w:val="clear" w:color="auto" w:fill="CCEEFF"/>
          </w:tcPr>
          <w:p>
            <w:pPr>
              <w:spacing w:after="0" w:line="142" w:lineRule="exact"/>
              <w:rPr>
                <w:sz w:val="20"/>
                <w:szCs w:val="20"/>
                <w:color w:val="auto"/>
              </w:rPr>
            </w:pPr>
            <w:r>
              <w:rPr>
                <w:rFonts w:ascii="Arial" w:cs="Arial" w:eastAsia="Arial" w:hAnsi="Arial"/>
                <w:sz w:val="10"/>
                <w:szCs w:val="10"/>
                <w:b w:val="1"/>
                <w:bCs w:val="1"/>
                <w:color w:val="auto"/>
              </w:rPr>
              <w:t xml:space="preserve">Investments in Non-Controlled, Non-Affiliated Portfolio Companies—130.3% </w:t>
            </w:r>
            <w:r>
              <w:rPr>
                <w:rFonts w:ascii="Arial" w:cs="Arial" w:eastAsia="Arial" w:hAnsi="Arial"/>
                <w:sz w:val="16"/>
                <w:szCs w:val="16"/>
                <w:b w:val="1"/>
                <w:bCs w:val="1"/>
                <w:color w:val="auto"/>
                <w:vertAlign w:val="superscript"/>
              </w:rPr>
              <w:t>(1),(2)</w:t>
            </w:r>
          </w:p>
        </w:tc>
        <w:tc>
          <w:tcPr>
            <w:tcW w:w="9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20"/>
                <w:szCs w:val="20"/>
                <w:color w:val="auto"/>
              </w:rPr>
            </w:pPr>
            <w:r>
              <w:rPr>
                <w:rFonts w:ascii="Arial" w:cs="Arial" w:eastAsia="Arial" w:hAnsi="Arial"/>
                <w:sz w:val="13"/>
                <w:szCs w:val="13"/>
                <w:b w:val="1"/>
                <w:bCs w:val="1"/>
                <w:color w:val="auto"/>
              </w:rPr>
              <w:t>First Lien Secured Debt—41.7%</w:t>
            </w:r>
          </w:p>
        </w:tc>
        <w:tc>
          <w:tcPr>
            <w:tcW w:w="14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rPr>
                <w:sz w:val="20"/>
                <w:szCs w:val="20"/>
                <w:color w:val="auto"/>
              </w:rPr>
            </w:pPr>
            <w:r>
              <w:rPr>
                <w:rFonts w:ascii="Arial" w:cs="Arial" w:eastAsia="Arial" w:hAnsi="Arial"/>
                <w:sz w:val="13"/>
                <w:szCs w:val="13"/>
                <w:color w:val="auto"/>
              </w:rPr>
              <w:t>Aircell Business Aviation Services LLC</w:t>
            </w:r>
          </w:p>
        </w:tc>
        <w:tc>
          <w:tcPr>
            <w:tcW w:w="1440" w:type="dxa"/>
            <w:vAlign w:val="bottom"/>
            <w:shd w:val="clear" w:color="auto" w:fill="CCEEFF"/>
          </w:tcPr>
          <w:p>
            <w:pPr>
              <w:ind w:left="740"/>
              <w:spacing w:after="0"/>
              <w:rPr>
                <w:sz w:val="20"/>
                <w:szCs w:val="20"/>
                <w:color w:val="auto"/>
              </w:rPr>
            </w:pPr>
            <w:r>
              <w:rPr>
                <w:rFonts w:ascii="Arial" w:cs="Arial" w:eastAsia="Arial" w:hAnsi="Arial"/>
                <w:sz w:val="13"/>
                <w:szCs w:val="13"/>
                <w:color w:val="auto"/>
              </w:rPr>
              <w:t>06/21/2017</w:t>
            </w:r>
          </w:p>
        </w:tc>
        <w:tc>
          <w:tcPr>
            <w:tcW w:w="1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Communications</w:t>
            </w: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11.25%</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L+975</w:t>
            </w:r>
          </w:p>
        </w:tc>
        <w:tc>
          <w:tcPr>
            <w:tcW w:w="24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w w:val="88"/>
              </w:rPr>
              <w:t>(8)</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14,906,250</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$ 14,332,682</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8"/>
              </w:rPr>
              <w:t>$  14,906,250</w:t>
            </w:r>
          </w:p>
        </w:tc>
        <w:tc>
          <w:tcPr>
            <w:tcW w:w="0" w:type="dxa"/>
            <w:vAlign w:val="bottom"/>
          </w:tcPr>
          <w:p>
            <w:pPr>
              <w:spacing w:after="0"/>
              <w:rPr>
                <w:sz w:val="1"/>
                <w:szCs w:val="1"/>
                <w:color w:val="auto"/>
              </w:rPr>
            </w:pPr>
          </w:p>
        </w:tc>
      </w:tr>
      <w:tr>
        <w:trPr>
          <w:trHeight w:val="138"/>
        </w:trPr>
        <w:tc>
          <w:tcPr>
            <w:tcW w:w="3280" w:type="dxa"/>
            <w:vAlign w:val="bottom"/>
          </w:tcPr>
          <w:p>
            <w:pPr>
              <w:spacing w:after="0" w:line="138" w:lineRule="exact"/>
              <w:rPr>
                <w:sz w:val="20"/>
                <w:szCs w:val="20"/>
                <w:color w:val="auto"/>
              </w:rPr>
            </w:pPr>
            <w:r>
              <w:rPr>
                <w:rFonts w:ascii="Arial" w:cs="Arial" w:eastAsia="Arial" w:hAnsi="Arial"/>
                <w:sz w:val="13"/>
                <w:szCs w:val="13"/>
                <w:color w:val="auto"/>
              </w:rPr>
              <w:t>American Surgical Holdings, Inc.</w:t>
            </w:r>
          </w:p>
        </w:tc>
        <w:tc>
          <w:tcPr>
            <w:tcW w:w="1440" w:type="dxa"/>
            <w:vAlign w:val="bottom"/>
          </w:tcPr>
          <w:p>
            <w:pPr>
              <w:ind w:left="740"/>
              <w:spacing w:after="0" w:line="138" w:lineRule="exact"/>
              <w:rPr>
                <w:sz w:val="20"/>
                <w:szCs w:val="20"/>
                <w:color w:val="auto"/>
              </w:rPr>
            </w:pPr>
            <w:r>
              <w:rPr>
                <w:rFonts w:ascii="Arial" w:cs="Arial" w:eastAsia="Arial" w:hAnsi="Arial"/>
                <w:sz w:val="13"/>
                <w:szCs w:val="13"/>
                <w:color w:val="auto"/>
              </w:rPr>
              <w:t>03/23/2015</w:t>
            </w:r>
          </w:p>
        </w:tc>
        <w:tc>
          <w:tcPr>
            <w:tcW w:w="1820" w:type="dxa"/>
            <w:vAlign w:val="bottom"/>
          </w:tcPr>
          <w:p>
            <w:pPr>
              <w:jc w:val="center"/>
              <w:spacing w:after="0" w:line="138" w:lineRule="exact"/>
              <w:rPr>
                <w:sz w:val="20"/>
                <w:szCs w:val="20"/>
                <w:color w:val="auto"/>
              </w:rPr>
            </w:pPr>
            <w:r>
              <w:rPr>
                <w:rFonts w:ascii="Arial" w:cs="Arial" w:eastAsia="Arial" w:hAnsi="Arial"/>
                <w:sz w:val="13"/>
                <w:szCs w:val="13"/>
                <w:color w:val="auto"/>
                <w:w w:val="93"/>
              </w:rPr>
              <w:t>Healthcare, Education and</w:t>
            </w:r>
          </w:p>
        </w:tc>
        <w:tc>
          <w:tcPr>
            <w:tcW w:w="900" w:type="dxa"/>
            <w:vAlign w:val="bottom"/>
          </w:tcPr>
          <w:p>
            <w:pPr>
              <w:jc w:val="right"/>
              <w:ind w:right="53"/>
              <w:spacing w:after="0" w:line="138" w:lineRule="exact"/>
              <w:rPr>
                <w:sz w:val="20"/>
                <w:szCs w:val="20"/>
                <w:color w:val="auto"/>
              </w:rPr>
            </w:pPr>
            <w:r>
              <w:rPr>
                <w:rFonts w:ascii="Arial" w:cs="Arial" w:eastAsia="Arial" w:hAnsi="Arial"/>
                <w:sz w:val="13"/>
                <w:szCs w:val="13"/>
                <w:color w:val="auto"/>
              </w:rPr>
              <w:t>14.00%</w:t>
            </w:r>
          </w:p>
        </w:tc>
        <w:tc>
          <w:tcPr>
            <w:tcW w:w="780" w:type="dxa"/>
            <w:vAlign w:val="bottom"/>
          </w:tcPr>
          <w:p>
            <w:pPr>
              <w:jc w:val="right"/>
              <w:spacing w:after="0" w:line="138" w:lineRule="exact"/>
              <w:rPr>
                <w:sz w:val="20"/>
                <w:szCs w:val="20"/>
                <w:color w:val="auto"/>
              </w:rPr>
            </w:pPr>
            <w:r>
              <w:rPr>
                <w:rFonts w:ascii="Arial" w:cs="Arial" w:eastAsia="Arial" w:hAnsi="Arial"/>
                <w:sz w:val="13"/>
                <w:szCs w:val="13"/>
                <w:color w:val="auto"/>
              </w:rPr>
              <w:t>L+1,000</w:t>
            </w:r>
          </w:p>
        </w:tc>
        <w:tc>
          <w:tcPr>
            <w:tcW w:w="240" w:type="dxa"/>
            <w:vAlign w:val="bottom"/>
          </w:tcPr>
          <w:p>
            <w:pPr>
              <w:jc w:val="right"/>
              <w:ind w:right="44"/>
              <w:spacing w:after="0"/>
              <w:rPr>
                <w:sz w:val="20"/>
                <w:szCs w:val="20"/>
                <w:color w:val="auto"/>
              </w:rPr>
            </w:pPr>
            <w:r>
              <w:rPr>
                <w:rFonts w:ascii="Arial" w:cs="Arial" w:eastAsia="Arial" w:hAnsi="Arial"/>
                <w:sz w:val="11"/>
                <w:szCs w:val="11"/>
                <w:color w:val="auto"/>
                <w:w w:val="88"/>
              </w:rPr>
              <w:t>(8)</w:t>
            </w:r>
          </w:p>
        </w:tc>
        <w:tc>
          <w:tcPr>
            <w:tcW w:w="760" w:type="dxa"/>
            <w:vAlign w:val="bottom"/>
          </w:tcPr>
          <w:p>
            <w:pPr>
              <w:jc w:val="right"/>
              <w:ind w:right="13"/>
              <w:spacing w:after="0" w:line="138" w:lineRule="exact"/>
              <w:rPr>
                <w:sz w:val="20"/>
                <w:szCs w:val="20"/>
                <w:color w:val="auto"/>
              </w:rPr>
            </w:pPr>
            <w:r>
              <w:rPr>
                <w:rFonts w:ascii="Arial" w:cs="Arial" w:eastAsia="Arial" w:hAnsi="Arial"/>
                <w:sz w:val="13"/>
                <w:szCs w:val="13"/>
                <w:color w:val="auto"/>
              </w:rPr>
              <w:t>17,811,828</w:t>
            </w:r>
          </w:p>
        </w:tc>
        <w:tc>
          <w:tcPr>
            <w:tcW w:w="1000" w:type="dxa"/>
            <w:vAlign w:val="bottom"/>
            <w:gridSpan w:val="3"/>
          </w:tcPr>
          <w:p>
            <w:pPr>
              <w:jc w:val="right"/>
              <w:ind w:right="160"/>
              <w:spacing w:after="0" w:line="138" w:lineRule="exact"/>
              <w:rPr>
                <w:sz w:val="20"/>
                <w:szCs w:val="20"/>
                <w:color w:val="auto"/>
              </w:rPr>
            </w:pPr>
            <w:r>
              <w:rPr>
                <w:rFonts w:ascii="Arial" w:cs="Arial" w:eastAsia="Arial" w:hAnsi="Arial"/>
                <w:sz w:val="13"/>
                <w:szCs w:val="13"/>
                <w:color w:val="auto"/>
              </w:rPr>
              <w:t>17,441,366</w:t>
            </w:r>
          </w:p>
        </w:tc>
        <w:tc>
          <w:tcPr>
            <w:tcW w:w="102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17,811,828</w:t>
            </w:r>
          </w:p>
        </w:tc>
        <w:tc>
          <w:tcPr>
            <w:tcW w:w="0" w:type="dxa"/>
            <w:vAlign w:val="bottom"/>
          </w:tcPr>
          <w:p>
            <w:pPr>
              <w:spacing w:after="0"/>
              <w:rPr>
                <w:sz w:val="1"/>
                <w:szCs w:val="1"/>
                <w:color w:val="auto"/>
              </w:rPr>
            </w:pPr>
          </w:p>
        </w:tc>
      </w:tr>
      <w:tr>
        <w:trPr>
          <w:trHeight w:val="173"/>
        </w:trPr>
        <w:tc>
          <w:tcPr>
            <w:tcW w:w="3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Arial" w:cs="Arial" w:eastAsia="Arial" w:hAnsi="Arial"/>
                <w:sz w:val="13"/>
                <w:szCs w:val="13"/>
                <w:color w:val="auto"/>
                <w:w w:val="94"/>
              </w:rPr>
              <w:t>Childcare</w:t>
            </w: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rPr>
                <w:sz w:val="20"/>
                <w:szCs w:val="20"/>
                <w:color w:val="auto"/>
              </w:rPr>
            </w:pPr>
            <w:r>
              <w:rPr>
                <w:rFonts w:ascii="Arial" w:cs="Arial" w:eastAsia="Arial" w:hAnsi="Arial"/>
                <w:sz w:val="13"/>
                <w:szCs w:val="13"/>
                <w:color w:val="auto"/>
              </w:rPr>
              <w:t>Brand Energy and Infrastructure Services, Inc.</w:t>
            </w:r>
          </w:p>
        </w:tc>
        <w:tc>
          <w:tcPr>
            <w:tcW w:w="1440" w:type="dxa"/>
            <w:vAlign w:val="bottom"/>
            <w:shd w:val="clear" w:color="auto" w:fill="CCEEFF"/>
          </w:tcPr>
          <w:p>
            <w:pPr>
              <w:ind w:left="740"/>
              <w:spacing w:after="0"/>
              <w:rPr>
                <w:sz w:val="20"/>
                <w:szCs w:val="20"/>
                <w:color w:val="auto"/>
              </w:rPr>
            </w:pPr>
            <w:r>
              <w:rPr>
                <w:rFonts w:ascii="Arial" w:cs="Arial" w:eastAsia="Arial" w:hAnsi="Arial"/>
                <w:sz w:val="13"/>
                <w:szCs w:val="13"/>
                <w:color w:val="auto"/>
              </w:rPr>
              <w:t>02/07/2014</w:t>
            </w:r>
          </w:p>
        </w:tc>
        <w:tc>
          <w:tcPr>
            <w:tcW w:w="1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Energy/Utilities</w:t>
            </w: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3.68%</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L+325</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2,000,000</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1,757,029</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1,973,334</w:t>
            </w: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Arial" w:cs="Arial" w:eastAsia="Arial" w:hAnsi="Arial"/>
                <w:sz w:val="11"/>
                <w:szCs w:val="11"/>
                <w:color w:val="auto"/>
              </w:rPr>
              <w:t>CEVA Group PLC</w:t>
            </w:r>
            <w:r>
              <w:rPr>
                <w:rFonts w:ascii="Arial" w:cs="Arial" w:eastAsia="Arial" w:hAnsi="Arial"/>
                <w:sz w:val="17"/>
                <w:szCs w:val="17"/>
                <w:color w:val="auto"/>
                <w:vertAlign w:val="superscript"/>
              </w:rPr>
              <w:t>(5),(10)</w:t>
            </w:r>
          </w:p>
        </w:tc>
        <w:tc>
          <w:tcPr>
            <w:tcW w:w="1440" w:type="dxa"/>
            <w:vAlign w:val="bottom"/>
          </w:tcPr>
          <w:p>
            <w:pPr>
              <w:ind w:left="740"/>
              <w:spacing w:after="0"/>
              <w:rPr>
                <w:sz w:val="20"/>
                <w:szCs w:val="20"/>
                <w:color w:val="auto"/>
              </w:rPr>
            </w:pPr>
            <w:r>
              <w:rPr>
                <w:rFonts w:ascii="Arial" w:cs="Arial" w:eastAsia="Arial" w:hAnsi="Arial"/>
                <w:sz w:val="13"/>
                <w:szCs w:val="13"/>
                <w:color w:val="auto"/>
              </w:rPr>
              <w:t>10/01/2016</w:t>
            </w:r>
          </w:p>
        </w:tc>
        <w:tc>
          <w:tcPr>
            <w:tcW w:w="1820" w:type="dxa"/>
            <w:vAlign w:val="bottom"/>
          </w:tcPr>
          <w:p>
            <w:pPr>
              <w:jc w:val="center"/>
              <w:spacing w:after="0"/>
              <w:rPr>
                <w:sz w:val="20"/>
                <w:szCs w:val="20"/>
                <w:color w:val="auto"/>
              </w:rPr>
            </w:pPr>
            <w:r>
              <w:rPr>
                <w:rFonts w:ascii="Arial" w:cs="Arial" w:eastAsia="Arial" w:hAnsi="Arial"/>
                <w:sz w:val="13"/>
                <w:szCs w:val="13"/>
                <w:color w:val="auto"/>
                <w:w w:val="92"/>
              </w:rPr>
              <w:t>Cargo Transport</w:t>
            </w:r>
          </w:p>
        </w:tc>
        <w:tc>
          <w:tcPr>
            <w:tcW w:w="900" w:type="dxa"/>
            <w:vAlign w:val="bottom"/>
          </w:tcPr>
          <w:p>
            <w:pPr>
              <w:jc w:val="right"/>
              <w:ind w:right="53"/>
              <w:spacing w:after="0"/>
              <w:rPr>
                <w:sz w:val="20"/>
                <w:szCs w:val="20"/>
                <w:color w:val="auto"/>
              </w:rPr>
            </w:pPr>
            <w:r>
              <w:rPr>
                <w:rFonts w:ascii="Arial" w:cs="Arial" w:eastAsia="Arial" w:hAnsi="Arial"/>
                <w:sz w:val="13"/>
                <w:szCs w:val="13"/>
                <w:color w:val="auto"/>
              </w:rPr>
              <w:t>11.63%</w:t>
            </w: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7,500,000</w:t>
            </w:r>
          </w:p>
        </w:tc>
        <w:tc>
          <w:tcPr>
            <w:tcW w:w="1000" w:type="dxa"/>
            <w:vAlign w:val="bottom"/>
            <w:gridSpan w:val="3"/>
          </w:tcPr>
          <w:p>
            <w:pPr>
              <w:jc w:val="right"/>
              <w:ind w:right="160"/>
              <w:spacing w:after="0"/>
              <w:rPr>
                <w:sz w:val="20"/>
                <w:szCs w:val="20"/>
                <w:color w:val="auto"/>
              </w:rPr>
            </w:pPr>
            <w:r>
              <w:rPr>
                <w:rFonts w:ascii="Arial" w:cs="Arial" w:eastAsia="Arial" w:hAnsi="Arial"/>
                <w:sz w:val="13"/>
                <w:szCs w:val="13"/>
                <w:color w:val="auto"/>
              </w:rPr>
              <w:t>7,355,237</w:t>
            </w: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7,687,500</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CEVA Group PLC</w:t>
            </w:r>
            <w:r>
              <w:rPr>
                <w:rFonts w:ascii="Arial" w:cs="Arial" w:eastAsia="Arial" w:hAnsi="Arial"/>
                <w:sz w:val="17"/>
                <w:szCs w:val="17"/>
                <w:color w:val="auto"/>
                <w:vertAlign w:val="superscript"/>
              </w:rPr>
              <w:t>(5),(10)</w:t>
            </w:r>
          </w:p>
        </w:tc>
        <w:tc>
          <w:tcPr>
            <w:tcW w:w="1440" w:type="dxa"/>
            <w:vAlign w:val="bottom"/>
            <w:shd w:val="clear" w:color="auto" w:fill="CCEEFF"/>
          </w:tcPr>
          <w:p>
            <w:pPr>
              <w:ind w:left="740"/>
              <w:spacing w:after="0"/>
              <w:rPr>
                <w:sz w:val="20"/>
                <w:szCs w:val="20"/>
                <w:color w:val="auto"/>
              </w:rPr>
            </w:pPr>
            <w:r>
              <w:rPr>
                <w:rFonts w:ascii="Arial" w:cs="Arial" w:eastAsia="Arial" w:hAnsi="Arial"/>
                <w:sz w:val="13"/>
                <w:szCs w:val="13"/>
                <w:color w:val="auto"/>
              </w:rPr>
              <w:t>04/01/2018</w:t>
            </w:r>
          </w:p>
        </w:tc>
        <w:tc>
          <w:tcPr>
            <w:tcW w:w="1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Cargo Transport</w:t>
            </w: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11.50%</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1,000,000</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990,089</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880,000</w:t>
            </w:r>
          </w:p>
        </w:tc>
        <w:tc>
          <w:tcPr>
            <w:tcW w:w="0" w:type="dxa"/>
            <w:vAlign w:val="bottom"/>
          </w:tcPr>
          <w:p>
            <w:pPr>
              <w:spacing w:after="0"/>
              <w:rPr>
                <w:sz w:val="1"/>
                <w:szCs w:val="1"/>
                <w:color w:val="auto"/>
              </w:rPr>
            </w:pPr>
          </w:p>
        </w:tc>
      </w:tr>
      <w:tr>
        <w:trPr>
          <w:trHeight w:val="122"/>
        </w:trPr>
        <w:tc>
          <w:tcPr>
            <w:tcW w:w="3280" w:type="dxa"/>
            <w:vAlign w:val="bottom"/>
          </w:tcPr>
          <w:p>
            <w:pPr>
              <w:spacing w:after="0" w:line="122" w:lineRule="exact"/>
              <w:rPr>
                <w:sz w:val="20"/>
                <w:szCs w:val="20"/>
                <w:color w:val="auto"/>
              </w:rPr>
            </w:pPr>
            <w:r>
              <w:rPr>
                <w:rFonts w:ascii="Arial" w:cs="Arial" w:eastAsia="Arial" w:hAnsi="Arial"/>
                <w:sz w:val="9"/>
                <w:szCs w:val="9"/>
                <w:color w:val="auto"/>
              </w:rPr>
              <w:t>Columbus International, Inc.</w:t>
            </w:r>
            <w:r>
              <w:rPr>
                <w:rFonts w:ascii="Arial" w:cs="Arial" w:eastAsia="Arial" w:hAnsi="Arial"/>
                <w:sz w:val="14"/>
                <w:szCs w:val="14"/>
                <w:color w:val="auto"/>
                <w:vertAlign w:val="superscript"/>
              </w:rPr>
              <w:t>(5), (10)</w:t>
            </w:r>
          </w:p>
        </w:tc>
        <w:tc>
          <w:tcPr>
            <w:tcW w:w="1440" w:type="dxa"/>
            <w:vAlign w:val="bottom"/>
          </w:tcPr>
          <w:p>
            <w:pPr>
              <w:ind w:left="740"/>
              <w:spacing w:after="0" w:line="122" w:lineRule="exact"/>
              <w:rPr>
                <w:sz w:val="20"/>
                <w:szCs w:val="20"/>
                <w:color w:val="auto"/>
              </w:rPr>
            </w:pPr>
            <w:r>
              <w:rPr>
                <w:rFonts w:ascii="Arial" w:cs="Arial" w:eastAsia="Arial" w:hAnsi="Arial"/>
                <w:sz w:val="13"/>
                <w:szCs w:val="13"/>
                <w:color w:val="auto"/>
              </w:rPr>
              <w:t>11/20/2014</w:t>
            </w:r>
          </w:p>
        </w:tc>
        <w:tc>
          <w:tcPr>
            <w:tcW w:w="1820" w:type="dxa"/>
            <w:vAlign w:val="bottom"/>
          </w:tcPr>
          <w:p>
            <w:pPr>
              <w:jc w:val="center"/>
              <w:spacing w:after="0" w:line="122" w:lineRule="exact"/>
              <w:rPr>
                <w:sz w:val="20"/>
                <w:szCs w:val="20"/>
                <w:color w:val="auto"/>
              </w:rPr>
            </w:pPr>
            <w:r>
              <w:rPr>
                <w:rFonts w:ascii="Arial" w:cs="Arial" w:eastAsia="Arial" w:hAnsi="Arial"/>
                <w:sz w:val="13"/>
                <w:szCs w:val="13"/>
                <w:color w:val="auto"/>
                <w:w w:val="94"/>
              </w:rPr>
              <w:t>Communications</w:t>
            </w:r>
          </w:p>
        </w:tc>
        <w:tc>
          <w:tcPr>
            <w:tcW w:w="900" w:type="dxa"/>
            <w:vAlign w:val="bottom"/>
          </w:tcPr>
          <w:p>
            <w:pPr>
              <w:jc w:val="right"/>
              <w:ind w:right="53"/>
              <w:spacing w:after="0" w:line="122" w:lineRule="exact"/>
              <w:rPr>
                <w:sz w:val="20"/>
                <w:szCs w:val="20"/>
                <w:color w:val="auto"/>
              </w:rPr>
            </w:pPr>
            <w:r>
              <w:rPr>
                <w:rFonts w:ascii="Arial" w:cs="Arial" w:eastAsia="Arial" w:hAnsi="Arial"/>
                <w:sz w:val="13"/>
                <w:szCs w:val="13"/>
                <w:color w:val="auto"/>
              </w:rPr>
              <w:t>11.50%</w:t>
            </w:r>
          </w:p>
        </w:tc>
        <w:tc>
          <w:tcPr>
            <w:tcW w:w="780" w:type="dxa"/>
            <w:vAlign w:val="bottom"/>
          </w:tcPr>
          <w:p>
            <w:pPr>
              <w:jc w:val="right"/>
              <w:ind w:right="13"/>
              <w:spacing w:after="0" w:line="122"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0"/>
                <w:szCs w:val="10"/>
                <w:color w:val="auto"/>
              </w:rPr>
            </w:pPr>
          </w:p>
        </w:tc>
        <w:tc>
          <w:tcPr>
            <w:tcW w:w="760" w:type="dxa"/>
            <w:vAlign w:val="bottom"/>
          </w:tcPr>
          <w:p>
            <w:pPr>
              <w:jc w:val="right"/>
              <w:ind w:right="13"/>
              <w:spacing w:after="0" w:line="122" w:lineRule="exact"/>
              <w:rPr>
                <w:sz w:val="20"/>
                <w:szCs w:val="20"/>
                <w:color w:val="auto"/>
              </w:rPr>
            </w:pPr>
            <w:r>
              <w:rPr>
                <w:rFonts w:ascii="Arial" w:cs="Arial" w:eastAsia="Arial" w:hAnsi="Arial"/>
                <w:sz w:val="13"/>
                <w:szCs w:val="13"/>
                <w:color w:val="auto"/>
              </w:rPr>
              <w:t>10,000,000</w:t>
            </w:r>
          </w:p>
        </w:tc>
        <w:tc>
          <w:tcPr>
            <w:tcW w:w="1000" w:type="dxa"/>
            <w:vAlign w:val="bottom"/>
            <w:gridSpan w:val="3"/>
          </w:tcPr>
          <w:p>
            <w:pPr>
              <w:jc w:val="right"/>
              <w:ind w:right="160"/>
              <w:spacing w:after="0" w:line="122" w:lineRule="exact"/>
              <w:rPr>
                <w:sz w:val="20"/>
                <w:szCs w:val="20"/>
                <w:color w:val="auto"/>
              </w:rPr>
            </w:pPr>
            <w:r>
              <w:rPr>
                <w:rFonts w:ascii="Arial" w:cs="Arial" w:eastAsia="Arial" w:hAnsi="Arial"/>
                <w:sz w:val="13"/>
                <w:szCs w:val="13"/>
                <w:color w:val="auto"/>
              </w:rPr>
              <w:t>10,000,000</w:t>
            </w:r>
          </w:p>
        </w:tc>
        <w:tc>
          <w:tcPr>
            <w:tcW w:w="1020" w:type="dxa"/>
            <w:vAlign w:val="bottom"/>
            <w:gridSpan w:val="2"/>
          </w:tcPr>
          <w:p>
            <w:pPr>
              <w:jc w:val="right"/>
              <w:ind w:right="220"/>
              <w:spacing w:after="0" w:line="122" w:lineRule="exact"/>
              <w:rPr>
                <w:sz w:val="20"/>
                <w:szCs w:val="20"/>
                <w:color w:val="auto"/>
              </w:rPr>
            </w:pPr>
            <w:r>
              <w:rPr>
                <w:rFonts w:ascii="Arial" w:cs="Arial" w:eastAsia="Arial" w:hAnsi="Arial"/>
                <w:sz w:val="13"/>
                <w:szCs w:val="13"/>
                <w:color w:val="auto"/>
              </w:rPr>
              <w:t>11,100,000</w:t>
            </w:r>
          </w:p>
        </w:tc>
        <w:tc>
          <w:tcPr>
            <w:tcW w:w="0" w:type="dxa"/>
            <w:vAlign w:val="bottom"/>
          </w:tcPr>
          <w:p>
            <w:pPr>
              <w:spacing w:after="0"/>
              <w:rPr>
                <w:sz w:val="1"/>
                <w:szCs w:val="1"/>
                <w:color w:val="auto"/>
              </w:rPr>
            </w:pPr>
          </w:p>
        </w:tc>
      </w:tr>
      <w:tr>
        <w:trPr>
          <w:trHeight w:val="175"/>
        </w:trPr>
        <w:tc>
          <w:tcPr>
            <w:tcW w:w="3280" w:type="dxa"/>
            <w:vAlign w:val="bottom"/>
          </w:tcPr>
          <w:p>
            <w:pPr>
              <w:spacing w:after="0" w:line="176" w:lineRule="exact"/>
              <w:rPr>
                <w:sz w:val="20"/>
                <w:szCs w:val="20"/>
                <w:color w:val="auto"/>
              </w:rPr>
            </w:pPr>
            <w:r>
              <w:rPr>
                <w:rFonts w:ascii="Arial" w:cs="Arial" w:eastAsia="Arial" w:hAnsi="Arial"/>
                <w:sz w:val="12"/>
                <w:szCs w:val="12"/>
                <w:color w:val="auto"/>
              </w:rPr>
              <w:t>Good Sam Enterprises, LLC</w:t>
            </w:r>
            <w:r>
              <w:rPr>
                <w:rFonts w:ascii="Arial" w:cs="Arial" w:eastAsia="Arial" w:hAnsi="Arial"/>
                <w:sz w:val="20"/>
                <w:szCs w:val="20"/>
                <w:color w:val="auto"/>
                <w:vertAlign w:val="superscript"/>
              </w:rPr>
              <w:t>(5)</w:t>
            </w:r>
          </w:p>
        </w:tc>
        <w:tc>
          <w:tcPr>
            <w:tcW w:w="1440" w:type="dxa"/>
            <w:vAlign w:val="bottom"/>
          </w:tcPr>
          <w:p>
            <w:pPr>
              <w:ind w:left="740"/>
              <w:spacing w:after="0"/>
              <w:rPr>
                <w:sz w:val="20"/>
                <w:szCs w:val="20"/>
                <w:color w:val="auto"/>
              </w:rPr>
            </w:pPr>
            <w:r>
              <w:rPr>
                <w:rFonts w:ascii="Arial" w:cs="Arial" w:eastAsia="Arial" w:hAnsi="Arial"/>
                <w:sz w:val="13"/>
                <w:szCs w:val="13"/>
                <w:color w:val="auto"/>
              </w:rPr>
              <w:t>12/01/2016</w:t>
            </w:r>
          </w:p>
        </w:tc>
        <w:tc>
          <w:tcPr>
            <w:tcW w:w="1820" w:type="dxa"/>
            <w:vAlign w:val="bottom"/>
          </w:tcPr>
          <w:p>
            <w:pPr>
              <w:jc w:val="center"/>
              <w:spacing w:after="0"/>
              <w:rPr>
                <w:sz w:val="20"/>
                <w:szCs w:val="20"/>
                <w:color w:val="auto"/>
              </w:rPr>
            </w:pPr>
            <w:r>
              <w:rPr>
                <w:rFonts w:ascii="Arial" w:cs="Arial" w:eastAsia="Arial" w:hAnsi="Arial"/>
                <w:sz w:val="13"/>
                <w:szCs w:val="13"/>
                <w:color w:val="auto"/>
                <w:w w:val="92"/>
              </w:rPr>
              <w:t>Consumer Products</w:t>
            </w:r>
          </w:p>
        </w:tc>
        <w:tc>
          <w:tcPr>
            <w:tcW w:w="900" w:type="dxa"/>
            <w:vAlign w:val="bottom"/>
          </w:tcPr>
          <w:p>
            <w:pPr>
              <w:jc w:val="right"/>
              <w:ind w:right="53"/>
              <w:spacing w:after="0"/>
              <w:rPr>
                <w:sz w:val="20"/>
                <w:szCs w:val="20"/>
                <w:color w:val="auto"/>
              </w:rPr>
            </w:pPr>
            <w:r>
              <w:rPr>
                <w:rFonts w:ascii="Arial" w:cs="Arial" w:eastAsia="Arial" w:hAnsi="Arial"/>
                <w:sz w:val="13"/>
                <w:szCs w:val="13"/>
                <w:color w:val="auto"/>
              </w:rPr>
              <w:t>11.50%</w:t>
            </w: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40" w:type="dxa"/>
            <w:vAlign w:val="bottom"/>
            <w:vMerge w:val="restart"/>
          </w:tcPr>
          <w:p>
            <w:pPr>
              <w:jc w:val="right"/>
              <w:ind w:right="44"/>
              <w:spacing w:after="0"/>
              <w:rPr>
                <w:sz w:val="20"/>
                <w:szCs w:val="20"/>
                <w:color w:val="auto"/>
              </w:rPr>
            </w:pPr>
            <w:r>
              <w:rPr>
                <w:rFonts w:ascii="Arial" w:cs="Arial" w:eastAsia="Arial" w:hAnsi="Arial"/>
                <w:sz w:val="11"/>
                <w:szCs w:val="11"/>
                <w:color w:val="auto"/>
                <w:w w:val="88"/>
              </w:rPr>
              <w:t>(8)</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12,000,000</w:t>
            </w:r>
          </w:p>
        </w:tc>
        <w:tc>
          <w:tcPr>
            <w:tcW w:w="1000" w:type="dxa"/>
            <w:vAlign w:val="bottom"/>
            <w:gridSpan w:val="3"/>
          </w:tcPr>
          <w:p>
            <w:pPr>
              <w:jc w:val="right"/>
              <w:ind w:right="160"/>
              <w:spacing w:after="0"/>
              <w:rPr>
                <w:sz w:val="20"/>
                <w:szCs w:val="20"/>
                <w:color w:val="auto"/>
              </w:rPr>
            </w:pPr>
            <w:r>
              <w:rPr>
                <w:rFonts w:ascii="Arial" w:cs="Arial" w:eastAsia="Arial" w:hAnsi="Arial"/>
                <w:sz w:val="13"/>
                <w:szCs w:val="13"/>
                <w:color w:val="auto"/>
              </w:rPr>
              <w:t>11,795,443</w:t>
            </w: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12,720,000</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20"/>
                <w:szCs w:val="20"/>
                <w:color w:val="auto"/>
              </w:rPr>
            </w:pPr>
            <w:r>
              <w:rPr>
                <w:rFonts w:ascii="Arial" w:cs="Arial" w:eastAsia="Arial" w:hAnsi="Arial"/>
                <w:sz w:val="13"/>
                <w:szCs w:val="13"/>
                <w:color w:val="auto"/>
              </w:rPr>
              <w:t>Hanley-Wood, L.L.C.</w:t>
            </w:r>
          </w:p>
        </w:tc>
        <w:tc>
          <w:tcPr>
            <w:tcW w:w="1440" w:type="dxa"/>
            <w:vAlign w:val="bottom"/>
          </w:tcPr>
          <w:p>
            <w:pPr>
              <w:ind w:left="740"/>
              <w:spacing w:after="0"/>
              <w:rPr>
                <w:sz w:val="20"/>
                <w:szCs w:val="20"/>
                <w:color w:val="auto"/>
              </w:rPr>
            </w:pPr>
            <w:r>
              <w:rPr>
                <w:rFonts w:ascii="Arial" w:cs="Arial" w:eastAsia="Arial" w:hAnsi="Arial"/>
                <w:sz w:val="13"/>
                <w:szCs w:val="13"/>
                <w:color w:val="auto"/>
              </w:rPr>
              <w:t>01/13/2017</w:t>
            </w:r>
          </w:p>
        </w:tc>
        <w:tc>
          <w:tcPr>
            <w:tcW w:w="1820" w:type="dxa"/>
            <w:vAlign w:val="bottom"/>
          </w:tcPr>
          <w:p>
            <w:pPr>
              <w:jc w:val="center"/>
              <w:spacing w:after="0"/>
              <w:rPr>
                <w:sz w:val="20"/>
                <w:szCs w:val="20"/>
                <w:color w:val="auto"/>
              </w:rPr>
            </w:pPr>
            <w:r>
              <w:rPr>
                <w:rFonts w:ascii="Arial" w:cs="Arial" w:eastAsia="Arial" w:hAnsi="Arial"/>
                <w:sz w:val="13"/>
                <w:szCs w:val="13"/>
                <w:color w:val="auto"/>
                <w:w w:val="95"/>
              </w:rPr>
              <w:t>Other Media</w:t>
            </w:r>
          </w:p>
        </w:tc>
        <w:tc>
          <w:tcPr>
            <w:tcW w:w="900" w:type="dxa"/>
            <w:vAlign w:val="bottom"/>
          </w:tcPr>
          <w:p>
            <w:pPr>
              <w:jc w:val="right"/>
              <w:ind w:right="53"/>
              <w:spacing w:after="0"/>
              <w:rPr>
                <w:sz w:val="20"/>
                <w:szCs w:val="20"/>
                <w:color w:val="auto"/>
              </w:rPr>
            </w:pPr>
            <w:r>
              <w:rPr>
                <w:rFonts w:ascii="Arial" w:cs="Arial" w:eastAsia="Arial" w:hAnsi="Arial"/>
                <w:sz w:val="13"/>
                <w:szCs w:val="13"/>
                <w:color w:val="auto"/>
              </w:rPr>
              <w:t>8.00%</w:t>
            </w:r>
          </w:p>
        </w:tc>
        <w:tc>
          <w:tcPr>
            <w:tcW w:w="780" w:type="dxa"/>
            <w:vAlign w:val="bottom"/>
          </w:tcPr>
          <w:p>
            <w:pPr>
              <w:jc w:val="right"/>
              <w:spacing w:after="0"/>
              <w:rPr>
                <w:sz w:val="20"/>
                <w:szCs w:val="20"/>
                <w:color w:val="auto"/>
              </w:rPr>
            </w:pPr>
            <w:r>
              <w:rPr>
                <w:rFonts w:ascii="Arial" w:cs="Arial" w:eastAsia="Arial" w:hAnsi="Arial"/>
                <w:sz w:val="13"/>
                <w:szCs w:val="13"/>
                <w:color w:val="auto"/>
              </w:rPr>
              <w:t>L+650</w:t>
            </w:r>
          </w:p>
        </w:tc>
        <w:tc>
          <w:tcPr>
            <w:tcW w:w="240" w:type="dxa"/>
            <w:vAlign w:val="bottom"/>
            <w:vMerge w:val="continue"/>
          </w:tcPr>
          <w:p>
            <w:pPr>
              <w:spacing w:after="0"/>
              <w:rPr>
                <w:sz w:val="12"/>
                <w:szCs w:val="12"/>
                <w:color w:val="auto"/>
              </w:rPr>
            </w:pP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1,752,896</w:t>
            </w:r>
          </w:p>
        </w:tc>
        <w:tc>
          <w:tcPr>
            <w:tcW w:w="1000" w:type="dxa"/>
            <w:vAlign w:val="bottom"/>
            <w:gridSpan w:val="3"/>
          </w:tcPr>
          <w:p>
            <w:pPr>
              <w:jc w:val="right"/>
              <w:ind w:right="160"/>
              <w:spacing w:after="0"/>
              <w:rPr>
                <w:sz w:val="20"/>
                <w:szCs w:val="20"/>
                <w:color w:val="auto"/>
              </w:rPr>
            </w:pPr>
            <w:r>
              <w:rPr>
                <w:rFonts w:ascii="Arial" w:cs="Arial" w:eastAsia="Arial" w:hAnsi="Arial"/>
                <w:sz w:val="13"/>
                <w:szCs w:val="13"/>
                <w:color w:val="auto"/>
              </w:rPr>
              <w:t>1,752,896</w:t>
            </w: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1,752,896</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IDQ Holdings, Inc. </w:t>
            </w:r>
            <w:r>
              <w:rPr>
                <w:rFonts w:ascii="Arial" w:cs="Arial" w:eastAsia="Arial" w:hAnsi="Arial"/>
                <w:sz w:val="17"/>
                <w:szCs w:val="17"/>
                <w:color w:val="auto"/>
                <w:vertAlign w:val="superscript"/>
              </w:rPr>
              <w:t>(5)</w:t>
            </w:r>
          </w:p>
        </w:tc>
        <w:tc>
          <w:tcPr>
            <w:tcW w:w="1440" w:type="dxa"/>
            <w:vAlign w:val="bottom"/>
            <w:shd w:val="clear" w:color="auto" w:fill="CCEEFF"/>
          </w:tcPr>
          <w:p>
            <w:pPr>
              <w:ind w:left="740"/>
              <w:spacing w:after="0"/>
              <w:rPr>
                <w:sz w:val="20"/>
                <w:szCs w:val="20"/>
                <w:color w:val="auto"/>
              </w:rPr>
            </w:pPr>
            <w:r>
              <w:rPr>
                <w:rFonts w:ascii="Arial" w:cs="Arial" w:eastAsia="Arial" w:hAnsi="Arial"/>
                <w:sz w:val="13"/>
                <w:szCs w:val="13"/>
                <w:color w:val="auto"/>
              </w:rPr>
              <w:t>04/01/2017</w:t>
            </w:r>
          </w:p>
        </w:tc>
        <w:tc>
          <w:tcPr>
            <w:tcW w:w="1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Auto Sector</w:t>
            </w: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11.50%</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11,500,000</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11,288,165</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12,218,750</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20"/>
                <w:szCs w:val="20"/>
                <w:color w:val="auto"/>
              </w:rPr>
            </w:pPr>
            <w:r>
              <w:rPr>
                <w:rFonts w:ascii="Arial" w:cs="Arial" w:eastAsia="Arial" w:hAnsi="Arial"/>
                <w:sz w:val="13"/>
                <w:szCs w:val="13"/>
                <w:color w:val="auto"/>
              </w:rPr>
              <w:t>Instant Web, Inc.</w:t>
            </w:r>
          </w:p>
        </w:tc>
        <w:tc>
          <w:tcPr>
            <w:tcW w:w="1440" w:type="dxa"/>
            <w:vAlign w:val="bottom"/>
          </w:tcPr>
          <w:p>
            <w:pPr>
              <w:ind w:left="740"/>
              <w:spacing w:after="0"/>
              <w:rPr>
                <w:sz w:val="20"/>
                <w:szCs w:val="20"/>
                <w:color w:val="auto"/>
              </w:rPr>
            </w:pPr>
            <w:r>
              <w:rPr>
                <w:rFonts w:ascii="Arial" w:cs="Arial" w:eastAsia="Arial" w:hAnsi="Arial"/>
                <w:sz w:val="13"/>
                <w:szCs w:val="13"/>
                <w:color w:val="auto"/>
              </w:rPr>
              <w:t>08/07/2014</w:t>
            </w:r>
          </w:p>
        </w:tc>
        <w:tc>
          <w:tcPr>
            <w:tcW w:w="1820" w:type="dxa"/>
            <w:vAlign w:val="bottom"/>
          </w:tcPr>
          <w:p>
            <w:pPr>
              <w:jc w:val="center"/>
              <w:spacing w:after="0"/>
              <w:rPr>
                <w:sz w:val="20"/>
                <w:szCs w:val="20"/>
                <w:color w:val="auto"/>
              </w:rPr>
            </w:pPr>
            <w:r>
              <w:rPr>
                <w:rFonts w:ascii="Arial" w:cs="Arial" w:eastAsia="Arial" w:hAnsi="Arial"/>
                <w:sz w:val="13"/>
                <w:szCs w:val="13"/>
                <w:color w:val="auto"/>
                <w:w w:val="96"/>
              </w:rPr>
              <w:t>Printing and Publishing</w:t>
            </w:r>
          </w:p>
        </w:tc>
        <w:tc>
          <w:tcPr>
            <w:tcW w:w="900" w:type="dxa"/>
            <w:vAlign w:val="bottom"/>
          </w:tcPr>
          <w:p>
            <w:pPr>
              <w:jc w:val="right"/>
              <w:ind w:right="53"/>
              <w:spacing w:after="0"/>
              <w:rPr>
                <w:sz w:val="20"/>
                <w:szCs w:val="20"/>
                <w:color w:val="auto"/>
              </w:rPr>
            </w:pPr>
            <w:r>
              <w:rPr>
                <w:rFonts w:ascii="Arial" w:cs="Arial" w:eastAsia="Arial" w:hAnsi="Arial"/>
                <w:sz w:val="13"/>
                <w:szCs w:val="13"/>
                <w:color w:val="auto"/>
              </w:rPr>
              <w:t>14.50%</w:t>
            </w:r>
          </w:p>
        </w:tc>
        <w:tc>
          <w:tcPr>
            <w:tcW w:w="780" w:type="dxa"/>
            <w:vAlign w:val="bottom"/>
          </w:tcPr>
          <w:p>
            <w:pPr>
              <w:jc w:val="right"/>
              <w:spacing w:after="0"/>
              <w:rPr>
                <w:sz w:val="20"/>
                <w:szCs w:val="20"/>
                <w:color w:val="auto"/>
              </w:rPr>
            </w:pPr>
            <w:r>
              <w:rPr>
                <w:rFonts w:ascii="Arial" w:cs="Arial" w:eastAsia="Arial" w:hAnsi="Arial"/>
                <w:sz w:val="13"/>
                <w:szCs w:val="13"/>
                <w:color w:val="auto"/>
              </w:rPr>
              <w:t>L+950</w:t>
            </w:r>
          </w:p>
        </w:tc>
        <w:tc>
          <w:tcPr>
            <w:tcW w:w="240" w:type="dxa"/>
            <w:vAlign w:val="bottom"/>
          </w:tcPr>
          <w:p>
            <w:pPr>
              <w:jc w:val="right"/>
              <w:ind w:right="44"/>
              <w:spacing w:after="0"/>
              <w:rPr>
                <w:sz w:val="20"/>
                <w:szCs w:val="20"/>
                <w:color w:val="auto"/>
              </w:rPr>
            </w:pPr>
            <w:r>
              <w:rPr>
                <w:rFonts w:ascii="Arial" w:cs="Arial" w:eastAsia="Arial" w:hAnsi="Arial"/>
                <w:sz w:val="11"/>
                <w:szCs w:val="11"/>
                <w:color w:val="auto"/>
                <w:w w:val="88"/>
              </w:rPr>
              <w:t>(8)</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24,115,645</w:t>
            </w:r>
          </w:p>
        </w:tc>
        <w:tc>
          <w:tcPr>
            <w:tcW w:w="1000" w:type="dxa"/>
            <w:vAlign w:val="bottom"/>
            <w:gridSpan w:val="3"/>
          </w:tcPr>
          <w:p>
            <w:pPr>
              <w:jc w:val="right"/>
              <w:ind w:right="160"/>
              <w:spacing w:after="0"/>
              <w:rPr>
                <w:sz w:val="20"/>
                <w:szCs w:val="20"/>
                <w:color w:val="auto"/>
              </w:rPr>
            </w:pPr>
            <w:r>
              <w:rPr>
                <w:rFonts w:ascii="Arial" w:cs="Arial" w:eastAsia="Arial" w:hAnsi="Arial"/>
                <w:sz w:val="13"/>
                <w:szCs w:val="13"/>
                <w:color w:val="auto"/>
              </w:rPr>
              <w:t>23,829,738</w:t>
            </w: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23,802,142</w:t>
            </w:r>
          </w:p>
        </w:tc>
        <w:tc>
          <w:tcPr>
            <w:tcW w:w="0" w:type="dxa"/>
            <w:vAlign w:val="bottom"/>
          </w:tcPr>
          <w:p>
            <w:pPr>
              <w:spacing w:after="0"/>
              <w:rPr>
                <w:sz w:val="1"/>
                <w:szCs w:val="1"/>
                <w:color w:val="auto"/>
              </w:rPr>
            </w:pPr>
          </w:p>
        </w:tc>
      </w:tr>
      <w:tr>
        <w:trPr>
          <w:trHeight w:val="138"/>
        </w:trPr>
        <w:tc>
          <w:tcPr>
            <w:tcW w:w="32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Interactive Health Solutions, Inc.</w:t>
            </w:r>
          </w:p>
        </w:tc>
        <w:tc>
          <w:tcPr>
            <w:tcW w:w="1440" w:type="dxa"/>
            <w:vAlign w:val="bottom"/>
            <w:shd w:val="clear" w:color="auto" w:fill="CCEEFF"/>
          </w:tcPr>
          <w:p>
            <w:pPr>
              <w:ind w:left="740"/>
              <w:spacing w:after="0" w:line="138" w:lineRule="exact"/>
              <w:rPr>
                <w:sz w:val="20"/>
                <w:szCs w:val="20"/>
                <w:color w:val="auto"/>
              </w:rPr>
            </w:pPr>
            <w:r>
              <w:rPr>
                <w:rFonts w:ascii="Arial" w:cs="Arial" w:eastAsia="Arial" w:hAnsi="Arial"/>
                <w:sz w:val="13"/>
                <w:szCs w:val="13"/>
                <w:color w:val="auto"/>
              </w:rPr>
              <w:t>10/04/2016</w:t>
            </w:r>
          </w:p>
        </w:tc>
        <w:tc>
          <w:tcPr>
            <w:tcW w:w="18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Healthcare, Education and</w:t>
            </w:r>
          </w:p>
        </w:tc>
        <w:tc>
          <w:tcPr>
            <w:tcW w:w="900" w:type="dxa"/>
            <w:vAlign w:val="bottom"/>
            <w:shd w:val="clear" w:color="auto" w:fill="CCEEFF"/>
          </w:tcPr>
          <w:p>
            <w:pPr>
              <w:jc w:val="right"/>
              <w:ind w:right="53"/>
              <w:spacing w:after="0" w:line="138" w:lineRule="exact"/>
              <w:rPr>
                <w:sz w:val="20"/>
                <w:szCs w:val="20"/>
                <w:color w:val="auto"/>
              </w:rPr>
            </w:pPr>
            <w:r>
              <w:rPr>
                <w:rFonts w:ascii="Arial" w:cs="Arial" w:eastAsia="Arial" w:hAnsi="Arial"/>
                <w:sz w:val="13"/>
                <w:szCs w:val="13"/>
                <w:color w:val="auto"/>
              </w:rPr>
              <w:t>11.50%</w:t>
            </w: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L+950</w:t>
            </w:r>
          </w:p>
        </w:tc>
        <w:tc>
          <w:tcPr>
            <w:tcW w:w="24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w w:val="88"/>
              </w:rPr>
              <w:t>(8)</w:t>
            </w:r>
          </w:p>
        </w:tc>
        <w:tc>
          <w:tcPr>
            <w:tcW w:w="76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18,525,000</w:t>
            </w:r>
          </w:p>
        </w:tc>
        <w:tc>
          <w:tcPr>
            <w:tcW w:w="100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18,165,492</w:t>
            </w:r>
          </w:p>
        </w:tc>
        <w:tc>
          <w:tcPr>
            <w:tcW w:w="102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18,571,313</w:t>
            </w:r>
          </w:p>
        </w:tc>
        <w:tc>
          <w:tcPr>
            <w:tcW w:w="0" w:type="dxa"/>
            <w:vAlign w:val="bottom"/>
          </w:tcPr>
          <w:p>
            <w:pPr>
              <w:spacing w:after="0"/>
              <w:rPr>
                <w:sz w:val="1"/>
                <w:szCs w:val="1"/>
                <w:color w:val="auto"/>
              </w:rPr>
            </w:pPr>
          </w:p>
        </w:tc>
      </w:tr>
      <w:tr>
        <w:trPr>
          <w:trHeight w:val="173"/>
        </w:trPr>
        <w:tc>
          <w:tcPr>
            <w:tcW w:w="32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Childcare</w:t>
            </w:r>
          </w:p>
        </w:tc>
        <w:tc>
          <w:tcPr>
            <w:tcW w:w="9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280" w:type="dxa"/>
            <w:vAlign w:val="bottom"/>
          </w:tcPr>
          <w:p>
            <w:pPr>
              <w:spacing w:after="0" w:line="138" w:lineRule="exact"/>
              <w:rPr>
                <w:sz w:val="20"/>
                <w:szCs w:val="20"/>
                <w:color w:val="auto"/>
              </w:rPr>
            </w:pPr>
            <w:r>
              <w:rPr>
                <w:rFonts w:ascii="Arial" w:cs="Arial" w:eastAsia="Arial" w:hAnsi="Arial"/>
                <w:sz w:val="13"/>
                <w:szCs w:val="13"/>
                <w:color w:val="auto"/>
              </w:rPr>
              <w:t>Jacuzzi Brands Corp.</w:t>
            </w:r>
          </w:p>
        </w:tc>
        <w:tc>
          <w:tcPr>
            <w:tcW w:w="3260" w:type="dxa"/>
            <w:vAlign w:val="bottom"/>
            <w:gridSpan w:val="2"/>
          </w:tcPr>
          <w:p>
            <w:pPr>
              <w:ind w:left="740"/>
              <w:spacing w:after="0" w:line="138" w:lineRule="exact"/>
              <w:rPr>
                <w:sz w:val="20"/>
                <w:szCs w:val="20"/>
                <w:color w:val="auto"/>
              </w:rPr>
            </w:pPr>
            <w:r>
              <w:rPr>
                <w:rFonts w:ascii="Arial" w:cs="Arial" w:eastAsia="Arial" w:hAnsi="Arial"/>
                <w:sz w:val="13"/>
                <w:szCs w:val="13"/>
                <w:color w:val="auto"/>
              </w:rPr>
              <w:t>02/07/2014   Home and Office Furnishings,</w:t>
            </w:r>
          </w:p>
        </w:tc>
        <w:tc>
          <w:tcPr>
            <w:tcW w:w="900" w:type="dxa"/>
            <w:vAlign w:val="bottom"/>
          </w:tcPr>
          <w:p>
            <w:pPr>
              <w:jc w:val="right"/>
              <w:ind w:right="53"/>
              <w:spacing w:after="0" w:line="138" w:lineRule="exact"/>
              <w:rPr>
                <w:sz w:val="20"/>
                <w:szCs w:val="20"/>
                <w:color w:val="auto"/>
              </w:rPr>
            </w:pPr>
            <w:r>
              <w:rPr>
                <w:rFonts w:ascii="Arial" w:cs="Arial" w:eastAsia="Arial" w:hAnsi="Arial"/>
                <w:sz w:val="13"/>
                <w:szCs w:val="13"/>
                <w:color w:val="auto"/>
              </w:rPr>
              <w:t>2.28%</w:t>
            </w:r>
          </w:p>
        </w:tc>
        <w:tc>
          <w:tcPr>
            <w:tcW w:w="780" w:type="dxa"/>
            <w:vAlign w:val="bottom"/>
          </w:tcPr>
          <w:p>
            <w:pPr>
              <w:jc w:val="right"/>
              <w:spacing w:after="0" w:line="138" w:lineRule="exact"/>
              <w:rPr>
                <w:sz w:val="20"/>
                <w:szCs w:val="20"/>
                <w:color w:val="auto"/>
              </w:rPr>
            </w:pPr>
            <w:r>
              <w:rPr>
                <w:rFonts w:ascii="Arial" w:cs="Arial" w:eastAsia="Arial" w:hAnsi="Arial"/>
                <w:sz w:val="13"/>
                <w:szCs w:val="13"/>
                <w:color w:val="auto"/>
              </w:rPr>
              <w:t>L+225</w:t>
            </w:r>
          </w:p>
        </w:tc>
        <w:tc>
          <w:tcPr>
            <w:tcW w:w="240" w:type="dxa"/>
            <w:vAlign w:val="bottom"/>
          </w:tcPr>
          <w:p>
            <w:pPr>
              <w:spacing w:after="0"/>
              <w:rPr>
                <w:sz w:val="11"/>
                <w:szCs w:val="11"/>
                <w:color w:val="auto"/>
              </w:rPr>
            </w:pPr>
          </w:p>
        </w:tc>
        <w:tc>
          <w:tcPr>
            <w:tcW w:w="760" w:type="dxa"/>
            <w:vAlign w:val="bottom"/>
          </w:tcPr>
          <w:p>
            <w:pPr>
              <w:jc w:val="right"/>
              <w:ind w:right="13"/>
              <w:spacing w:after="0" w:line="138" w:lineRule="exact"/>
              <w:rPr>
                <w:sz w:val="20"/>
                <w:szCs w:val="20"/>
                <w:color w:val="auto"/>
              </w:rPr>
            </w:pPr>
            <w:r>
              <w:rPr>
                <w:rFonts w:ascii="Arial" w:cs="Arial" w:eastAsia="Arial" w:hAnsi="Arial"/>
                <w:sz w:val="13"/>
                <w:szCs w:val="13"/>
                <w:color w:val="auto"/>
              </w:rPr>
              <w:t>9,598,649</w:t>
            </w:r>
          </w:p>
        </w:tc>
        <w:tc>
          <w:tcPr>
            <w:tcW w:w="1000" w:type="dxa"/>
            <w:vAlign w:val="bottom"/>
            <w:gridSpan w:val="3"/>
          </w:tcPr>
          <w:p>
            <w:pPr>
              <w:jc w:val="right"/>
              <w:ind w:right="160"/>
              <w:spacing w:after="0" w:line="138" w:lineRule="exact"/>
              <w:rPr>
                <w:sz w:val="20"/>
                <w:szCs w:val="20"/>
                <w:color w:val="auto"/>
              </w:rPr>
            </w:pPr>
            <w:r>
              <w:rPr>
                <w:rFonts w:ascii="Arial" w:cs="Arial" w:eastAsia="Arial" w:hAnsi="Arial"/>
                <w:sz w:val="13"/>
                <w:szCs w:val="13"/>
                <w:color w:val="auto"/>
              </w:rPr>
              <w:t>9,598,649</w:t>
            </w:r>
          </w:p>
        </w:tc>
        <w:tc>
          <w:tcPr>
            <w:tcW w:w="102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6,371,103</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20" w:type="dxa"/>
            <w:vAlign w:val="bottom"/>
          </w:tcPr>
          <w:p>
            <w:pPr>
              <w:jc w:val="center"/>
              <w:spacing w:after="0"/>
              <w:rPr>
                <w:sz w:val="20"/>
                <w:szCs w:val="20"/>
                <w:color w:val="auto"/>
              </w:rPr>
            </w:pPr>
            <w:r>
              <w:rPr>
                <w:rFonts w:ascii="Arial" w:cs="Arial" w:eastAsia="Arial" w:hAnsi="Arial"/>
                <w:sz w:val="13"/>
                <w:szCs w:val="13"/>
                <w:color w:val="auto"/>
                <w:w w:val="92"/>
              </w:rPr>
              <w:t>Housewares and Durable</w:t>
            </w: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Arial" w:cs="Arial" w:eastAsia="Arial" w:hAnsi="Arial"/>
                <w:sz w:val="13"/>
                <w:szCs w:val="13"/>
                <w:color w:val="auto"/>
                <w:w w:val="92"/>
              </w:rPr>
              <w:t>Consumer Products</w:t>
            </w: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2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K2 Pure Solutions NoCal, L.P.</w:t>
            </w:r>
          </w:p>
        </w:tc>
        <w:tc>
          <w:tcPr>
            <w:tcW w:w="1440" w:type="dxa"/>
            <w:vAlign w:val="bottom"/>
            <w:shd w:val="clear" w:color="auto" w:fill="CCEEFF"/>
          </w:tcPr>
          <w:p>
            <w:pPr>
              <w:ind w:left="740"/>
              <w:spacing w:after="0" w:line="138" w:lineRule="exact"/>
              <w:rPr>
                <w:sz w:val="20"/>
                <w:szCs w:val="20"/>
                <w:color w:val="auto"/>
              </w:rPr>
            </w:pPr>
            <w:r>
              <w:rPr>
                <w:rFonts w:ascii="Arial" w:cs="Arial" w:eastAsia="Arial" w:hAnsi="Arial"/>
                <w:sz w:val="13"/>
                <w:szCs w:val="13"/>
                <w:color w:val="auto"/>
              </w:rPr>
              <w:t>09/10/2015</w:t>
            </w:r>
          </w:p>
        </w:tc>
        <w:tc>
          <w:tcPr>
            <w:tcW w:w="18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Chemicals, Plastics and</w:t>
            </w:r>
          </w:p>
        </w:tc>
        <w:tc>
          <w:tcPr>
            <w:tcW w:w="900" w:type="dxa"/>
            <w:vAlign w:val="bottom"/>
            <w:shd w:val="clear" w:color="auto" w:fill="CCEEFF"/>
          </w:tcPr>
          <w:p>
            <w:pPr>
              <w:jc w:val="right"/>
              <w:ind w:right="53"/>
              <w:spacing w:after="0" w:line="138" w:lineRule="exact"/>
              <w:rPr>
                <w:sz w:val="20"/>
                <w:szCs w:val="20"/>
                <w:color w:val="auto"/>
              </w:rPr>
            </w:pPr>
            <w:r>
              <w:rPr>
                <w:rFonts w:ascii="Arial" w:cs="Arial" w:eastAsia="Arial" w:hAnsi="Arial"/>
                <w:sz w:val="13"/>
                <w:szCs w:val="13"/>
                <w:color w:val="auto"/>
              </w:rPr>
              <w:t>10.00%</w:t>
            </w: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L+775</w:t>
            </w:r>
          </w:p>
        </w:tc>
        <w:tc>
          <w:tcPr>
            <w:tcW w:w="24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w w:val="88"/>
              </w:rPr>
              <w:t>(8)</w:t>
            </w:r>
          </w:p>
        </w:tc>
        <w:tc>
          <w:tcPr>
            <w:tcW w:w="76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18,952,500</w:t>
            </w:r>
          </w:p>
        </w:tc>
        <w:tc>
          <w:tcPr>
            <w:tcW w:w="100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18,216,865</w:t>
            </w:r>
          </w:p>
        </w:tc>
        <w:tc>
          <w:tcPr>
            <w:tcW w:w="102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19,236,788</w:t>
            </w:r>
          </w:p>
        </w:tc>
        <w:tc>
          <w:tcPr>
            <w:tcW w:w="0" w:type="dxa"/>
            <w:vAlign w:val="bottom"/>
          </w:tcPr>
          <w:p>
            <w:pPr>
              <w:spacing w:after="0"/>
              <w:rPr>
                <w:sz w:val="1"/>
                <w:szCs w:val="1"/>
                <w:color w:val="auto"/>
              </w:rPr>
            </w:pPr>
          </w:p>
        </w:tc>
      </w:tr>
      <w:tr>
        <w:trPr>
          <w:trHeight w:val="173"/>
        </w:trPr>
        <w:tc>
          <w:tcPr>
            <w:tcW w:w="32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Rubber</w:t>
            </w:r>
          </w:p>
        </w:tc>
        <w:tc>
          <w:tcPr>
            <w:tcW w:w="9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280" w:type="dxa"/>
            <w:vAlign w:val="bottom"/>
          </w:tcPr>
          <w:p>
            <w:pPr>
              <w:spacing w:after="0" w:line="138" w:lineRule="exact"/>
              <w:rPr>
                <w:sz w:val="20"/>
                <w:szCs w:val="20"/>
                <w:color w:val="auto"/>
              </w:rPr>
            </w:pPr>
            <w:r>
              <w:rPr>
                <w:rFonts w:ascii="Arial" w:cs="Arial" w:eastAsia="Arial" w:hAnsi="Arial"/>
                <w:sz w:val="13"/>
                <w:szCs w:val="13"/>
                <w:color w:val="auto"/>
              </w:rPr>
              <w:t>Kadmon Pharmaceuticals, LLC</w:t>
            </w:r>
          </w:p>
        </w:tc>
        <w:tc>
          <w:tcPr>
            <w:tcW w:w="1440" w:type="dxa"/>
            <w:vAlign w:val="bottom"/>
          </w:tcPr>
          <w:p>
            <w:pPr>
              <w:ind w:left="740"/>
              <w:spacing w:after="0" w:line="138" w:lineRule="exact"/>
              <w:rPr>
                <w:sz w:val="20"/>
                <w:szCs w:val="20"/>
                <w:color w:val="auto"/>
              </w:rPr>
            </w:pPr>
            <w:r>
              <w:rPr>
                <w:rFonts w:ascii="Arial" w:cs="Arial" w:eastAsia="Arial" w:hAnsi="Arial"/>
                <w:sz w:val="13"/>
                <w:szCs w:val="13"/>
                <w:color w:val="auto"/>
              </w:rPr>
              <w:t>10/31/2012</w:t>
            </w:r>
          </w:p>
        </w:tc>
        <w:tc>
          <w:tcPr>
            <w:tcW w:w="1820" w:type="dxa"/>
            <w:vAlign w:val="bottom"/>
          </w:tcPr>
          <w:p>
            <w:pPr>
              <w:jc w:val="center"/>
              <w:spacing w:after="0" w:line="138" w:lineRule="exact"/>
              <w:rPr>
                <w:sz w:val="20"/>
                <w:szCs w:val="20"/>
                <w:color w:val="auto"/>
              </w:rPr>
            </w:pPr>
            <w:r>
              <w:rPr>
                <w:rFonts w:ascii="Arial" w:cs="Arial" w:eastAsia="Arial" w:hAnsi="Arial"/>
                <w:sz w:val="13"/>
                <w:szCs w:val="13"/>
                <w:color w:val="auto"/>
                <w:w w:val="93"/>
              </w:rPr>
              <w:t>Healthcare, Education and</w:t>
            </w:r>
          </w:p>
        </w:tc>
        <w:tc>
          <w:tcPr>
            <w:tcW w:w="900" w:type="dxa"/>
            <w:vAlign w:val="bottom"/>
          </w:tcPr>
          <w:p>
            <w:pPr>
              <w:jc w:val="right"/>
              <w:ind w:right="53"/>
              <w:spacing w:after="0" w:line="138" w:lineRule="exact"/>
              <w:rPr>
                <w:sz w:val="20"/>
                <w:szCs w:val="20"/>
                <w:color w:val="auto"/>
              </w:rPr>
            </w:pPr>
            <w:r>
              <w:rPr>
                <w:rFonts w:ascii="Arial" w:cs="Arial" w:eastAsia="Arial" w:hAnsi="Arial"/>
                <w:sz w:val="13"/>
                <w:szCs w:val="13"/>
                <w:color w:val="auto"/>
              </w:rPr>
              <w:t>15.00%</w:t>
            </w:r>
          </w:p>
        </w:tc>
        <w:tc>
          <w:tcPr>
            <w:tcW w:w="780" w:type="dxa"/>
            <w:vAlign w:val="bottom"/>
          </w:tcPr>
          <w:p>
            <w:pPr>
              <w:jc w:val="right"/>
              <w:spacing w:after="0" w:line="138" w:lineRule="exact"/>
              <w:rPr>
                <w:sz w:val="20"/>
                <w:szCs w:val="20"/>
                <w:color w:val="auto"/>
              </w:rPr>
            </w:pPr>
            <w:r>
              <w:rPr>
                <w:rFonts w:ascii="Arial" w:cs="Arial" w:eastAsia="Arial" w:hAnsi="Arial"/>
                <w:sz w:val="13"/>
                <w:szCs w:val="13"/>
                <w:color w:val="auto"/>
              </w:rPr>
              <w:t>L+1,300</w:t>
            </w:r>
          </w:p>
        </w:tc>
        <w:tc>
          <w:tcPr>
            <w:tcW w:w="240" w:type="dxa"/>
            <w:vAlign w:val="bottom"/>
          </w:tcPr>
          <w:p>
            <w:pPr>
              <w:jc w:val="right"/>
              <w:ind w:right="44"/>
              <w:spacing w:after="0"/>
              <w:rPr>
                <w:sz w:val="20"/>
                <w:szCs w:val="20"/>
                <w:color w:val="auto"/>
              </w:rPr>
            </w:pPr>
            <w:r>
              <w:rPr>
                <w:rFonts w:ascii="Arial" w:cs="Arial" w:eastAsia="Arial" w:hAnsi="Arial"/>
                <w:sz w:val="11"/>
                <w:szCs w:val="11"/>
                <w:color w:val="auto"/>
                <w:w w:val="88"/>
              </w:rPr>
              <w:t>(8)</w:t>
            </w:r>
          </w:p>
        </w:tc>
        <w:tc>
          <w:tcPr>
            <w:tcW w:w="760" w:type="dxa"/>
            <w:vAlign w:val="bottom"/>
          </w:tcPr>
          <w:p>
            <w:pPr>
              <w:jc w:val="right"/>
              <w:ind w:right="13"/>
              <w:spacing w:after="0" w:line="138" w:lineRule="exact"/>
              <w:rPr>
                <w:sz w:val="20"/>
                <w:szCs w:val="20"/>
                <w:color w:val="auto"/>
              </w:rPr>
            </w:pPr>
            <w:r>
              <w:rPr>
                <w:rFonts w:ascii="Arial" w:cs="Arial" w:eastAsia="Arial" w:hAnsi="Arial"/>
                <w:sz w:val="13"/>
                <w:szCs w:val="13"/>
                <w:color w:val="auto"/>
              </w:rPr>
              <w:t>4,931,494</w:t>
            </w:r>
          </w:p>
        </w:tc>
        <w:tc>
          <w:tcPr>
            <w:tcW w:w="1000" w:type="dxa"/>
            <w:vAlign w:val="bottom"/>
            <w:gridSpan w:val="3"/>
          </w:tcPr>
          <w:p>
            <w:pPr>
              <w:jc w:val="right"/>
              <w:ind w:right="160"/>
              <w:spacing w:after="0" w:line="138" w:lineRule="exact"/>
              <w:rPr>
                <w:sz w:val="20"/>
                <w:szCs w:val="20"/>
                <w:color w:val="auto"/>
              </w:rPr>
            </w:pPr>
            <w:r>
              <w:rPr>
                <w:rFonts w:ascii="Arial" w:cs="Arial" w:eastAsia="Arial" w:hAnsi="Arial"/>
                <w:sz w:val="13"/>
                <w:szCs w:val="13"/>
                <w:color w:val="auto"/>
              </w:rPr>
              <w:t>4,992,740</w:t>
            </w:r>
          </w:p>
        </w:tc>
        <w:tc>
          <w:tcPr>
            <w:tcW w:w="102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5,110,409</w:t>
            </w:r>
          </w:p>
        </w:tc>
        <w:tc>
          <w:tcPr>
            <w:tcW w:w="0" w:type="dxa"/>
            <w:vAlign w:val="bottom"/>
          </w:tcPr>
          <w:p>
            <w:pPr>
              <w:spacing w:after="0"/>
              <w:rPr>
                <w:sz w:val="1"/>
                <w:szCs w:val="1"/>
                <w:color w:val="auto"/>
              </w:rPr>
            </w:pPr>
          </w:p>
        </w:tc>
      </w:tr>
      <w:tr>
        <w:trPr>
          <w:trHeight w:val="173"/>
        </w:trPr>
        <w:tc>
          <w:tcPr>
            <w:tcW w:w="3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Arial" w:cs="Arial" w:eastAsia="Arial" w:hAnsi="Arial"/>
                <w:sz w:val="13"/>
                <w:szCs w:val="13"/>
                <w:color w:val="auto"/>
                <w:w w:val="94"/>
              </w:rPr>
              <w:t>Childcare</w:t>
            </w: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rPr>
                <w:sz w:val="20"/>
                <w:szCs w:val="20"/>
                <w:color w:val="auto"/>
              </w:rPr>
            </w:pPr>
            <w:r>
              <w:rPr>
                <w:rFonts w:ascii="Arial" w:cs="Arial" w:eastAsia="Arial" w:hAnsi="Arial"/>
                <w:sz w:val="13"/>
                <w:szCs w:val="13"/>
                <w:color w:val="auto"/>
              </w:rPr>
              <w:t>Learning Care Group, Inc.</w:t>
            </w:r>
          </w:p>
        </w:tc>
        <w:tc>
          <w:tcPr>
            <w:tcW w:w="1440" w:type="dxa"/>
            <w:vAlign w:val="bottom"/>
            <w:shd w:val="clear" w:color="auto" w:fill="CCEEFF"/>
          </w:tcPr>
          <w:p>
            <w:pPr>
              <w:ind w:left="740"/>
              <w:spacing w:after="0"/>
              <w:rPr>
                <w:sz w:val="20"/>
                <w:szCs w:val="20"/>
                <w:color w:val="auto"/>
              </w:rPr>
            </w:pPr>
            <w:r>
              <w:rPr>
                <w:rFonts w:ascii="Arial" w:cs="Arial" w:eastAsia="Arial" w:hAnsi="Arial"/>
                <w:sz w:val="13"/>
                <w:szCs w:val="13"/>
                <w:color w:val="auto"/>
              </w:rPr>
              <w:t>04/27/2016</w:t>
            </w:r>
          </w:p>
        </w:tc>
        <w:tc>
          <w:tcPr>
            <w:tcW w:w="1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Education</w:t>
            </w: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12.00%</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26,052,632</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25,640,832</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25,857,237</w:t>
            </w:r>
          </w:p>
        </w:tc>
        <w:tc>
          <w:tcPr>
            <w:tcW w:w="0" w:type="dxa"/>
            <w:vAlign w:val="bottom"/>
          </w:tcPr>
          <w:p>
            <w:pPr>
              <w:spacing w:after="0"/>
              <w:rPr>
                <w:sz w:val="1"/>
                <w:szCs w:val="1"/>
                <w:color w:val="auto"/>
              </w:rPr>
            </w:pPr>
          </w:p>
        </w:tc>
      </w:tr>
      <w:tr>
        <w:trPr>
          <w:trHeight w:val="138"/>
        </w:trPr>
        <w:tc>
          <w:tcPr>
            <w:tcW w:w="3280" w:type="dxa"/>
            <w:vAlign w:val="bottom"/>
          </w:tcPr>
          <w:p>
            <w:pPr>
              <w:spacing w:after="0" w:line="138" w:lineRule="exact"/>
              <w:rPr>
                <w:sz w:val="20"/>
                <w:szCs w:val="20"/>
                <w:color w:val="auto"/>
              </w:rPr>
            </w:pPr>
            <w:r>
              <w:rPr>
                <w:rFonts w:ascii="Arial" w:cs="Arial" w:eastAsia="Arial" w:hAnsi="Arial"/>
                <w:sz w:val="13"/>
                <w:szCs w:val="13"/>
                <w:color w:val="auto"/>
              </w:rPr>
              <w:t>Penton Media, Inc.</w:t>
            </w:r>
          </w:p>
        </w:tc>
        <w:tc>
          <w:tcPr>
            <w:tcW w:w="1440" w:type="dxa"/>
            <w:vAlign w:val="bottom"/>
          </w:tcPr>
          <w:p>
            <w:pPr>
              <w:ind w:left="740"/>
              <w:spacing w:after="0" w:line="138" w:lineRule="exact"/>
              <w:rPr>
                <w:sz w:val="20"/>
                <w:szCs w:val="20"/>
                <w:color w:val="auto"/>
              </w:rPr>
            </w:pPr>
            <w:r>
              <w:rPr>
                <w:rFonts w:ascii="Arial" w:cs="Arial" w:eastAsia="Arial" w:hAnsi="Arial"/>
                <w:sz w:val="13"/>
                <w:szCs w:val="13"/>
                <w:color w:val="auto"/>
              </w:rPr>
              <w:t>08/01/2014</w:t>
            </w:r>
          </w:p>
        </w:tc>
        <w:tc>
          <w:tcPr>
            <w:tcW w:w="1820" w:type="dxa"/>
            <w:vAlign w:val="bottom"/>
          </w:tcPr>
          <w:p>
            <w:pPr>
              <w:jc w:val="center"/>
              <w:spacing w:after="0" w:line="138" w:lineRule="exact"/>
              <w:rPr>
                <w:sz w:val="20"/>
                <w:szCs w:val="20"/>
                <w:color w:val="auto"/>
              </w:rPr>
            </w:pPr>
            <w:r>
              <w:rPr>
                <w:rFonts w:ascii="Arial" w:cs="Arial" w:eastAsia="Arial" w:hAnsi="Arial"/>
                <w:sz w:val="13"/>
                <w:szCs w:val="13"/>
                <w:color w:val="auto"/>
                <w:w w:val="95"/>
              </w:rPr>
              <w:t>Other Media</w:t>
            </w:r>
          </w:p>
        </w:tc>
        <w:tc>
          <w:tcPr>
            <w:tcW w:w="900" w:type="dxa"/>
            <w:vAlign w:val="bottom"/>
          </w:tcPr>
          <w:p>
            <w:pPr>
              <w:jc w:val="right"/>
              <w:ind w:right="53"/>
              <w:spacing w:after="0" w:line="138" w:lineRule="exact"/>
              <w:rPr>
                <w:sz w:val="20"/>
                <w:szCs w:val="20"/>
                <w:color w:val="auto"/>
              </w:rPr>
            </w:pPr>
            <w:r>
              <w:rPr>
                <w:rFonts w:ascii="Arial" w:cs="Arial" w:eastAsia="Arial" w:hAnsi="Arial"/>
                <w:sz w:val="13"/>
                <w:szCs w:val="13"/>
                <w:color w:val="auto"/>
              </w:rPr>
              <w:t>5.00%</w:t>
            </w:r>
          </w:p>
        </w:tc>
        <w:tc>
          <w:tcPr>
            <w:tcW w:w="780" w:type="dxa"/>
            <w:vAlign w:val="bottom"/>
          </w:tcPr>
          <w:p>
            <w:pPr>
              <w:jc w:val="right"/>
              <w:spacing w:after="0" w:line="138" w:lineRule="exact"/>
              <w:rPr>
                <w:sz w:val="20"/>
                <w:szCs w:val="20"/>
                <w:color w:val="auto"/>
              </w:rPr>
            </w:pPr>
            <w:r>
              <w:rPr>
                <w:rFonts w:ascii="Arial" w:cs="Arial" w:eastAsia="Arial" w:hAnsi="Arial"/>
                <w:sz w:val="13"/>
                <w:szCs w:val="13"/>
                <w:color w:val="auto"/>
              </w:rPr>
              <w:t>L+400</w:t>
            </w:r>
          </w:p>
        </w:tc>
        <w:tc>
          <w:tcPr>
            <w:tcW w:w="240" w:type="dxa"/>
            <w:vAlign w:val="bottom"/>
          </w:tcPr>
          <w:p>
            <w:pPr>
              <w:jc w:val="right"/>
              <w:ind w:right="44"/>
              <w:spacing w:after="0"/>
              <w:rPr>
                <w:sz w:val="20"/>
                <w:szCs w:val="20"/>
                <w:color w:val="auto"/>
              </w:rPr>
            </w:pPr>
            <w:r>
              <w:rPr>
                <w:rFonts w:ascii="Arial" w:cs="Arial" w:eastAsia="Arial" w:hAnsi="Arial"/>
                <w:sz w:val="11"/>
                <w:szCs w:val="11"/>
                <w:color w:val="auto"/>
                <w:w w:val="88"/>
              </w:rPr>
              <w:t>(8)</w:t>
            </w:r>
          </w:p>
        </w:tc>
        <w:tc>
          <w:tcPr>
            <w:tcW w:w="760" w:type="dxa"/>
            <w:vAlign w:val="bottom"/>
          </w:tcPr>
          <w:p>
            <w:pPr>
              <w:jc w:val="right"/>
              <w:ind w:right="13"/>
              <w:spacing w:after="0" w:line="138" w:lineRule="exact"/>
              <w:rPr>
                <w:sz w:val="20"/>
                <w:szCs w:val="20"/>
                <w:color w:val="auto"/>
              </w:rPr>
            </w:pPr>
            <w:r>
              <w:rPr>
                <w:rFonts w:ascii="Arial" w:cs="Arial" w:eastAsia="Arial" w:hAnsi="Arial"/>
                <w:sz w:val="13"/>
                <w:szCs w:val="13"/>
                <w:color w:val="auto"/>
              </w:rPr>
              <w:t>37,775,294</w:t>
            </w:r>
          </w:p>
        </w:tc>
        <w:tc>
          <w:tcPr>
            <w:tcW w:w="1000" w:type="dxa"/>
            <w:vAlign w:val="bottom"/>
            <w:gridSpan w:val="3"/>
          </w:tcPr>
          <w:p>
            <w:pPr>
              <w:jc w:val="right"/>
              <w:ind w:right="160"/>
              <w:spacing w:after="0" w:line="138" w:lineRule="exact"/>
              <w:rPr>
                <w:sz w:val="20"/>
                <w:szCs w:val="20"/>
                <w:color w:val="auto"/>
              </w:rPr>
            </w:pPr>
            <w:r>
              <w:rPr>
                <w:rFonts w:ascii="Arial" w:cs="Arial" w:eastAsia="Arial" w:hAnsi="Arial"/>
                <w:sz w:val="13"/>
                <w:szCs w:val="13"/>
                <w:color w:val="auto"/>
              </w:rPr>
              <w:t>33,971,917</w:t>
            </w:r>
          </w:p>
        </w:tc>
        <w:tc>
          <w:tcPr>
            <w:tcW w:w="102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30,503,550</w:t>
            </w:r>
          </w:p>
        </w:tc>
        <w:tc>
          <w:tcPr>
            <w:tcW w:w="0" w:type="dxa"/>
            <w:vAlign w:val="bottom"/>
          </w:tcPr>
          <w:p>
            <w:pPr>
              <w:spacing w:after="0"/>
              <w:rPr>
                <w:sz w:val="1"/>
                <w:szCs w:val="1"/>
                <w:color w:val="auto"/>
              </w:rPr>
            </w:pPr>
          </w:p>
        </w:tc>
      </w:tr>
      <w:tr>
        <w:trPr>
          <w:trHeight w:val="173"/>
        </w:trPr>
        <w:tc>
          <w:tcPr>
            <w:tcW w:w="3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(PIK 1.00%)</w:t>
            </w: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2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Pre-Paid Legal Services, Inc., Tranche A</w:t>
            </w:r>
          </w:p>
        </w:tc>
        <w:tc>
          <w:tcPr>
            <w:tcW w:w="1440" w:type="dxa"/>
            <w:vAlign w:val="bottom"/>
            <w:shd w:val="clear" w:color="auto" w:fill="CCEEFF"/>
          </w:tcPr>
          <w:p>
            <w:pPr>
              <w:ind w:left="740"/>
              <w:spacing w:after="0" w:line="138" w:lineRule="exact"/>
              <w:rPr>
                <w:sz w:val="20"/>
                <w:szCs w:val="20"/>
                <w:color w:val="auto"/>
              </w:rPr>
            </w:pPr>
            <w:r>
              <w:rPr>
                <w:rFonts w:ascii="Arial" w:cs="Arial" w:eastAsia="Arial" w:hAnsi="Arial"/>
                <w:sz w:val="13"/>
                <w:szCs w:val="13"/>
                <w:color w:val="auto"/>
              </w:rPr>
              <w:t>12/30/2016</w:t>
            </w:r>
          </w:p>
        </w:tc>
        <w:tc>
          <w:tcPr>
            <w:tcW w:w="18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1"/>
              </w:rPr>
              <w:t>Personal, Food and</w:t>
            </w:r>
          </w:p>
        </w:tc>
        <w:tc>
          <w:tcPr>
            <w:tcW w:w="900" w:type="dxa"/>
            <w:vAlign w:val="bottom"/>
            <w:shd w:val="clear" w:color="auto" w:fill="CCEEFF"/>
          </w:tcPr>
          <w:p>
            <w:pPr>
              <w:jc w:val="right"/>
              <w:ind w:right="53"/>
              <w:spacing w:after="0" w:line="138" w:lineRule="exact"/>
              <w:rPr>
                <w:sz w:val="20"/>
                <w:szCs w:val="20"/>
                <w:color w:val="auto"/>
              </w:rPr>
            </w:pPr>
            <w:r>
              <w:rPr>
                <w:rFonts w:ascii="Arial" w:cs="Arial" w:eastAsia="Arial" w:hAnsi="Arial"/>
                <w:sz w:val="13"/>
                <w:szCs w:val="13"/>
                <w:color w:val="auto"/>
              </w:rPr>
              <w:t>7.50%</w:t>
            </w: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L+600</w:t>
            </w:r>
          </w:p>
        </w:tc>
        <w:tc>
          <w:tcPr>
            <w:tcW w:w="24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w w:val="88"/>
              </w:rPr>
              <w:t>(8)</w:t>
            </w:r>
          </w:p>
        </w:tc>
        <w:tc>
          <w:tcPr>
            <w:tcW w:w="76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1,552,846</w:t>
            </w:r>
          </w:p>
        </w:tc>
        <w:tc>
          <w:tcPr>
            <w:tcW w:w="100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1,533,687</w:t>
            </w:r>
          </w:p>
        </w:tc>
        <w:tc>
          <w:tcPr>
            <w:tcW w:w="102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1,556,728</w:t>
            </w:r>
          </w:p>
        </w:tc>
        <w:tc>
          <w:tcPr>
            <w:tcW w:w="0" w:type="dxa"/>
            <w:vAlign w:val="bottom"/>
          </w:tcPr>
          <w:p>
            <w:pPr>
              <w:spacing w:after="0"/>
              <w:rPr>
                <w:sz w:val="1"/>
                <w:szCs w:val="1"/>
                <w:color w:val="auto"/>
              </w:rPr>
            </w:pPr>
          </w:p>
        </w:tc>
      </w:tr>
      <w:tr>
        <w:trPr>
          <w:trHeight w:val="173"/>
        </w:trPr>
        <w:tc>
          <w:tcPr>
            <w:tcW w:w="32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Miscellaneous Services</w:t>
            </w:r>
          </w:p>
        </w:tc>
        <w:tc>
          <w:tcPr>
            <w:tcW w:w="9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280" w:type="dxa"/>
            <w:vAlign w:val="bottom"/>
          </w:tcPr>
          <w:p>
            <w:pPr>
              <w:spacing w:after="0" w:line="138" w:lineRule="exact"/>
              <w:rPr>
                <w:sz w:val="20"/>
                <w:szCs w:val="20"/>
                <w:color w:val="auto"/>
              </w:rPr>
            </w:pPr>
            <w:r>
              <w:rPr>
                <w:rFonts w:ascii="Arial" w:cs="Arial" w:eastAsia="Arial" w:hAnsi="Arial"/>
                <w:sz w:val="13"/>
                <w:szCs w:val="13"/>
                <w:color w:val="auto"/>
              </w:rPr>
              <w:t>Pre-Paid Legal Services, Inc., Tranche B</w:t>
            </w:r>
          </w:p>
        </w:tc>
        <w:tc>
          <w:tcPr>
            <w:tcW w:w="1440" w:type="dxa"/>
            <w:vAlign w:val="bottom"/>
          </w:tcPr>
          <w:p>
            <w:pPr>
              <w:ind w:left="740"/>
              <w:spacing w:after="0" w:line="138" w:lineRule="exact"/>
              <w:rPr>
                <w:sz w:val="20"/>
                <w:szCs w:val="20"/>
                <w:color w:val="auto"/>
              </w:rPr>
            </w:pPr>
            <w:r>
              <w:rPr>
                <w:rFonts w:ascii="Arial" w:cs="Arial" w:eastAsia="Arial" w:hAnsi="Arial"/>
                <w:sz w:val="13"/>
                <w:szCs w:val="13"/>
                <w:color w:val="auto"/>
              </w:rPr>
              <w:t>12/30/2016</w:t>
            </w:r>
          </w:p>
        </w:tc>
        <w:tc>
          <w:tcPr>
            <w:tcW w:w="1820" w:type="dxa"/>
            <w:vAlign w:val="bottom"/>
          </w:tcPr>
          <w:p>
            <w:pPr>
              <w:jc w:val="center"/>
              <w:spacing w:after="0" w:line="138" w:lineRule="exact"/>
              <w:rPr>
                <w:sz w:val="20"/>
                <w:szCs w:val="20"/>
                <w:color w:val="auto"/>
              </w:rPr>
            </w:pPr>
            <w:r>
              <w:rPr>
                <w:rFonts w:ascii="Arial" w:cs="Arial" w:eastAsia="Arial" w:hAnsi="Arial"/>
                <w:sz w:val="13"/>
                <w:szCs w:val="13"/>
                <w:color w:val="auto"/>
                <w:w w:val="91"/>
              </w:rPr>
              <w:t>Personal, Food and</w:t>
            </w:r>
          </w:p>
        </w:tc>
        <w:tc>
          <w:tcPr>
            <w:tcW w:w="900" w:type="dxa"/>
            <w:vAlign w:val="bottom"/>
          </w:tcPr>
          <w:p>
            <w:pPr>
              <w:jc w:val="right"/>
              <w:ind w:right="53"/>
              <w:spacing w:after="0" w:line="138" w:lineRule="exact"/>
              <w:rPr>
                <w:sz w:val="20"/>
                <w:szCs w:val="20"/>
                <w:color w:val="auto"/>
              </w:rPr>
            </w:pPr>
            <w:r>
              <w:rPr>
                <w:rFonts w:ascii="Arial" w:cs="Arial" w:eastAsia="Arial" w:hAnsi="Arial"/>
                <w:sz w:val="13"/>
                <w:szCs w:val="13"/>
                <w:color w:val="auto"/>
              </w:rPr>
              <w:t>11.00%</w:t>
            </w:r>
          </w:p>
        </w:tc>
        <w:tc>
          <w:tcPr>
            <w:tcW w:w="780" w:type="dxa"/>
            <w:vAlign w:val="bottom"/>
          </w:tcPr>
          <w:p>
            <w:pPr>
              <w:jc w:val="right"/>
              <w:spacing w:after="0" w:line="138" w:lineRule="exact"/>
              <w:rPr>
                <w:sz w:val="20"/>
                <w:szCs w:val="20"/>
                <w:color w:val="auto"/>
              </w:rPr>
            </w:pPr>
            <w:r>
              <w:rPr>
                <w:rFonts w:ascii="Arial" w:cs="Arial" w:eastAsia="Arial" w:hAnsi="Arial"/>
                <w:sz w:val="13"/>
                <w:szCs w:val="13"/>
                <w:color w:val="auto"/>
              </w:rPr>
              <w:t>L+950</w:t>
            </w:r>
          </w:p>
        </w:tc>
        <w:tc>
          <w:tcPr>
            <w:tcW w:w="240" w:type="dxa"/>
            <w:vAlign w:val="bottom"/>
          </w:tcPr>
          <w:p>
            <w:pPr>
              <w:jc w:val="right"/>
              <w:ind w:right="44"/>
              <w:spacing w:after="0"/>
              <w:rPr>
                <w:sz w:val="20"/>
                <w:szCs w:val="20"/>
                <w:color w:val="auto"/>
              </w:rPr>
            </w:pPr>
            <w:r>
              <w:rPr>
                <w:rFonts w:ascii="Arial" w:cs="Arial" w:eastAsia="Arial" w:hAnsi="Arial"/>
                <w:sz w:val="11"/>
                <w:szCs w:val="11"/>
                <w:color w:val="auto"/>
                <w:w w:val="88"/>
              </w:rPr>
              <w:t>(8)</w:t>
            </w:r>
          </w:p>
        </w:tc>
        <w:tc>
          <w:tcPr>
            <w:tcW w:w="760" w:type="dxa"/>
            <w:vAlign w:val="bottom"/>
          </w:tcPr>
          <w:p>
            <w:pPr>
              <w:jc w:val="right"/>
              <w:ind w:right="13"/>
              <w:spacing w:after="0" w:line="138" w:lineRule="exact"/>
              <w:rPr>
                <w:sz w:val="20"/>
                <w:szCs w:val="20"/>
                <w:color w:val="auto"/>
              </w:rPr>
            </w:pPr>
            <w:r>
              <w:rPr>
                <w:rFonts w:ascii="Arial" w:cs="Arial" w:eastAsia="Arial" w:hAnsi="Arial"/>
                <w:sz w:val="13"/>
                <w:szCs w:val="13"/>
                <w:color w:val="auto"/>
              </w:rPr>
              <w:t>35,000,000</w:t>
            </w:r>
          </w:p>
        </w:tc>
        <w:tc>
          <w:tcPr>
            <w:tcW w:w="1000" w:type="dxa"/>
            <w:vAlign w:val="bottom"/>
            <w:gridSpan w:val="3"/>
          </w:tcPr>
          <w:p>
            <w:pPr>
              <w:jc w:val="right"/>
              <w:ind w:right="160"/>
              <w:spacing w:after="0" w:line="138" w:lineRule="exact"/>
              <w:rPr>
                <w:sz w:val="20"/>
                <w:szCs w:val="20"/>
                <w:color w:val="auto"/>
              </w:rPr>
            </w:pPr>
            <w:r>
              <w:rPr>
                <w:rFonts w:ascii="Arial" w:cs="Arial" w:eastAsia="Arial" w:hAnsi="Arial"/>
                <w:sz w:val="13"/>
                <w:szCs w:val="13"/>
                <w:color w:val="auto"/>
              </w:rPr>
              <w:t>34,118,800</w:t>
            </w:r>
          </w:p>
        </w:tc>
        <w:tc>
          <w:tcPr>
            <w:tcW w:w="102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35,350,000</w:t>
            </w:r>
          </w:p>
        </w:tc>
        <w:tc>
          <w:tcPr>
            <w:tcW w:w="0" w:type="dxa"/>
            <w:vAlign w:val="bottom"/>
          </w:tcPr>
          <w:p>
            <w:pPr>
              <w:spacing w:after="0"/>
              <w:rPr>
                <w:sz w:val="1"/>
                <w:szCs w:val="1"/>
                <w:color w:val="auto"/>
              </w:rPr>
            </w:pPr>
          </w:p>
        </w:tc>
      </w:tr>
      <w:tr>
        <w:trPr>
          <w:trHeight w:val="159"/>
        </w:trPr>
        <w:tc>
          <w:tcPr>
            <w:tcW w:w="32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Arial" w:cs="Arial" w:eastAsia="Arial" w:hAnsi="Arial"/>
                <w:sz w:val="13"/>
                <w:szCs w:val="13"/>
                <w:color w:val="auto"/>
                <w:w w:val="94"/>
              </w:rPr>
              <w:t>Miscellaneous Services</w:t>
            </w: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Questex Media Group LLC</w:t>
            </w:r>
            <w:r>
              <w:rPr>
                <w:rFonts w:ascii="Arial" w:cs="Arial" w:eastAsia="Arial" w:hAnsi="Arial"/>
                <w:sz w:val="17"/>
                <w:szCs w:val="17"/>
                <w:color w:val="auto"/>
                <w:vertAlign w:val="superscript"/>
              </w:rPr>
              <w:t>(9)</w:t>
            </w:r>
          </w:p>
        </w:tc>
        <w:tc>
          <w:tcPr>
            <w:tcW w:w="1440" w:type="dxa"/>
            <w:vAlign w:val="bottom"/>
            <w:shd w:val="clear" w:color="auto" w:fill="CCEEFF"/>
          </w:tcPr>
          <w:p>
            <w:pPr>
              <w:ind w:left="740"/>
              <w:spacing w:after="0"/>
              <w:rPr>
                <w:sz w:val="20"/>
                <w:szCs w:val="20"/>
                <w:color w:val="auto"/>
              </w:rPr>
            </w:pPr>
            <w:r>
              <w:rPr>
                <w:rFonts w:ascii="Arial" w:cs="Arial" w:eastAsia="Arial" w:hAnsi="Arial"/>
                <w:sz w:val="13"/>
                <w:szCs w:val="13"/>
                <w:color w:val="auto"/>
              </w:rPr>
              <w:t>12/16/2012</w:t>
            </w:r>
          </w:p>
        </w:tc>
        <w:tc>
          <w:tcPr>
            <w:tcW w:w="1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Other Media</w:t>
            </w: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1.36%</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133,603</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133,603</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133,603</w:t>
            </w:r>
          </w:p>
        </w:tc>
        <w:tc>
          <w:tcPr>
            <w:tcW w:w="0" w:type="dxa"/>
            <w:vAlign w:val="bottom"/>
          </w:tcPr>
          <w:p>
            <w:pPr>
              <w:spacing w:after="0"/>
              <w:rPr>
                <w:sz w:val="1"/>
                <w:szCs w:val="1"/>
                <w:color w:val="auto"/>
              </w:rPr>
            </w:pPr>
          </w:p>
        </w:tc>
      </w:tr>
      <w:tr>
        <w:trPr>
          <w:trHeight w:val="121"/>
        </w:trPr>
        <w:tc>
          <w:tcPr>
            <w:tcW w:w="3280" w:type="dxa"/>
            <w:vAlign w:val="bottom"/>
          </w:tcPr>
          <w:p>
            <w:pPr>
              <w:spacing w:after="0" w:line="122" w:lineRule="exact"/>
              <w:rPr>
                <w:sz w:val="20"/>
                <w:szCs w:val="20"/>
                <w:color w:val="auto"/>
              </w:rPr>
            </w:pPr>
            <w:r>
              <w:rPr>
                <w:rFonts w:ascii="Arial" w:cs="Arial" w:eastAsia="Arial" w:hAnsi="Arial"/>
                <w:sz w:val="13"/>
                <w:szCs w:val="13"/>
                <w:color w:val="auto"/>
              </w:rPr>
              <w:t>Tekelec Global Inc. (First Out)</w:t>
            </w:r>
          </w:p>
        </w:tc>
        <w:tc>
          <w:tcPr>
            <w:tcW w:w="1440" w:type="dxa"/>
            <w:vAlign w:val="bottom"/>
          </w:tcPr>
          <w:p>
            <w:pPr>
              <w:ind w:left="740"/>
              <w:spacing w:after="0" w:line="122" w:lineRule="exact"/>
              <w:rPr>
                <w:sz w:val="20"/>
                <w:szCs w:val="20"/>
                <w:color w:val="auto"/>
              </w:rPr>
            </w:pPr>
            <w:r>
              <w:rPr>
                <w:rFonts w:ascii="Arial" w:cs="Arial" w:eastAsia="Arial" w:hAnsi="Arial"/>
                <w:sz w:val="13"/>
                <w:szCs w:val="13"/>
                <w:color w:val="auto"/>
              </w:rPr>
              <w:t>01/29/2018</w:t>
            </w:r>
          </w:p>
        </w:tc>
        <w:tc>
          <w:tcPr>
            <w:tcW w:w="1820" w:type="dxa"/>
            <w:vAlign w:val="bottom"/>
          </w:tcPr>
          <w:p>
            <w:pPr>
              <w:jc w:val="center"/>
              <w:spacing w:after="0" w:line="122" w:lineRule="exact"/>
              <w:rPr>
                <w:sz w:val="20"/>
                <w:szCs w:val="20"/>
                <w:color w:val="auto"/>
              </w:rPr>
            </w:pPr>
            <w:r>
              <w:rPr>
                <w:rFonts w:ascii="Arial" w:cs="Arial" w:eastAsia="Arial" w:hAnsi="Arial"/>
                <w:sz w:val="13"/>
                <w:szCs w:val="13"/>
                <w:color w:val="auto"/>
                <w:w w:val="93"/>
              </w:rPr>
              <w:t>Telecommunications</w:t>
            </w:r>
          </w:p>
        </w:tc>
        <w:tc>
          <w:tcPr>
            <w:tcW w:w="900" w:type="dxa"/>
            <w:vAlign w:val="bottom"/>
          </w:tcPr>
          <w:p>
            <w:pPr>
              <w:jc w:val="right"/>
              <w:ind w:right="53"/>
              <w:spacing w:after="0" w:line="122" w:lineRule="exact"/>
              <w:rPr>
                <w:sz w:val="20"/>
                <w:szCs w:val="20"/>
                <w:color w:val="auto"/>
              </w:rPr>
            </w:pPr>
            <w:r>
              <w:rPr>
                <w:rFonts w:ascii="Arial" w:cs="Arial" w:eastAsia="Arial" w:hAnsi="Arial"/>
                <w:sz w:val="13"/>
                <w:szCs w:val="13"/>
                <w:color w:val="auto"/>
              </w:rPr>
              <w:t>9.00%</w:t>
            </w:r>
          </w:p>
        </w:tc>
        <w:tc>
          <w:tcPr>
            <w:tcW w:w="780" w:type="dxa"/>
            <w:vAlign w:val="bottom"/>
          </w:tcPr>
          <w:p>
            <w:pPr>
              <w:jc w:val="right"/>
              <w:spacing w:after="0" w:line="122" w:lineRule="exact"/>
              <w:rPr>
                <w:sz w:val="20"/>
                <w:szCs w:val="20"/>
                <w:color w:val="auto"/>
              </w:rPr>
            </w:pPr>
            <w:r>
              <w:rPr>
                <w:rFonts w:ascii="Arial" w:cs="Arial" w:eastAsia="Arial" w:hAnsi="Arial"/>
                <w:sz w:val="13"/>
                <w:szCs w:val="13"/>
                <w:color w:val="auto"/>
              </w:rPr>
              <w:t>L+750</w:t>
            </w:r>
          </w:p>
        </w:tc>
        <w:tc>
          <w:tcPr>
            <w:tcW w:w="240" w:type="dxa"/>
            <w:vAlign w:val="bottom"/>
          </w:tcPr>
          <w:p>
            <w:pPr>
              <w:jc w:val="right"/>
              <w:ind w:right="44"/>
              <w:spacing w:after="0" w:line="122" w:lineRule="exact"/>
              <w:rPr>
                <w:sz w:val="20"/>
                <w:szCs w:val="20"/>
                <w:color w:val="auto"/>
              </w:rPr>
            </w:pPr>
            <w:r>
              <w:rPr>
                <w:rFonts w:ascii="Arial" w:cs="Arial" w:eastAsia="Arial" w:hAnsi="Arial"/>
                <w:sz w:val="11"/>
                <w:szCs w:val="11"/>
                <w:color w:val="auto"/>
                <w:w w:val="88"/>
              </w:rPr>
              <w:t>(8)</w:t>
            </w:r>
          </w:p>
        </w:tc>
        <w:tc>
          <w:tcPr>
            <w:tcW w:w="760" w:type="dxa"/>
            <w:vAlign w:val="bottom"/>
          </w:tcPr>
          <w:p>
            <w:pPr>
              <w:jc w:val="right"/>
              <w:ind w:right="13"/>
              <w:spacing w:after="0" w:line="122" w:lineRule="exact"/>
              <w:rPr>
                <w:sz w:val="20"/>
                <w:szCs w:val="20"/>
                <w:color w:val="auto"/>
              </w:rPr>
            </w:pPr>
            <w:r>
              <w:rPr>
                <w:rFonts w:ascii="Arial" w:cs="Arial" w:eastAsia="Arial" w:hAnsi="Arial"/>
                <w:sz w:val="13"/>
                <w:szCs w:val="13"/>
                <w:color w:val="auto"/>
              </w:rPr>
              <w:t>850,000</w:t>
            </w:r>
          </w:p>
        </w:tc>
        <w:tc>
          <w:tcPr>
            <w:tcW w:w="1000" w:type="dxa"/>
            <w:vAlign w:val="bottom"/>
            <w:gridSpan w:val="3"/>
          </w:tcPr>
          <w:p>
            <w:pPr>
              <w:jc w:val="right"/>
              <w:ind w:right="160"/>
              <w:spacing w:after="0" w:line="122" w:lineRule="exact"/>
              <w:rPr>
                <w:sz w:val="20"/>
                <w:szCs w:val="20"/>
                <w:color w:val="auto"/>
              </w:rPr>
            </w:pPr>
            <w:r>
              <w:rPr>
                <w:rFonts w:ascii="Arial" w:cs="Arial" w:eastAsia="Arial" w:hAnsi="Arial"/>
                <w:sz w:val="13"/>
                <w:szCs w:val="13"/>
                <w:color w:val="auto"/>
              </w:rPr>
              <w:t>838,369</w:t>
            </w:r>
          </w:p>
        </w:tc>
        <w:tc>
          <w:tcPr>
            <w:tcW w:w="1020" w:type="dxa"/>
            <w:vAlign w:val="bottom"/>
            <w:gridSpan w:val="2"/>
          </w:tcPr>
          <w:p>
            <w:pPr>
              <w:jc w:val="right"/>
              <w:ind w:right="220"/>
              <w:spacing w:after="0" w:line="122" w:lineRule="exact"/>
              <w:rPr>
                <w:sz w:val="20"/>
                <w:szCs w:val="20"/>
                <w:color w:val="auto"/>
              </w:rPr>
            </w:pPr>
            <w:r>
              <w:rPr>
                <w:rFonts w:ascii="Arial" w:cs="Arial" w:eastAsia="Arial" w:hAnsi="Arial"/>
                <w:sz w:val="13"/>
                <w:szCs w:val="13"/>
                <w:color w:val="auto"/>
              </w:rPr>
              <w:t>850,000</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20"/>
                <w:szCs w:val="20"/>
                <w:color w:val="auto"/>
              </w:rPr>
            </w:pPr>
            <w:r>
              <w:rPr>
                <w:rFonts w:ascii="Arial" w:cs="Arial" w:eastAsia="Arial" w:hAnsi="Arial"/>
                <w:sz w:val="13"/>
                <w:szCs w:val="13"/>
                <w:color w:val="auto"/>
              </w:rPr>
              <w:t>Tekelec Global Inc. (Second Out)</w:t>
            </w:r>
          </w:p>
        </w:tc>
        <w:tc>
          <w:tcPr>
            <w:tcW w:w="1440" w:type="dxa"/>
            <w:vAlign w:val="bottom"/>
          </w:tcPr>
          <w:p>
            <w:pPr>
              <w:ind w:left="740"/>
              <w:spacing w:after="0"/>
              <w:rPr>
                <w:sz w:val="20"/>
                <w:szCs w:val="20"/>
                <w:color w:val="auto"/>
              </w:rPr>
            </w:pPr>
            <w:r>
              <w:rPr>
                <w:rFonts w:ascii="Arial" w:cs="Arial" w:eastAsia="Arial" w:hAnsi="Arial"/>
                <w:sz w:val="13"/>
                <w:szCs w:val="13"/>
                <w:color w:val="auto"/>
              </w:rPr>
              <w:t>01/29/2018</w:t>
            </w:r>
          </w:p>
        </w:tc>
        <w:tc>
          <w:tcPr>
            <w:tcW w:w="1820" w:type="dxa"/>
            <w:vAlign w:val="bottom"/>
          </w:tcPr>
          <w:p>
            <w:pPr>
              <w:jc w:val="center"/>
              <w:spacing w:after="0"/>
              <w:rPr>
                <w:sz w:val="20"/>
                <w:szCs w:val="20"/>
                <w:color w:val="auto"/>
              </w:rPr>
            </w:pPr>
            <w:r>
              <w:rPr>
                <w:rFonts w:ascii="Arial" w:cs="Arial" w:eastAsia="Arial" w:hAnsi="Arial"/>
                <w:sz w:val="13"/>
                <w:szCs w:val="13"/>
                <w:color w:val="auto"/>
                <w:w w:val="93"/>
              </w:rPr>
              <w:t>Telecommunications</w:t>
            </w:r>
          </w:p>
        </w:tc>
        <w:tc>
          <w:tcPr>
            <w:tcW w:w="900" w:type="dxa"/>
            <w:vAlign w:val="bottom"/>
          </w:tcPr>
          <w:p>
            <w:pPr>
              <w:jc w:val="right"/>
              <w:ind w:right="53"/>
              <w:spacing w:after="0"/>
              <w:rPr>
                <w:sz w:val="20"/>
                <w:szCs w:val="20"/>
                <w:color w:val="auto"/>
              </w:rPr>
            </w:pPr>
            <w:r>
              <w:rPr>
                <w:rFonts w:ascii="Arial" w:cs="Arial" w:eastAsia="Arial" w:hAnsi="Arial"/>
                <w:sz w:val="13"/>
                <w:szCs w:val="13"/>
                <w:color w:val="auto"/>
              </w:rPr>
              <w:t>13.50%</w:t>
            </w:r>
          </w:p>
        </w:tc>
        <w:tc>
          <w:tcPr>
            <w:tcW w:w="780" w:type="dxa"/>
            <w:vAlign w:val="bottom"/>
          </w:tcPr>
          <w:p>
            <w:pPr>
              <w:jc w:val="right"/>
              <w:spacing w:after="0"/>
              <w:rPr>
                <w:sz w:val="20"/>
                <w:szCs w:val="20"/>
                <w:color w:val="auto"/>
              </w:rPr>
            </w:pPr>
            <w:r>
              <w:rPr>
                <w:rFonts w:ascii="Arial" w:cs="Arial" w:eastAsia="Arial" w:hAnsi="Arial"/>
                <w:sz w:val="13"/>
                <w:szCs w:val="13"/>
                <w:color w:val="auto"/>
              </w:rPr>
              <w:t>L+1,200</w:t>
            </w:r>
          </w:p>
        </w:tc>
        <w:tc>
          <w:tcPr>
            <w:tcW w:w="240" w:type="dxa"/>
            <w:vAlign w:val="bottom"/>
          </w:tcPr>
          <w:p>
            <w:pPr>
              <w:jc w:val="right"/>
              <w:ind w:right="44"/>
              <w:spacing w:after="0"/>
              <w:rPr>
                <w:sz w:val="20"/>
                <w:szCs w:val="20"/>
                <w:color w:val="auto"/>
              </w:rPr>
            </w:pPr>
            <w:r>
              <w:rPr>
                <w:rFonts w:ascii="Arial" w:cs="Arial" w:eastAsia="Arial" w:hAnsi="Arial"/>
                <w:sz w:val="11"/>
                <w:szCs w:val="11"/>
                <w:color w:val="auto"/>
                <w:w w:val="88"/>
              </w:rPr>
              <w:t>(8)</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10,625,000</w:t>
            </w:r>
          </w:p>
        </w:tc>
        <w:tc>
          <w:tcPr>
            <w:tcW w:w="1000" w:type="dxa"/>
            <w:vAlign w:val="bottom"/>
            <w:gridSpan w:val="3"/>
          </w:tcPr>
          <w:p>
            <w:pPr>
              <w:jc w:val="right"/>
              <w:ind w:right="160"/>
              <w:spacing w:after="0"/>
              <w:rPr>
                <w:sz w:val="20"/>
                <w:szCs w:val="20"/>
                <w:color w:val="auto"/>
              </w:rPr>
            </w:pPr>
            <w:r>
              <w:rPr>
                <w:rFonts w:ascii="Arial" w:cs="Arial" w:eastAsia="Arial" w:hAnsi="Arial"/>
                <w:sz w:val="13"/>
                <w:szCs w:val="13"/>
                <w:color w:val="auto"/>
              </w:rPr>
              <w:t>10,338,450</w:t>
            </w: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10,848,126</w:t>
            </w:r>
          </w:p>
        </w:tc>
        <w:tc>
          <w:tcPr>
            <w:tcW w:w="0" w:type="dxa"/>
            <w:vAlign w:val="bottom"/>
          </w:tcPr>
          <w:p>
            <w:pPr>
              <w:spacing w:after="0"/>
              <w:rPr>
                <w:sz w:val="1"/>
                <w:szCs w:val="1"/>
                <w:color w:val="auto"/>
              </w:rPr>
            </w:pPr>
          </w:p>
        </w:tc>
      </w:tr>
      <w:tr>
        <w:trPr>
          <w:trHeight w:val="175"/>
        </w:trPr>
        <w:tc>
          <w:tcPr>
            <w:tcW w:w="3280" w:type="dxa"/>
            <w:vAlign w:val="bottom"/>
          </w:tcPr>
          <w:p>
            <w:pPr>
              <w:spacing w:after="0"/>
              <w:rPr>
                <w:sz w:val="20"/>
                <w:szCs w:val="20"/>
                <w:color w:val="auto"/>
              </w:rPr>
            </w:pPr>
            <w:r>
              <w:rPr>
                <w:rFonts w:ascii="Arial" w:cs="Arial" w:eastAsia="Arial" w:hAnsi="Arial"/>
                <w:sz w:val="13"/>
                <w:szCs w:val="13"/>
                <w:color w:val="auto"/>
              </w:rPr>
              <w:t>Worley Claims Services, LLC</w:t>
            </w:r>
          </w:p>
        </w:tc>
        <w:tc>
          <w:tcPr>
            <w:tcW w:w="1440" w:type="dxa"/>
            <w:vAlign w:val="bottom"/>
          </w:tcPr>
          <w:p>
            <w:pPr>
              <w:ind w:left="740"/>
              <w:spacing w:after="0"/>
              <w:rPr>
                <w:sz w:val="20"/>
                <w:szCs w:val="20"/>
                <w:color w:val="auto"/>
              </w:rPr>
            </w:pPr>
            <w:r>
              <w:rPr>
                <w:rFonts w:ascii="Arial" w:cs="Arial" w:eastAsia="Arial" w:hAnsi="Arial"/>
                <w:sz w:val="13"/>
                <w:szCs w:val="13"/>
                <w:color w:val="auto"/>
              </w:rPr>
              <w:t>07/06/2017</w:t>
            </w:r>
          </w:p>
        </w:tc>
        <w:tc>
          <w:tcPr>
            <w:tcW w:w="1820" w:type="dxa"/>
            <w:vAlign w:val="bottom"/>
          </w:tcPr>
          <w:p>
            <w:pPr>
              <w:jc w:val="center"/>
              <w:spacing w:after="0"/>
              <w:rPr>
                <w:sz w:val="20"/>
                <w:szCs w:val="20"/>
                <w:color w:val="auto"/>
              </w:rPr>
            </w:pPr>
            <w:r>
              <w:rPr>
                <w:rFonts w:ascii="Arial" w:cs="Arial" w:eastAsia="Arial" w:hAnsi="Arial"/>
                <w:sz w:val="13"/>
                <w:szCs w:val="13"/>
                <w:color w:val="auto"/>
                <w:w w:val="91"/>
              </w:rPr>
              <w:t>Insurance</w:t>
            </w:r>
          </w:p>
        </w:tc>
        <w:tc>
          <w:tcPr>
            <w:tcW w:w="900" w:type="dxa"/>
            <w:vAlign w:val="bottom"/>
          </w:tcPr>
          <w:p>
            <w:pPr>
              <w:jc w:val="right"/>
              <w:ind w:right="53"/>
              <w:spacing w:after="0"/>
              <w:rPr>
                <w:sz w:val="20"/>
                <w:szCs w:val="20"/>
                <w:color w:val="auto"/>
              </w:rPr>
            </w:pPr>
            <w:r>
              <w:rPr>
                <w:rFonts w:ascii="Arial" w:cs="Arial" w:eastAsia="Arial" w:hAnsi="Arial"/>
                <w:sz w:val="13"/>
                <w:szCs w:val="13"/>
                <w:color w:val="auto"/>
              </w:rPr>
              <w:t>12.50%</w:t>
            </w:r>
          </w:p>
        </w:tc>
        <w:tc>
          <w:tcPr>
            <w:tcW w:w="780" w:type="dxa"/>
            <w:vAlign w:val="bottom"/>
          </w:tcPr>
          <w:p>
            <w:pPr>
              <w:jc w:val="right"/>
              <w:spacing w:after="0"/>
              <w:rPr>
                <w:sz w:val="20"/>
                <w:szCs w:val="20"/>
                <w:color w:val="auto"/>
              </w:rPr>
            </w:pPr>
            <w:r>
              <w:rPr>
                <w:rFonts w:ascii="Arial" w:cs="Arial" w:eastAsia="Arial" w:hAnsi="Arial"/>
                <w:sz w:val="13"/>
                <w:szCs w:val="13"/>
                <w:color w:val="auto"/>
              </w:rPr>
              <w:t>L+1,100</w:t>
            </w:r>
          </w:p>
        </w:tc>
        <w:tc>
          <w:tcPr>
            <w:tcW w:w="240" w:type="dxa"/>
            <w:vAlign w:val="bottom"/>
          </w:tcPr>
          <w:p>
            <w:pPr>
              <w:jc w:val="right"/>
              <w:ind w:right="44"/>
              <w:spacing w:after="0"/>
              <w:rPr>
                <w:sz w:val="20"/>
                <w:szCs w:val="20"/>
                <w:color w:val="auto"/>
              </w:rPr>
            </w:pPr>
            <w:r>
              <w:rPr>
                <w:rFonts w:ascii="Arial" w:cs="Arial" w:eastAsia="Arial" w:hAnsi="Arial"/>
                <w:sz w:val="11"/>
                <w:szCs w:val="11"/>
                <w:color w:val="auto"/>
                <w:w w:val="88"/>
              </w:rPr>
              <w:t>(8)</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14,934,000</w:t>
            </w:r>
          </w:p>
        </w:tc>
        <w:tc>
          <w:tcPr>
            <w:tcW w:w="1000" w:type="dxa"/>
            <w:vAlign w:val="bottom"/>
            <w:gridSpan w:val="3"/>
          </w:tcPr>
          <w:p>
            <w:pPr>
              <w:jc w:val="right"/>
              <w:ind w:right="160"/>
              <w:spacing w:after="0"/>
              <w:rPr>
                <w:sz w:val="20"/>
                <w:szCs w:val="20"/>
                <w:color w:val="auto"/>
              </w:rPr>
            </w:pPr>
            <w:r>
              <w:rPr>
                <w:rFonts w:ascii="Arial" w:cs="Arial" w:eastAsia="Arial" w:hAnsi="Arial"/>
                <w:sz w:val="13"/>
                <w:szCs w:val="13"/>
                <w:color w:val="auto"/>
              </w:rPr>
              <w:t>14,934,000</w:t>
            </w: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14,859,330</w:t>
            </w:r>
          </w:p>
        </w:tc>
        <w:tc>
          <w:tcPr>
            <w:tcW w:w="0" w:type="dxa"/>
            <w:vAlign w:val="bottom"/>
          </w:tcPr>
          <w:p>
            <w:pPr>
              <w:spacing w:after="0"/>
              <w:rPr>
                <w:sz w:val="1"/>
                <w:szCs w:val="1"/>
                <w:color w:val="auto"/>
              </w:rPr>
            </w:pPr>
          </w:p>
        </w:tc>
      </w:tr>
      <w:tr>
        <w:trPr>
          <w:trHeight w:val="138"/>
        </w:trPr>
        <w:tc>
          <w:tcPr>
            <w:tcW w:w="328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Yonkers Racing Corp.</w:t>
            </w:r>
            <w:r>
              <w:rPr>
                <w:rFonts w:ascii="Arial" w:cs="Arial" w:eastAsia="Arial" w:hAnsi="Arial"/>
                <w:sz w:val="15"/>
                <w:szCs w:val="15"/>
                <w:color w:val="auto"/>
                <w:vertAlign w:val="superscript"/>
              </w:rPr>
              <w:t>(5)</w:t>
            </w:r>
          </w:p>
        </w:tc>
        <w:tc>
          <w:tcPr>
            <w:tcW w:w="1440" w:type="dxa"/>
            <w:vAlign w:val="bottom"/>
            <w:shd w:val="clear" w:color="auto" w:fill="CCEEFF"/>
          </w:tcPr>
          <w:p>
            <w:pPr>
              <w:ind w:left="740"/>
              <w:spacing w:after="0" w:line="138" w:lineRule="exact"/>
              <w:rPr>
                <w:sz w:val="20"/>
                <w:szCs w:val="20"/>
                <w:color w:val="auto"/>
              </w:rPr>
            </w:pPr>
            <w:r>
              <w:rPr>
                <w:rFonts w:ascii="Arial" w:cs="Arial" w:eastAsia="Arial" w:hAnsi="Arial"/>
                <w:sz w:val="13"/>
                <w:szCs w:val="13"/>
                <w:color w:val="auto"/>
              </w:rPr>
              <w:t>07/15/2016</w:t>
            </w:r>
          </w:p>
        </w:tc>
        <w:tc>
          <w:tcPr>
            <w:tcW w:w="18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Hotels, Motels, Inns and</w:t>
            </w:r>
          </w:p>
        </w:tc>
        <w:tc>
          <w:tcPr>
            <w:tcW w:w="900" w:type="dxa"/>
            <w:vAlign w:val="bottom"/>
            <w:shd w:val="clear" w:color="auto" w:fill="CCEEFF"/>
          </w:tcPr>
          <w:p>
            <w:pPr>
              <w:jc w:val="right"/>
              <w:ind w:right="53"/>
              <w:spacing w:after="0" w:line="138" w:lineRule="exact"/>
              <w:rPr>
                <w:sz w:val="20"/>
                <w:szCs w:val="20"/>
                <w:color w:val="auto"/>
              </w:rPr>
            </w:pPr>
            <w:r>
              <w:rPr>
                <w:rFonts w:ascii="Arial" w:cs="Arial" w:eastAsia="Arial" w:hAnsi="Arial"/>
                <w:sz w:val="13"/>
                <w:szCs w:val="13"/>
                <w:color w:val="auto"/>
              </w:rPr>
              <w:t>11.38%</w:t>
            </w:r>
          </w:p>
        </w:tc>
        <w:tc>
          <w:tcPr>
            <w:tcW w:w="78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4,500,000</w:t>
            </w:r>
          </w:p>
        </w:tc>
        <w:tc>
          <w:tcPr>
            <w:tcW w:w="100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4,401,515</w:t>
            </w:r>
          </w:p>
        </w:tc>
        <w:tc>
          <w:tcPr>
            <w:tcW w:w="102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4,860,000</w:t>
            </w:r>
          </w:p>
        </w:tc>
        <w:tc>
          <w:tcPr>
            <w:tcW w:w="0" w:type="dxa"/>
            <w:vAlign w:val="bottom"/>
          </w:tcPr>
          <w:p>
            <w:pPr>
              <w:spacing w:after="0"/>
              <w:rPr>
                <w:sz w:val="1"/>
                <w:szCs w:val="1"/>
                <w:color w:val="auto"/>
              </w:rPr>
            </w:pPr>
          </w:p>
        </w:tc>
      </w:tr>
      <w:tr>
        <w:trPr>
          <w:trHeight w:val="173"/>
        </w:trPr>
        <w:tc>
          <w:tcPr>
            <w:tcW w:w="32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Gaming</w:t>
            </w:r>
          </w:p>
        </w:tc>
        <w:tc>
          <w:tcPr>
            <w:tcW w:w="9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280" w:type="dxa"/>
            <w:vAlign w:val="bottom"/>
          </w:tcPr>
          <w:p>
            <w:pPr>
              <w:spacing w:after="0"/>
              <w:rPr>
                <w:sz w:val="20"/>
                <w:szCs w:val="20"/>
                <w:color w:val="auto"/>
              </w:rPr>
            </w:pPr>
            <w:r>
              <w:rPr>
                <w:rFonts w:ascii="Arial" w:cs="Arial" w:eastAsia="Arial" w:hAnsi="Arial"/>
                <w:sz w:val="13"/>
                <w:szCs w:val="13"/>
                <w:b w:val="1"/>
                <w:bCs w:val="1"/>
                <w:color w:val="auto"/>
              </w:rPr>
              <w:t>Total First Lien Secured Debt</w:t>
            </w:r>
          </w:p>
        </w:tc>
        <w:tc>
          <w:tcPr>
            <w:tcW w:w="14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3"/>
                <w:szCs w:val="13"/>
                <w:color w:val="auto"/>
              </w:rPr>
              <w:t>277,427,564</w:t>
            </w: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278,960,887</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Second Lien Secured Debt—25.3%</w:t>
            </w:r>
          </w:p>
        </w:tc>
        <w:tc>
          <w:tcPr>
            <w:tcW w:w="144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280" w:type="dxa"/>
            <w:vAlign w:val="bottom"/>
          </w:tcPr>
          <w:p>
            <w:pPr>
              <w:spacing w:after="0" w:line="138" w:lineRule="exact"/>
              <w:rPr>
                <w:sz w:val="20"/>
                <w:szCs w:val="20"/>
                <w:color w:val="auto"/>
              </w:rPr>
            </w:pPr>
            <w:r>
              <w:rPr>
                <w:rFonts w:ascii="Arial" w:cs="Arial" w:eastAsia="Arial" w:hAnsi="Arial"/>
                <w:sz w:val="10"/>
                <w:szCs w:val="10"/>
                <w:color w:val="auto"/>
              </w:rPr>
              <w:t>American Gilsonite Company</w:t>
            </w:r>
            <w:r>
              <w:rPr>
                <w:rFonts w:ascii="Arial" w:cs="Arial" w:eastAsia="Arial" w:hAnsi="Arial"/>
                <w:sz w:val="15"/>
                <w:szCs w:val="15"/>
                <w:color w:val="auto"/>
                <w:vertAlign w:val="superscript"/>
              </w:rPr>
              <w:t>(5)</w:t>
            </w:r>
          </w:p>
        </w:tc>
        <w:tc>
          <w:tcPr>
            <w:tcW w:w="1440" w:type="dxa"/>
            <w:vAlign w:val="bottom"/>
          </w:tcPr>
          <w:p>
            <w:pPr>
              <w:ind w:left="740"/>
              <w:spacing w:after="0" w:line="138" w:lineRule="exact"/>
              <w:rPr>
                <w:sz w:val="20"/>
                <w:szCs w:val="20"/>
                <w:color w:val="auto"/>
              </w:rPr>
            </w:pPr>
            <w:r>
              <w:rPr>
                <w:rFonts w:ascii="Arial" w:cs="Arial" w:eastAsia="Arial" w:hAnsi="Arial"/>
                <w:sz w:val="13"/>
                <w:szCs w:val="13"/>
                <w:color w:val="auto"/>
              </w:rPr>
              <w:t>09/01/2017</w:t>
            </w:r>
          </w:p>
        </w:tc>
        <w:tc>
          <w:tcPr>
            <w:tcW w:w="1820" w:type="dxa"/>
            <w:vAlign w:val="bottom"/>
          </w:tcPr>
          <w:p>
            <w:pPr>
              <w:jc w:val="center"/>
              <w:spacing w:after="0" w:line="138" w:lineRule="exact"/>
              <w:rPr>
                <w:sz w:val="20"/>
                <w:szCs w:val="20"/>
                <w:color w:val="auto"/>
              </w:rPr>
            </w:pPr>
            <w:r>
              <w:rPr>
                <w:rFonts w:ascii="Arial" w:cs="Arial" w:eastAsia="Arial" w:hAnsi="Arial"/>
                <w:sz w:val="13"/>
                <w:szCs w:val="13"/>
                <w:color w:val="auto"/>
                <w:w w:val="95"/>
              </w:rPr>
              <w:t>Diversified Natural Resources,</w:t>
            </w:r>
          </w:p>
        </w:tc>
        <w:tc>
          <w:tcPr>
            <w:tcW w:w="900" w:type="dxa"/>
            <w:vAlign w:val="bottom"/>
          </w:tcPr>
          <w:p>
            <w:pPr>
              <w:jc w:val="right"/>
              <w:ind w:right="53"/>
              <w:spacing w:after="0" w:line="138" w:lineRule="exact"/>
              <w:rPr>
                <w:sz w:val="20"/>
                <w:szCs w:val="20"/>
                <w:color w:val="auto"/>
              </w:rPr>
            </w:pPr>
            <w:r>
              <w:rPr>
                <w:rFonts w:ascii="Arial" w:cs="Arial" w:eastAsia="Arial" w:hAnsi="Arial"/>
                <w:sz w:val="13"/>
                <w:szCs w:val="13"/>
                <w:color w:val="auto"/>
              </w:rPr>
              <w:t>11.50%</w:t>
            </w:r>
          </w:p>
        </w:tc>
        <w:tc>
          <w:tcPr>
            <w:tcW w:w="780" w:type="dxa"/>
            <w:vAlign w:val="bottom"/>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760" w:type="dxa"/>
            <w:vAlign w:val="bottom"/>
          </w:tcPr>
          <w:p>
            <w:pPr>
              <w:jc w:val="right"/>
              <w:ind w:right="13"/>
              <w:spacing w:after="0" w:line="138" w:lineRule="exact"/>
              <w:rPr>
                <w:sz w:val="20"/>
                <w:szCs w:val="20"/>
                <w:color w:val="auto"/>
              </w:rPr>
            </w:pPr>
            <w:r>
              <w:rPr>
                <w:rFonts w:ascii="Arial" w:cs="Arial" w:eastAsia="Arial" w:hAnsi="Arial"/>
                <w:sz w:val="13"/>
                <w:szCs w:val="13"/>
                <w:color w:val="auto"/>
              </w:rPr>
              <w:t>25,400,000</w:t>
            </w:r>
          </w:p>
        </w:tc>
        <w:tc>
          <w:tcPr>
            <w:tcW w:w="1000" w:type="dxa"/>
            <w:vAlign w:val="bottom"/>
            <w:gridSpan w:val="3"/>
          </w:tcPr>
          <w:p>
            <w:pPr>
              <w:jc w:val="right"/>
              <w:ind w:right="160"/>
              <w:spacing w:after="0" w:line="138" w:lineRule="exact"/>
              <w:rPr>
                <w:sz w:val="20"/>
                <w:szCs w:val="20"/>
                <w:color w:val="auto"/>
              </w:rPr>
            </w:pPr>
            <w:r>
              <w:rPr>
                <w:rFonts w:ascii="Arial" w:cs="Arial" w:eastAsia="Arial" w:hAnsi="Arial"/>
                <w:sz w:val="13"/>
                <w:szCs w:val="13"/>
                <w:color w:val="auto"/>
              </w:rPr>
              <w:t>25,400,000</w:t>
            </w:r>
          </w:p>
        </w:tc>
        <w:tc>
          <w:tcPr>
            <w:tcW w:w="102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26,098,500</w:t>
            </w:r>
          </w:p>
        </w:tc>
        <w:tc>
          <w:tcPr>
            <w:tcW w:w="0" w:type="dxa"/>
            <w:vAlign w:val="bottom"/>
          </w:tcPr>
          <w:p>
            <w:pPr>
              <w:spacing w:after="0"/>
              <w:rPr>
                <w:sz w:val="1"/>
                <w:szCs w:val="1"/>
                <w:color w:val="auto"/>
              </w:rPr>
            </w:pPr>
          </w:p>
        </w:tc>
      </w:tr>
      <w:tr>
        <w:trPr>
          <w:trHeight w:val="173"/>
        </w:trPr>
        <w:tc>
          <w:tcPr>
            <w:tcW w:w="3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Arial" w:cs="Arial" w:eastAsia="Arial" w:hAnsi="Arial"/>
                <w:sz w:val="13"/>
                <w:szCs w:val="13"/>
                <w:color w:val="auto"/>
                <w:w w:val="93"/>
              </w:rPr>
              <w:t>Precious Metals and Minerals</w:t>
            </w: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rPr>
                <w:sz w:val="20"/>
                <w:szCs w:val="20"/>
                <w:color w:val="auto"/>
              </w:rPr>
            </w:pPr>
            <w:r>
              <w:rPr>
                <w:rFonts w:ascii="Arial" w:cs="Arial" w:eastAsia="Arial" w:hAnsi="Arial"/>
                <w:sz w:val="13"/>
                <w:szCs w:val="13"/>
                <w:color w:val="auto"/>
              </w:rPr>
              <w:t>Brand Energy and Infrastructure Services, Inc.</w:t>
            </w:r>
          </w:p>
        </w:tc>
        <w:tc>
          <w:tcPr>
            <w:tcW w:w="1440" w:type="dxa"/>
            <w:vAlign w:val="bottom"/>
            <w:shd w:val="clear" w:color="auto" w:fill="CCEEFF"/>
          </w:tcPr>
          <w:p>
            <w:pPr>
              <w:ind w:left="740"/>
              <w:spacing w:after="0"/>
              <w:rPr>
                <w:sz w:val="20"/>
                <w:szCs w:val="20"/>
                <w:color w:val="auto"/>
              </w:rPr>
            </w:pPr>
            <w:r>
              <w:rPr>
                <w:rFonts w:ascii="Arial" w:cs="Arial" w:eastAsia="Arial" w:hAnsi="Arial"/>
                <w:sz w:val="13"/>
                <w:szCs w:val="13"/>
                <w:color w:val="auto"/>
              </w:rPr>
              <w:t>02/07/2015</w:t>
            </w:r>
          </w:p>
        </w:tc>
        <w:tc>
          <w:tcPr>
            <w:tcW w:w="1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Energy/Utilities</w:t>
            </w: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6.33%</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L+600</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13,600,000</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13,378,432</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12,729,600</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20"/>
                <w:szCs w:val="20"/>
                <w:color w:val="auto"/>
              </w:rPr>
            </w:pPr>
            <w:r>
              <w:rPr>
                <w:rFonts w:ascii="Arial" w:cs="Arial" w:eastAsia="Arial" w:hAnsi="Arial"/>
                <w:sz w:val="13"/>
                <w:szCs w:val="13"/>
                <w:color w:val="auto"/>
              </w:rPr>
              <w:t>Brand Energy and Infrastructure Services, Inc.</w:t>
            </w:r>
          </w:p>
        </w:tc>
        <w:tc>
          <w:tcPr>
            <w:tcW w:w="1440" w:type="dxa"/>
            <w:vAlign w:val="bottom"/>
          </w:tcPr>
          <w:p>
            <w:pPr>
              <w:ind w:left="740"/>
              <w:spacing w:after="0"/>
              <w:rPr>
                <w:sz w:val="20"/>
                <w:szCs w:val="20"/>
                <w:color w:val="auto"/>
              </w:rPr>
            </w:pPr>
            <w:r>
              <w:rPr>
                <w:rFonts w:ascii="Arial" w:cs="Arial" w:eastAsia="Arial" w:hAnsi="Arial"/>
                <w:sz w:val="13"/>
                <w:szCs w:val="13"/>
                <w:color w:val="auto"/>
              </w:rPr>
              <w:t>02/07/2015</w:t>
            </w:r>
          </w:p>
        </w:tc>
        <w:tc>
          <w:tcPr>
            <w:tcW w:w="1820" w:type="dxa"/>
            <w:vAlign w:val="bottom"/>
          </w:tcPr>
          <w:p>
            <w:pPr>
              <w:jc w:val="center"/>
              <w:spacing w:after="0"/>
              <w:rPr>
                <w:sz w:val="20"/>
                <w:szCs w:val="20"/>
                <w:color w:val="auto"/>
              </w:rPr>
            </w:pPr>
            <w:r>
              <w:rPr>
                <w:rFonts w:ascii="Arial" w:cs="Arial" w:eastAsia="Arial" w:hAnsi="Arial"/>
                <w:sz w:val="13"/>
                <w:szCs w:val="13"/>
                <w:color w:val="auto"/>
                <w:w w:val="99"/>
              </w:rPr>
              <w:t>Energy/Utilities</w:t>
            </w:r>
          </w:p>
        </w:tc>
        <w:tc>
          <w:tcPr>
            <w:tcW w:w="900" w:type="dxa"/>
            <w:vAlign w:val="bottom"/>
          </w:tcPr>
          <w:p>
            <w:pPr>
              <w:jc w:val="right"/>
              <w:ind w:right="53"/>
              <w:spacing w:after="0"/>
              <w:rPr>
                <w:sz w:val="20"/>
                <w:szCs w:val="20"/>
                <w:color w:val="auto"/>
              </w:rPr>
            </w:pPr>
            <w:r>
              <w:rPr>
                <w:rFonts w:ascii="Arial" w:cs="Arial" w:eastAsia="Arial" w:hAnsi="Arial"/>
                <w:sz w:val="13"/>
                <w:szCs w:val="13"/>
                <w:color w:val="auto"/>
              </w:rPr>
              <w:t>7.36%</w:t>
            </w:r>
          </w:p>
        </w:tc>
        <w:tc>
          <w:tcPr>
            <w:tcW w:w="780" w:type="dxa"/>
            <w:vAlign w:val="bottom"/>
          </w:tcPr>
          <w:p>
            <w:pPr>
              <w:jc w:val="right"/>
              <w:spacing w:after="0"/>
              <w:rPr>
                <w:sz w:val="20"/>
                <w:szCs w:val="20"/>
                <w:color w:val="auto"/>
              </w:rPr>
            </w:pPr>
            <w:r>
              <w:rPr>
                <w:rFonts w:ascii="Arial" w:cs="Arial" w:eastAsia="Arial" w:hAnsi="Arial"/>
                <w:sz w:val="13"/>
                <w:szCs w:val="13"/>
                <w:color w:val="auto"/>
              </w:rPr>
              <w:t>L+700</w:t>
            </w:r>
          </w:p>
        </w:tc>
        <w:tc>
          <w:tcPr>
            <w:tcW w:w="240" w:type="dxa"/>
            <w:vAlign w:val="bottom"/>
          </w:tcPr>
          <w:p>
            <w:pPr>
              <w:spacing w:after="0"/>
              <w:rPr>
                <w:sz w:val="12"/>
                <w:szCs w:val="12"/>
                <w:color w:val="auto"/>
              </w:rPr>
            </w:pP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12,000,000</w:t>
            </w:r>
          </w:p>
        </w:tc>
        <w:tc>
          <w:tcPr>
            <w:tcW w:w="1000" w:type="dxa"/>
            <w:vAlign w:val="bottom"/>
            <w:gridSpan w:val="3"/>
          </w:tcPr>
          <w:p>
            <w:pPr>
              <w:jc w:val="right"/>
              <w:ind w:right="160"/>
              <w:spacing w:after="0"/>
              <w:rPr>
                <w:sz w:val="20"/>
                <w:szCs w:val="20"/>
                <w:color w:val="auto"/>
              </w:rPr>
            </w:pPr>
            <w:r>
              <w:rPr>
                <w:rFonts w:ascii="Arial" w:cs="Arial" w:eastAsia="Arial" w:hAnsi="Arial"/>
                <w:sz w:val="13"/>
                <w:szCs w:val="13"/>
                <w:color w:val="auto"/>
              </w:rPr>
              <w:t>11,866,485</w:t>
            </w: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11,232,000</w:t>
            </w: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DirectBuy Holdings, Inc.</w:t>
            </w:r>
            <w:r>
              <w:rPr>
                <w:rFonts w:ascii="Arial" w:cs="Arial" w:eastAsia="Arial" w:hAnsi="Arial"/>
                <w:sz w:val="17"/>
                <w:szCs w:val="17"/>
                <w:color w:val="auto"/>
                <w:vertAlign w:val="superscript"/>
              </w:rPr>
              <w:t>(5), (6)</w:t>
            </w:r>
          </w:p>
        </w:tc>
        <w:tc>
          <w:tcPr>
            <w:tcW w:w="1440" w:type="dxa"/>
            <w:vAlign w:val="bottom"/>
            <w:shd w:val="clear" w:color="auto" w:fill="CCEEFF"/>
          </w:tcPr>
          <w:p>
            <w:pPr>
              <w:ind w:left="740"/>
              <w:spacing w:after="0"/>
              <w:rPr>
                <w:sz w:val="20"/>
                <w:szCs w:val="20"/>
                <w:color w:val="auto"/>
              </w:rPr>
            </w:pPr>
            <w:r>
              <w:rPr>
                <w:rFonts w:ascii="Arial" w:cs="Arial" w:eastAsia="Arial" w:hAnsi="Arial"/>
                <w:sz w:val="13"/>
                <w:szCs w:val="13"/>
                <w:color w:val="auto"/>
              </w:rPr>
              <w:t>02/01/2017</w:t>
            </w:r>
          </w:p>
        </w:tc>
        <w:tc>
          <w:tcPr>
            <w:tcW w:w="1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Consumer Products</w:t>
            </w: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12.00%</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34,000,000</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31,964,822</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10,880,000</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20"/>
                <w:szCs w:val="20"/>
                <w:color w:val="auto"/>
              </w:rPr>
            </w:pPr>
            <w:r>
              <w:rPr>
                <w:rFonts w:ascii="Arial" w:cs="Arial" w:eastAsia="Arial" w:hAnsi="Arial"/>
                <w:sz w:val="13"/>
                <w:szCs w:val="13"/>
                <w:color w:val="auto"/>
              </w:rPr>
              <w:t>Eureka Hunter Pipeline, LLC</w:t>
            </w:r>
          </w:p>
        </w:tc>
        <w:tc>
          <w:tcPr>
            <w:tcW w:w="1440" w:type="dxa"/>
            <w:vAlign w:val="bottom"/>
          </w:tcPr>
          <w:p>
            <w:pPr>
              <w:ind w:left="740"/>
              <w:spacing w:after="0"/>
              <w:rPr>
                <w:sz w:val="20"/>
                <w:szCs w:val="20"/>
                <w:color w:val="auto"/>
              </w:rPr>
            </w:pPr>
            <w:r>
              <w:rPr>
                <w:rFonts w:ascii="Arial" w:cs="Arial" w:eastAsia="Arial" w:hAnsi="Arial"/>
                <w:sz w:val="13"/>
                <w:szCs w:val="13"/>
                <w:color w:val="auto"/>
              </w:rPr>
              <w:t>08/16/2018</w:t>
            </w:r>
          </w:p>
        </w:tc>
        <w:tc>
          <w:tcPr>
            <w:tcW w:w="1820" w:type="dxa"/>
            <w:vAlign w:val="bottom"/>
          </w:tcPr>
          <w:p>
            <w:pPr>
              <w:jc w:val="center"/>
              <w:spacing w:after="0"/>
              <w:rPr>
                <w:sz w:val="20"/>
                <w:szCs w:val="20"/>
                <w:color w:val="auto"/>
              </w:rPr>
            </w:pPr>
            <w:r>
              <w:rPr>
                <w:rFonts w:ascii="Arial" w:cs="Arial" w:eastAsia="Arial" w:hAnsi="Arial"/>
                <w:sz w:val="13"/>
                <w:szCs w:val="13"/>
                <w:color w:val="auto"/>
                <w:w w:val="99"/>
              </w:rPr>
              <w:t>Energy/Utilities</w:t>
            </w:r>
          </w:p>
        </w:tc>
        <w:tc>
          <w:tcPr>
            <w:tcW w:w="900" w:type="dxa"/>
            <w:vAlign w:val="bottom"/>
          </w:tcPr>
          <w:p>
            <w:pPr>
              <w:jc w:val="right"/>
              <w:ind w:right="53"/>
              <w:spacing w:after="0"/>
              <w:rPr>
                <w:sz w:val="20"/>
                <w:szCs w:val="20"/>
                <w:color w:val="auto"/>
              </w:rPr>
            </w:pPr>
            <w:r>
              <w:rPr>
                <w:rFonts w:ascii="Arial" w:cs="Arial" w:eastAsia="Arial" w:hAnsi="Arial"/>
                <w:sz w:val="13"/>
                <w:szCs w:val="13"/>
                <w:color w:val="auto"/>
              </w:rPr>
              <w:t>12.50%</w:t>
            </w: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40" w:type="dxa"/>
            <w:vAlign w:val="bottom"/>
            <w:vMerge w:val="restart"/>
          </w:tcPr>
          <w:p>
            <w:pPr>
              <w:jc w:val="right"/>
              <w:ind w:right="44"/>
              <w:spacing w:after="0"/>
              <w:rPr>
                <w:sz w:val="20"/>
                <w:szCs w:val="20"/>
                <w:color w:val="auto"/>
              </w:rPr>
            </w:pPr>
            <w:r>
              <w:rPr>
                <w:rFonts w:ascii="Arial" w:cs="Arial" w:eastAsia="Arial" w:hAnsi="Arial"/>
                <w:sz w:val="11"/>
                <w:szCs w:val="11"/>
                <w:color w:val="auto"/>
                <w:w w:val="88"/>
              </w:rPr>
              <w:t>(8)</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45,000,000</w:t>
            </w:r>
          </w:p>
        </w:tc>
        <w:tc>
          <w:tcPr>
            <w:tcW w:w="1000" w:type="dxa"/>
            <w:vAlign w:val="bottom"/>
            <w:gridSpan w:val="3"/>
          </w:tcPr>
          <w:p>
            <w:pPr>
              <w:jc w:val="right"/>
              <w:ind w:right="160"/>
              <w:spacing w:after="0"/>
              <w:rPr>
                <w:sz w:val="20"/>
                <w:szCs w:val="20"/>
                <w:color w:val="auto"/>
              </w:rPr>
            </w:pPr>
            <w:r>
              <w:rPr>
                <w:rFonts w:ascii="Arial" w:cs="Arial" w:eastAsia="Arial" w:hAnsi="Arial"/>
                <w:sz w:val="13"/>
                <w:szCs w:val="13"/>
                <w:color w:val="auto"/>
              </w:rPr>
              <w:t>44,543,688</w:t>
            </w: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45,000,000</w:t>
            </w:r>
          </w:p>
        </w:tc>
        <w:tc>
          <w:tcPr>
            <w:tcW w:w="0" w:type="dxa"/>
            <w:vAlign w:val="bottom"/>
          </w:tcPr>
          <w:p>
            <w:pPr>
              <w:spacing w:after="0"/>
              <w:rPr>
                <w:sz w:val="1"/>
                <w:szCs w:val="1"/>
                <w:color w:val="auto"/>
              </w:rPr>
            </w:pPr>
          </w:p>
        </w:tc>
      </w:tr>
      <w:tr>
        <w:trPr>
          <w:trHeight w:val="138"/>
        </w:trPr>
        <w:tc>
          <w:tcPr>
            <w:tcW w:w="3280" w:type="dxa"/>
            <w:vAlign w:val="bottom"/>
          </w:tcPr>
          <w:p>
            <w:pPr>
              <w:spacing w:after="0" w:line="138" w:lineRule="exact"/>
              <w:rPr>
                <w:sz w:val="20"/>
                <w:szCs w:val="20"/>
                <w:color w:val="auto"/>
              </w:rPr>
            </w:pPr>
            <w:r>
              <w:rPr>
                <w:rFonts w:ascii="Arial" w:cs="Arial" w:eastAsia="Arial" w:hAnsi="Arial"/>
                <w:sz w:val="13"/>
                <w:szCs w:val="13"/>
                <w:color w:val="auto"/>
              </w:rPr>
              <w:t>Greatwide Logistics Services, L.L.C.</w:t>
            </w:r>
          </w:p>
        </w:tc>
        <w:tc>
          <w:tcPr>
            <w:tcW w:w="1440" w:type="dxa"/>
            <w:vAlign w:val="bottom"/>
          </w:tcPr>
          <w:p>
            <w:pPr>
              <w:ind w:left="740"/>
              <w:spacing w:after="0" w:line="138" w:lineRule="exact"/>
              <w:rPr>
                <w:sz w:val="20"/>
                <w:szCs w:val="20"/>
                <w:color w:val="auto"/>
              </w:rPr>
            </w:pPr>
            <w:r>
              <w:rPr>
                <w:rFonts w:ascii="Arial" w:cs="Arial" w:eastAsia="Arial" w:hAnsi="Arial"/>
                <w:sz w:val="13"/>
                <w:szCs w:val="13"/>
                <w:color w:val="auto"/>
              </w:rPr>
              <w:t>03/01/2014</w:t>
            </w:r>
          </w:p>
        </w:tc>
        <w:tc>
          <w:tcPr>
            <w:tcW w:w="1820" w:type="dxa"/>
            <w:vAlign w:val="bottom"/>
          </w:tcPr>
          <w:p>
            <w:pPr>
              <w:jc w:val="center"/>
              <w:spacing w:after="0" w:line="138" w:lineRule="exact"/>
              <w:rPr>
                <w:sz w:val="20"/>
                <w:szCs w:val="20"/>
                <w:color w:val="auto"/>
              </w:rPr>
            </w:pPr>
            <w:r>
              <w:rPr>
                <w:rFonts w:ascii="Arial" w:cs="Arial" w:eastAsia="Arial" w:hAnsi="Arial"/>
                <w:sz w:val="13"/>
                <w:szCs w:val="13"/>
                <w:color w:val="auto"/>
                <w:w w:val="92"/>
              </w:rPr>
              <w:t>Cargo Transport</w:t>
            </w:r>
          </w:p>
        </w:tc>
        <w:tc>
          <w:tcPr>
            <w:tcW w:w="900" w:type="dxa"/>
            <w:vAlign w:val="bottom"/>
          </w:tcPr>
          <w:p>
            <w:pPr>
              <w:jc w:val="right"/>
              <w:ind w:right="53"/>
              <w:spacing w:after="0" w:line="138" w:lineRule="exact"/>
              <w:rPr>
                <w:sz w:val="20"/>
                <w:szCs w:val="20"/>
                <w:color w:val="auto"/>
              </w:rPr>
            </w:pPr>
            <w:r>
              <w:rPr>
                <w:rFonts w:ascii="Arial" w:cs="Arial" w:eastAsia="Arial" w:hAnsi="Arial"/>
                <w:sz w:val="13"/>
                <w:szCs w:val="13"/>
                <w:color w:val="auto"/>
              </w:rPr>
              <w:t>11.00%</w:t>
            </w:r>
          </w:p>
        </w:tc>
        <w:tc>
          <w:tcPr>
            <w:tcW w:w="780" w:type="dxa"/>
            <w:vAlign w:val="bottom"/>
          </w:tcPr>
          <w:p>
            <w:pPr>
              <w:jc w:val="right"/>
              <w:spacing w:after="0" w:line="138" w:lineRule="exact"/>
              <w:rPr>
                <w:sz w:val="20"/>
                <w:szCs w:val="20"/>
                <w:color w:val="auto"/>
              </w:rPr>
            </w:pPr>
            <w:r>
              <w:rPr>
                <w:rFonts w:ascii="Arial" w:cs="Arial" w:eastAsia="Arial" w:hAnsi="Arial"/>
                <w:sz w:val="13"/>
                <w:szCs w:val="13"/>
                <w:color w:val="auto"/>
              </w:rPr>
              <w:t>L+700</w:t>
            </w:r>
          </w:p>
        </w:tc>
        <w:tc>
          <w:tcPr>
            <w:tcW w:w="240" w:type="dxa"/>
            <w:vAlign w:val="bottom"/>
            <w:vMerge w:val="continue"/>
          </w:tcPr>
          <w:p>
            <w:pPr>
              <w:spacing w:after="0"/>
              <w:rPr>
                <w:sz w:val="11"/>
                <w:szCs w:val="11"/>
                <w:color w:val="auto"/>
              </w:rPr>
            </w:pPr>
          </w:p>
        </w:tc>
        <w:tc>
          <w:tcPr>
            <w:tcW w:w="760" w:type="dxa"/>
            <w:vAlign w:val="bottom"/>
          </w:tcPr>
          <w:p>
            <w:pPr>
              <w:jc w:val="right"/>
              <w:ind w:right="13"/>
              <w:spacing w:after="0" w:line="138" w:lineRule="exact"/>
              <w:rPr>
                <w:sz w:val="20"/>
                <w:szCs w:val="20"/>
                <w:color w:val="auto"/>
              </w:rPr>
            </w:pPr>
            <w:r>
              <w:rPr>
                <w:rFonts w:ascii="Arial" w:cs="Arial" w:eastAsia="Arial" w:hAnsi="Arial"/>
                <w:sz w:val="13"/>
                <w:szCs w:val="13"/>
                <w:color w:val="auto"/>
              </w:rPr>
              <w:t>3,184,219</w:t>
            </w:r>
          </w:p>
        </w:tc>
        <w:tc>
          <w:tcPr>
            <w:tcW w:w="1000" w:type="dxa"/>
            <w:vAlign w:val="bottom"/>
            <w:gridSpan w:val="3"/>
          </w:tcPr>
          <w:p>
            <w:pPr>
              <w:jc w:val="right"/>
              <w:ind w:right="160"/>
              <w:spacing w:after="0" w:line="138" w:lineRule="exact"/>
              <w:rPr>
                <w:sz w:val="20"/>
                <w:szCs w:val="20"/>
                <w:color w:val="auto"/>
              </w:rPr>
            </w:pPr>
            <w:r>
              <w:rPr>
                <w:rFonts w:ascii="Arial" w:cs="Arial" w:eastAsia="Arial" w:hAnsi="Arial"/>
                <w:sz w:val="13"/>
                <w:szCs w:val="13"/>
                <w:color w:val="auto"/>
              </w:rPr>
              <w:t>3,184,222</w:t>
            </w:r>
          </w:p>
        </w:tc>
        <w:tc>
          <w:tcPr>
            <w:tcW w:w="102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2,292,640</w:t>
            </w:r>
          </w:p>
        </w:tc>
        <w:tc>
          <w:tcPr>
            <w:tcW w:w="0" w:type="dxa"/>
            <w:vAlign w:val="bottom"/>
          </w:tcPr>
          <w:p>
            <w:pPr>
              <w:spacing w:after="0"/>
              <w:rPr>
                <w:sz w:val="1"/>
                <w:szCs w:val="1"/>
                <w:color w:val="auto"/>
              </w:rPr>
            </w:pPr>
          </w:p>
        </w:tc>
      </w:tr>
      <w:tr>
        <w:trPr>
          <w:trHeight w:val="172"/>
        </w:trPr>
        <w:tc>
          <w:tcPr>
            <w:tcW w:w="3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(PIK 11.00%)</w:t>
            </w:r>
          </w:p>
        </w:tc>
        <w:tc>
          <w:tcPr>
            <w:tcW w:w="780" w:type="dxa"/>
            <w:vAlign w:val="bottom"/>
          </w:tcPr>
          <w:p>
            <w:pPr>
              <w:spacing w:after="0"/>
              <w:rPr>
                <w:sz w:val="14"/>
                <w:szCs w:val="14"/>
                <w:color w:val="auto"/>
              </w:rPr>
            </w:pPr>
          </w:p>
        </w:tc>
        <w:tc>
          <w:tcPr>
            <w:tcW w:w="240" w:type="dxa"/>
            <w:vAlign w:val="bottom"/>
            <w:vMerge w:val="restart"/>
          </w:tcPr>
          <w:p>
            <w:pPr>
              <w:jc w:val="right"/>
              <w:ind w:right="44"/>
              <w:spacing w:after="0"/>
              <w:rPr>
                <w:sz w:val="20"/>
                <w:szCs w:val="20"/>
                <w:color w:val="auto"/>
              </w:rPr>
            </w:pPr>
            <w:r>
              <w:rPr>
                <w:rFonts w:ascii="Arial" w:cs="Arial" w:eastAsia="Arial" w:hAnsi="Arial"/>
                <w:sz w:val="11"/>
                <w:szCs w:val="11"/>
                <w:color w:val="auto"/>
                <w:w w:val="88"/>
              </w:rPr>
              <w:t>(8)</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280" w:type="dxa"/>
            <w:vAlign w:val="bottom"/>
          </w:tcPr>
          <w:p>
            <w:pPr>
              <w:spacing w:after="0" w:line="138" w:lineRule="exact"/>
              <w:rPr>
                <w:sz w:val="20"/>
                <w:szCs w:val="20"/>
                <w:color w:val="auto"/>
              </w:rPr>
            </w:pPr>
            <w:r>
              <w:rPr>
                <w:rFonts w:ascii="Arial" w:cs="Arial" w:eastAsia="Arial" w:hAnsi="Arial"/>
                <w:sz w:val="13"/>
                <w:szCs w:val="13"/>
                <w:color w:val="auto"/>
              </w:rPr>
              <w:t>Paradigm Management Services, LLC</w:t>
            </w:r>
          </w:p>
        </w:tc>
        <w:tc>
          <w:tcPr>
            <w:tcW w:w="1440" w:type="dxa"/>
            <w:vAlign w:val="bottom"/>
          </w:tcPr>
          <w:p>
            <w:pPr>
              <w:ind w:left="740"/>
              <w:spacing w:after="0" w:line="138" w:lineRule="exact"/>
              <w:rPr>
                <w:sz w:val="20"/>
                <w:szCs w:val="20"/>
                <w:color w:val="auto"/>
              </w:rPr>
            </w:pPr>
            <w:r>
              <w:rPr>
                <w:rFonts w:ascii="Arial" w:cs="Arial" w:eastAsia="Arial" w:hAnsi="Arial"/>
                <w:sz w:val="13"/>
                <w:szCs w:val="13"/>
                <w:color w:val="auto"/>
              </w:rPr>
              <w:t>07/31/2017</w:t>
            </w:r>
          </w:p>
        </w:tc>
        <w:tc>
          <w:tcPr>
            <w:tcW w:w="1820" w:type="dxa"/>
            <w:vAlign w:val="bottom"/>
          </w:tcPr>
          <w:p>
            <w:pPr>
              <w:jc w:val="center"/>
              <w:spacing w:after="0" w:line="138" w:lineRule="exact"/>
              <w:rPr>
                <w:sz w:val="20"/>
                <w:szCs w:val="20"/>
                <w:color w:val="auto"/>
              </w:rPr>
            </w:pPr>
            <w:r>
              <w:rPr>
                <w:rFonts w:ascii="Arial" w:cs="Arial" w:eastAsia="Arial" w:hAnsi="Arial"/>
                <w:sz w:val="13"/>
                <w:szCs w:val="13"/>
                <w:color w:val="auto"/>
                <w:w w:val="93"/>
              </w:rPr>
              <w:t>Healthcare, Education and</w:t>
            </w:r>
          </w:p>
        </w:tc>
        <w:tc>
          <w:tcPr>
            <w:tcW w:w="900" w:type="dxa"/>
            <w:vAlign w:val="bottom"/>
          </w:tcPr>
          <w:p>
            <w:pPr>
              <w:jc w:val="right"/>
              <w:ind w:right="53"/>
              <w:spacing w:after="0" w:line="138" w:lineRule="exact"/>
              <w:rPr>
                <w:sz w:val="20"/>
                <w:szCs w:val="20"/>
                <w:color w:val="auto"/>
              </w:rPr>
            </w:pPr>
            <w:r>
              <w:rPr>
                <w:rFonts w:ascii="Arial" w:cs="Arial" w:eastAsia="Arial" w:hAnsi="Arial"/>
                <w:sz w:val="13"/>
                <w:szCs w:val="13"/>
                <w:color w:val="auto"/>
              </w:rPr>
              <w:t>12.50%</w:t>
            </w:r>
          </w:p>
        </w:tc>
        <w:tc>
          <w:tcPr>
            <w:tcW w:w="780" w:type="dxa"/>
            <w:vAlign w:val="bottom"/>
          </w:tcPr>
          <w:p>
            <w:pPr>
              <w:jc w:val="right"/>
              <w:spacing w:after="0" w:line="138" w:lineRule="exact"/>
              <w:rPr>
                <w:sz w:val="20"/>
                <w:szCs w:val="20"/>
                <w:color w:val="auto"/>
              </w:rPr>
            </w:pPr>
            <w:r>
              <w:rPr>
                <w:rFonts w:ascii="Arial" w:cs="Arial" w:eastAsia="Arial" w:hAnsi="Arial"/>
                <w:sz w:val="13"/>
                <w:szCs w:val="13"/>
                <w:color w:val="auto"/>
              </w:rPr>
              <w:t>L+1,100</w:t>
            </w:r>
          </w:p>
        </w:tc>
        <w:tc>
          <w:tcPr>
            <w:tcW w:w="240" w:type="dxa"/>
            <w:vAlign w:val="bottom"/>
            <w:vMerge w:val="continue"/>
          </w:tcPr>
          <w:p>
            <w:pPr>
              <w:spacing w:after="0"/>
              <w:rPr>
                <w:sz w:val="12"/>
                <w:szCs w:val="12"/>
                <w:color w:val="auto"/>
              </w:rPr>
            </w:pPr>
          </w:p>
        </w:tc>
        <w:tc>
          <w:tcPr>
            <w:tcW w:w="760" w:type="dxa"/>
            <w:vAlign w:val="bottom"/>
          </w:tcPr>
          <w:p>
            <w:pPr>
              <w:jc w:val="right"/>
              <w:ind w:right="13"/>
              <w:spacing w:after="0" w:line="138" w:lineRule="exact"/>
              <w:rPr>
                <w:sz w:val="20"/>
                <w:szCs w:val="20"/>
                <w:color w:val="auto"/>
              </w:rPr>
            </w:pPr>
            <w:r>
              <w:rPr>
                <w:rFonts w:ascii="Arial" w:cs="Arial" w:eastAsia="Arial" w:hAnsi="Arial"/>
                <w:sz w:val="13"/>
                <w:szCs w:val="13"/>
                <w:color w:val="auto"/>
              </w:rPr>
              <w:t>20,512,821</w:t>
            </w:r>
          </w:p>
        </w:tc>
        <w:tc>
          <w:tcPr>
            <w:tcW w:w="1000" w:type="dxa"/>
            <w:vAlign w:val="bottom"/>
            <w:gridSpan w:val="3"/>
          </w:tcPr>
          <w:p>
            <w:pPr>
              <w:jc w:val="right"/>
              <w:ind w:right="160"/>
              <w:spacing w:after="0" w:line="138" w:lineRule="exact"/>
              <w:rPr>
                <w:sz w:val="20"/>
                <w:szCs w:val="20"/>
                <w:color w:val="auto"/>
              </w:rPr>
            </w:pPr>
            <w:r>
              <w:rPr>
                <w:rFonts w:ascii="Arial" w:cs="Arial" w:eastAsia="Arial" w:hAnsi="Arial"/>
                <w:sz w:val="13"/>
                <w:szCs w:val="13"/>
                <w:color w:val="auto"/>
              </w:rPr>
              <w:t>20,059,979</w:t>
            </w:r>
          </w:p>
        </w:tc>
        <w:tc>
          <w:tcPr>
            <w:tcW w:w="102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20,512,821</w:t>
            </w:r>
          </w:p>
        </w:tc>
        <w:tc>
          <w:tcPr>
            <w:tcW w:w="0" w:type="dxa"/>
            <w:vAlign w:val="bottom"/>
          </w:tcPr>
          <w:p>
            <w:pPr>
              <w:spacing w:after="0"/>
              <w:rPr>
                <w:sz w:val="1"/>
                <w:szCs w:val="1"/>
                <w:color w:val="auto"/>
              </w:rPr>
            </w:pPr>
          </w:p>
        </w:tc>
      </w:tr>
      <w:tr>
        <w:trPr>
          <w:trHeight w:val="172"/>
        </w:trPr>
        <w:tc>
          <w:tcPr>
            <w:tcW w:w="3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3"/>
                <w:szCs w:val="13"/>
                <w:color w:val="auto"/>
                <w:w w:val="94"/>
              </w:rPr>
              <w:t>Childcare</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-3702050</wp:posOffset>
            </wp:positionV>
            <wp:extent cx="7132320" cy="939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-1576070</wp:posOffset>
            </wp:positionV>
            <wp:extent cx="7132320" cy="946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-393065</wp:posOffset>
            </wp:positionV>
            <wp:extent cx="7132320" cy="1968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45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 (Continued) SEPTEMBER 30, 2012</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jc w:val="center"/>
              <w:ind w:right="204"/>
              <w:spacing w:after="0"/>
              <w:rPr>
                <w:sz w:val="20"/>
                <w:szCs w:val="20"/>
                <w:color w:val="auto"/>
              </w:rPr>
            </w:pPr>
            <w:r>
              <w:rPr>
                <w:rFonts w:ascii="Arial" w:cs="Arial" w:eastAsia="Arial" w:hAnsi="Arial"/>
                <w:sz w:val="13"/>
                <w:szCs w:val="13"/>
                <w:b w:val="1"/>
                <w:bCs w:val="1"/>
                <w:color w:val="auto"/>
                <w:w w:val="95"/>
              </w:rPr>
              <w:t>Basis Point</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center"/>
              <w:ind w:right="204"/>
              <w:spacing w:after="0"/>
              <w:rPr>
                <w:sz w:val="20"/>
                <w:szCs w:val="20"/>
                <w:color w:val="auto"/>
              </w:rPr>
            </w:pPr>
            <w:r>
              <w:rPr>
                <w:rFonts w:ascii="Arial" w:cs="Arial" w:eastAsia="Arial" w:hAnsi="Arial"/>
                <w:sz w:val="13"/>
                <w:szCs w:val="13"/>
                <w:b w:val="1"/>
                <w:bCs w:val="1"/>
                <w:color w:val="auto"/>
                <w:w w:val="90"/>
              </w:rPr>
              <w:t>Spread</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jc w:val="right"/>
              <w:ind w:right="133"/>
              <w:spacing w:after="0" w:line="134" w:lineRule="exact"/>
              <w:rPr>
                <w:sz w:val="20"/>
                <w:szCs w:val="20"/>
                <w:color w:val="auto"/>
              </w:rPr>
            </w:pPr>
            <w:r>
              <w:rPr>
                <w:rFonts w:ascii="Arial" w:cs="Arial" w:eastAsia="Arial" w:hAnsi="Arial"/>
                <w:sz w:val="13"/>
                <w:szCs w:val="13"/>
                <w:b w:val="1"/>
                <w:bCs w:val="1"/>
                <w:color w:val="auto"/>
              </w:rPr>
              <w:t>Current</w:t>
            </w:r>
          </w:p>
        </w:tc>
        <w:tc>
          <w:tcPr>
            <w:tcW w:w="240" w:type="dxa"/>
            <w:vAlign w:val="bottom"/>
          </w:tcPr>
          <w:p>
            <w:pPr>
              <w:spacing w:after="0"/>
              <w:rPr>
                <w:sz w:val="11"/>
                <w:szCs w:val="11"/>
                <w:color w:val="auto"/>
              </w:rPr>
            </w:pPr>
          </w:p>
        </w:tc>
        <w:tc>
          <w:tcPr>
            <w:tcW w:w="940" w:type="dxa"/>
            <w:vAlign w:val="bottom"/>
            <w:gridSpan w:val="2"/>
          </w:tcPr>
          <w:p>
            <w:pPr>
              <w:jc w:val="center"/>
              <w:ind w:right="204"/>
              <w:spacing w:after="0" w:line="134" w:lineRule="exact"/>
              <w:rPr>
                <w:sz w:val="20"/>
                <w:szCs w:val="20"/>
                <w:color w:val="auto"/>
              </w:rPr>
            </w:pPr>
            <w:r>
              <w:rPr>
                <w:rFonts w:ascii="Arial" w:cs="Arial" w:eastAsia="Arial" w:hAnsi="Arial"/>
                <w:sz w:val="13"/>
                <w:szCs w:val="13"/>
                <w:b w:val="1"/>
                <w:bCs w:val="1"/>
                <w:color w:val="auto"/>
                <w:w w:val="90"/>
              </w:rPr>
              <w:t>Above</w:t>
            </w:r>
          </w:p>
        </w:tc>
        <w:tc>
          <w:tcPr>
            <w:tcW w:w="860" w:type="dxa"/>
            <w:vAlign w:val="bottom"/>
            <w:gridSpan w:val="2"/>
          </w:tcPr>
          <w:p>
            <w:pPr>
              <w:jc w:val="right"/>
              <w:ind w:right="420"/>
              <w:spacing w:after="0" w:line="134" w:lineRule="exact"/>
              <w:rPr>
                <w:sz w:val="20"/>
                <w:szCs w:val="20"/>
                <w:color w:val="auto"/>
              </w:rPr>
            </w:pPr>
            <w:r>
              <w:rPr>
                <w:rFonts w:ascii="Arial" w:cs="Arial" w:eastAsia="Arial" w:hAnsi="Arial"/>
                <w:sz w:val="13"/>
                <w:szCs w:val="13"/>
                <w:b w:val="1"/>
                <w:bCs w:val="1"/>
                <w:color w:val="auto"/>
              </w:rPr>
              <w:t>Par/</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3"/>
                <w:szCs w:val="13"/>
                <w:b w:val="1"/>
                <w:bCs w:val="1"/>
                <w:color w:val="auto"/>
                <w:w w:val="93"/>
              </w:rPr>
              <w:t xml:space="preserve">Fair Value </w:t>
            </w:r>
            <w:r>
              <w:rPr>
                <w:rFonts w:ascii="Arial" w:cs="Arial" w:eastAsia="Arial" w:hAnsi="Arial"/>
                <w:sz w:val="22"/>
                <w:szCs w:val="22"/>
                <w:b w:val="1"/>
                <w:bCs w:val="1"/>
                <w:color w:val="auto"/>
                <w:w w:val="93"/>
                <w:vertAlign w:val="superscript"/>
              </w:rPr>
              <w:t>(3)</w:t>
            </w:r>
          </w:p>
        </w:tc>
        <w:tc>
          <w:tcPr>
            <w:tcW w:w="0" w:type="dxa"/>
            <w:vAlign w:val="bottom"/>
          </w:tcPr>
          <w:p>
            <w:pPr>
              <w:spacing w:after="0"/>
              <w:rPr>
                <w:sz w:val="1"/>
                <w:szCs w:val="1"/>
                <w:color w:val="auto"/>
              </w:rPr>
            </w:pPr>
          </w:p>
        </w:tc>
      </w:tr>
      <w:tr>
        <w:trPr>
          <w:trHeight w:val="175"/>
        </w:trPr>
        <w:tc>
          <w:tcPr>
            <w:tcW w:w="4200" w:type="dxa"/>
            <w:vAlign w:val="bottom"/>
            <w:gridSpan w:val="2"/>
          </w:tcPr>
          <w:p>
            <w:pPr>
              <w:spacing w:after="0"/>
              <w:rPr>
                <w:sz w:val="20"/>
                <w:szCs w:val="20"/>
                <w:color w:val="auto"/>
              </w:rPr>
            </w:pPr>
            <w:r>
              <w:rPr>
                <w:rFonts w:ascii="Arial" w:cs="Arial" w:eastAsia="Arial" w:hAnsi="Arial"/>
                <w:sz w:val="13"/>
                <w:szCs w:val="13"/>
                <w:b w:val="1"/>
                <w:bCs w:val="1"/>
                <w:color w:val="auto"/>
              </w:rPr>
              <w:t>Issuer Name</w:t>
            </w:r>
          </w:p>
        </w:tc>
        <w:tc>
          <w:tcPr>
            <w:tcW w:w="660" w:type="dxa"/>
            <w:vAlign w:val="bottom"/>
            <w:gridSpan w:val="2"/>
          </w:tcPr>
          <w:p>
            <w:pPr>
              <w:ind w:left="60"/>
              <w:spacing w:after="0"/>
              <w:rPr>
                <w:sz w:val="20"/>
                <w:szCs w:val="20"/>
                <w:color w:val="auto"/>
              </w:rPr>
            </w:pPr>
            <w:r>
              <w:rPr>
                <w:rFonts w:ascii="Arial" w:cs="Arial" w:eastAsia="Arial" w:hAnsi="Arial"/>
                <w:sz w:val="13"/>
                <w:szCs w:val="13"/>
                <w:b w:val="1"/>
                <w:bCs w:val="1"/>
                <w:color w:val="auto"/>
              </w:rPr>
              <w:t>Maturity</w:t>
            </w:r>
          </w:p>
        </w:tc>
        <w:tc>
          <w:tcPr>
            <w:tcW w:w="16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7"/>
              </w:rPr>
              <w:t>Industry</w:t>
            </w:r>
          </w:p>
        </w:tc>
        <w:tc>
          <w:tcPr>
            <w:tcW w:w="760" w:type="dxa"/>
            <w:vAlign w:val="bottom"/>
            <w:gridSpan w:val="2"/>
          </w:tcPr>
          <w:p>
            <w:pPr>
              <w:jc w:val="right"/>
              <w:ind w:right="153"/>
              <w:spacing w:after="0"/>
              <w:rPr>
                <w:sz w:val="20"/>
                <w:szCs w:val="20"/>
                <w:color w:val="auto"/>
              </w:rPr>
            </w:pPr>
            <w:r>
              <w:rPr>
                <w:rFonts w:ascii="Arial" w:cs="Arial" w:eastAsia="Arial" w:hAnsi="Arial"/>
                <w:sz w:val="13"/>
                <w:szCs w:val="13"/>
                <w:b w:val="1"/>
                <w:bCs w:val="1"/>
                <w:color w:val="auto"/>
              </w:rPr>
              <w:t>Coupon</w:t>
            </w:r>
          </w:p>
        </w:tc>
        <w:tc>
          <w:tcPr>
            <w:tcW w:w="240" w:type="dxa"/>
            <w:vAlign w:val="bottom"/>
          </w:tcPr>
          <w:p>
            <w:pPr>
              <w:spacing w:after="0"/>
              <w:rPr>
                <w:sz w:val="15"/>
                <w:szCs w:val="15"/>
                <w:color w:val="auto"/>
              </w:rPr>
            </w:pPr>
          </w:p>
        </w:tc>
        <w:tc>
          <w:tcPr>
            <w:tcW w:w="940" w:type="dxa"/>
            <w:vAlign w:val="bottom"/>
            <w:gridSpan w:val="2"/>
          </w:tcPr>
          <w:p>
            <w:pPr>
              <w:jc w:val="center"/>
              <w:ind w:right="204"/>
              <w:spacing w:after="0" w:line="176" w:lineRule="exact"/>
              <w:rPr>
                <w:sz w:val="20"/>
                <w:szCs w:val="20"/>
                <w:color w:val="auto"/>
              </w:rPr>
            </w:pPr>
            <w:r>
              <w:rPr>
                <w:rFonts w:ascii="Arial" w:cs="Arial" w:eastAsia="Arial" w:hAnsi="Arial"/>
                <w:sz w:val="12"/>
                <w:szCs w:val="12"/>
                <w:b w:val="1"/>
                <w:bCs w:val="1"/>
                <w:color w:val="auto"/>
                <w:w w:val="94"/>
              </w:rPr>
              <w:t xml:space="preserve">Index </w:t>
            </w:r>
            <w:r>
              <w:rPr>
                <w:rFonts w:ascii="Arial" w:cs="Arial" w:eastAsia="Arial" w:hAnsi="Arial"/>
                <w:sz w:val="20"/>
                <w:szCs w:val="20"/>
                <w:b w:val="1"/>
                <w:bCs w:val="1"/>
                <w:color w:val="auto"/>
                <w:w w:val="94"/>
                <w:vertAlign w:val="superscript"/>
              </w:rPr>
              <w:t>(4)</w:t>
            </w:r>
          </w:p>
        </w:tc>
        <w:tc>
          <w:tcPr>
            <w:tcW w:w="8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Shares</w:t>
            </w:r>
          </w:p>
        </w:tc>
        <w:tc>
          <w:tcPr>
            <w:tcW w:w="940" w:type="dxa"/>
            <w:vAlign w:val="bottom"/>
            <w:gridSpan w:val="2"/>
          </w:tcPr>
          <w:p>
            <w:pPr>
              <w:ind w:left="220"/>
              <w:spacing w:after="0"/>
              <w:rPr>
                <w:sz w:val="20"/>
                <w:szCs w:val="20"/>
                <w:color w:val="auto"/>
              </w:rPr>
            </w:pPr>
            <w:r>
              <w:rPr>
                <w:rFonts w:ascii="Arial" w:cs="Arial" w:eastAsia="Arial" w:hAnsi="Arial"/>
                <w:sz w:val="13"/>
                <w:szCs w:val="13"/>
                <w:b w:val="1"/>
                <w:bCs w:val="1"/>
                <w:color w:val="auto"/>
              </w:rPr>
              <w:t>Cost</w:t>
            </w: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Questex Media Group LLC, Term Loan A</w:t>
            </w:r>
          </w:p>
        </w:tc>
        <w:tc>
          <w:tcPr>
            <w:tcW w:w="1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w w:val="92"/>
              </w:rPr>
              <w:t>12/15/2014</w:t>
            </w:r>
          </w:p>
        </w:tc>
        <w:tc>
          <w:tcPr>
            <w:tcW w:w="40" w:type="dxa"/>
            <w:vAlign w:val="bottom"/>
            <w:tcBorders>
              <w:top w:val="single" w:sz="8" w:color="CCEEFF"/>
            </w:tcBorders>
            <w:shd w:val="clear" w:color="auto" w:fill="CCEEFF"/>
          </w:tcPr>
          <w:p>
            <w:pPr>
              <w:spacing w:after="0"/>
              <w:rPr>
                <w:sz w:val="12"/>
                <w:szCs w:val="12"/>
                <w:color w:val="auto"/>
              </w:rPr>
            </w:pPr>
          </w:p>
        </w:tc>
        <w:tc>
          <w:tcPr>
            <w:tcW w:w="16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w w:val="97"/>
              </w:rPr>
              <w:t>Other Media</w:t>
            </w:r>
          </w:p>
        </w:tc>
        <w:tc>
          <w:tcPr>
            <w:tcW w:w="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9.50</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6"/>
              </w:rPr>
              <w:t>%</w:t>
            </w:r>
          </w:p>
        </w:tc>
        <w:tc>
          <w:tcPr>
            <w:tcW w:w="2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L+650</w:t>
            </w:r>
          </w:p>
        </w:tc>
        <w:tc>
          <w:tcPr>
            <w:tcW w:w="260" w:type="dxa"/>
            <w:vAlign w:val="bottom"/>
            <w:tcBorders>
              <w:top w:val="single" w:sz="8" w:color="CCEEFF"/>
            </w:tcBorders>
            <w:shd w:val="clear" w:color="auto" w:fill="CCEEFF"/>
          </w:tcPr>
          <w:p>
            <w:pPr>
              <w:jc w:val="right"/>
              <w:ind w:right="64"/>
              <w:spacing w:after="0" w:line="122" w:lineRule="exact"/>
              <w:rPr>
                <w:sz w:val="20"/>
                <w:szCs w:val="20"/>
                <w:color w:val="auto"/>
              </w:rPr>
            </w:pPr>
            <w:r>
              <w:rPr>
                <w:rFonts w:ascii="Arial" w:cs="Arial" w:eastAsia="Arial" w:hAnsi="Arial"/>
                <w:sz w:val="11"/>
                <w:szCs w:val="11"/>
                <w:color w:val="auto"/>
                <w:w w:val="88"/>
              </w:rPr>
              <w:t>(8)</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2,752,666</w:t>
            </w:r>
          </w:p>
        </w:tc>
        <w:tc>
          <w:tcPr>
            <w:tcW w:w="2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$ 2,752,666</w:t>
            </w:r>
          </w:p>
        </w:tc>
        <w:tc>
          <w:tcPr>
            <w:tcW w:w="2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$ 2,584,753</w:t>
            </w: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200" w:type="dxa"/>
            <w:vAlign w:val="bottom"/>
            <w:gridSpan w:val="2"/>
          </w:tcPr>
          <w:p>
            <w:pPr>
              <w:spacing w:after="0" w:line="138" w:lineRule="exact"/>
              <w:rPr>
                <w:sz w:val="20"/>
                <w:szCs w:val="20"/>
                <w:color w:val="auto"/>
              </w:rPr>
            </w:pPr>
            <w:r>
              <w:rPr>
                <w:rFonts w:ascii="Arial" w:cs="Arial" w:eastAsia="Arial" w:hAnsi="Arial"/>
                <w:sz w:val="13"/>
                <w:szCs w:val="13"/>
                <w:color w:val="auto"/>
              </w:rPr>
              <w:t>Questex Media Group LLC, Term Loan B</w:t>
            </w:r>
          </w:p>
        </w:tc>
        <w:tc>
          <w:tcPr>
            <w:tcW w:w="620" w:type="dxa"/>
            <w:vAlign w:val="bottom"/>
          </w:tcPr>
          <w:p>
            <w:pPr>
              <w:spacing w:after="0" w:line="138" w:lineRule="exact"/>
              <w:rPr>
                <w:sz w:val="20"/>
                <w:szCs w:val="20"/>
                <w:color w:val="auto"/>
              </w:rPr>
            </w:pPr>
            <w:r>
              <w:rPr>
                <w:rFonts w:ascii="Arial" w:cs="Arial" w:eastAsia="Arial" w:hAnsi="Arial"/>
                <w:sz w:val="13"/>
                <w:szCs w:val="13"/>
                <w:color w:val="auto"/>
                <w:w w:val="92"/>
              </w:rPr>
              <w:t>12/15/2015</w:t>
            </w:r>
          </w:p>
        </w:tc>
        <w:tc>
          <w:tcPr>
            <w:tcW w:w="40" w:type="dxa"/>
            <w:vAlign w:val="bottom"/>
          </w:tcPr>
          <w:p>
            <w:pPr>
              <w:spacing w:after="0"/>
              <w:rPr>
                <w:sz w:val="11"/>
                <w:szCs w:val="11"/>
                <w:color w:val="auto"/>
              </w:rPr>
            </w:pPr>
          </w:p>
        </w:tc>
        <w:tc>
          <w:tcPr>
            <w:tcW w:w="1660" w:type="dxa"/>
            <w:vAlign w:val="bottom"/>
            <w:gridSpan w:val="2"/>
          </w:tcPr>
          <w:p>
            <w:pPr>
              <w:jc w:val="center"/>
              <w:ind w:right="40"/>
              <w:spacing w:after="0" w:line="138" w:lineRule="exact"/>
              <w:rPr>
                <w:sz w:val="20"/>
                <w:szCs w:val="20"/>
                <w:color w:val="auto"/>
              </w:rPr>
            </w:pPr>
            <w:r>
              <w:rPr>
                <w:rFonts w:ascii="Arial" w:cs="Arial" w:eastAsia="Arial" w:hAnsi="Arial"/>
                <w:sz w:val="13"/>
                <w:szCs w:val="13"/>
                <w:color w:val="auto"/>
                <w:w w:val="97"/>
              </w:rPr>
              <w:t>Other Media</w:t>
            </w:r>
          </w:p>
        </w:tc>
        <w:tc>
          <w:tcPr>
            <w:tcW w:w="76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11.50%</w:t>
            </w:r>
          </w:p>
        </w:tc>
        <w:tc>
          <w:tcPr>
            <w:tcW w:w="240" w:type="dxa"/>
            <w:vAlign w:val="bottom"/>
          </w:tcPr>
          <w:p>
            <w:pPr>
              <w:spacing w:after="0"/>
              <w:rPr>
                <w:sz w:val="11"/>
                <w:szCs w:val="11"/>
                <w:color w:val="auto"/>
              </w:rPr>
            </w:pPr>
          </w:p>
        </w:tc>
        <w:tc>
          <w:tcPr>
            <w:tcW w:w="940" w:type="dxa"/>
            <w:vAlign w:val="bottom"/>
            <w:gridSpan w:val="2"/>
          </w:tcPr>
          <w:p>
            <w:pPr>
              <w:jc w:val="right"/>
              <w:ind w:right="64"/>
              <w:spacing w:after="0" w:line="138" w:lineRule="exact"/>
              <w:rPr>
                <w:sz w:val="20"/>
                <w:szCs w:val="20"/>
                <w:color w:val="auto"/>
              </w:rPr>
            </w:pPr>
            <w:r>
              <w:rPr>
                <w:rFonts w:ascii="Arial" w:cs="Arial" w:eastAsia="Arial" w:hAnsi="Arial"/>
                <w:sz w:val="10"/>
                <w:szCs w:val="10"/>
                <w:color w:val="auto"/>
              </w:rPr>
              <w:t xml:space="preserve">L+850 </w:t>
            </w:r>
            <w:r>
              <w:rPr>
                <w:rFonts w:ascii="Arial" w:cs="Arial" w:eastAsia="Arial" w:hAnsi="Arial"/>
                <w:sz w:val="15"/>
                <w:szCs w:val="15"/>
                <w:color w:val="auto"/>
                <w:vertAlign w:val="superscript"/>
              </w:rPr>
              <w:t>(8)</w:t>
            </w:r>
          </w:p>
        </w:tc>
        <w:tc>
          <w:tcPr>
            <w:tcW w:w="86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2,230,508</w:t>
            </w: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2,230,508</w:t>
            </w:r>
          </w:p>
        </w:tc>
        <w:tc>
          <w:tcPr>
            <w:tcW w:w="220" w:type="dxa"/>
            <w:vAlign w:val="bottom"/>
          </w:tcPr>
          <w:p>
            <w:pPr>
              <w:spacing w:after="0"/>
              <w:rPr>
                <w:sz w:val="11"/>
                <w:szCs w:val="11"/>
                <w:color w:val="auto"/>
              </w:rPr>
            </w:pPr>
          </w:p>
        </w:tc>
        <w:tc>
          <w:tcPr>
            <w:tcW w:w="800" w:type="dxa"/>
            <w:vAlign w:val="bottom"/>
          </w:tcPr>
          <w:p>
            <w:pPr>
              <w:jc w:val="right"/>
              <w:spacing w:after="0" w:line="138" w:lineRule="exact"/>
              <w:rPr>
                <w:sz w:val="20"/>
                <w:szCs w:val="20"/>
                <w:color w:val="auto"/>
              </w:rPr>
            </w:pPr>
            <w:r>
              <w:rPr>
                <w:rFonts w:ascii="Arial" w:cs="Arial" w:eastAsia="Arial" w:hAnsi="Arial"/>
                <w:sz w:val="13"/>
                <w:szCs w:val="13"/>
                <w:color w:val="auto"/>
              </w:rPr>
              <w:t>2,002,996</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3"/>
          </w:tcPr>
          <w:p>
            <w:pPr>
              <w:jc w:val="right"/>
              <w:ind w:right="144"/>
              <w:spacing w:after="0"/>
              <w:rPr>
                <w:sz w:val="20"/>
                <w:szCs w:val="20"/>
                <w:color w:val="auto"/>
              </w:rPr>
            </w:pPr>
            <w:r>
              <w:rPr>
                <w:rFonts w:ascii="Arial" w:cs="Arial" w:eastAsia="Arial" w:hAnsi="Arial"/>
                <w:sz w:val="13"/>
                <w:szCs w:val="13"/>
                <w:color w:val="auto"/>
              </w:rPr>
              <w:t>(PIK 11.50%)</w:t>
            </w: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2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Realogy Corp.</w:t>
            </w:r>
          </w:p>
        </w:tc>
        <w:tc>
          <w:tcPr>
            <w:tcW w:w="6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w w:val="92"/>
              </w:rPr>
              <w:t>10/15/2017</w:t>
            </w:r>
          </w:p>
        </w:tc>
        <w:tc>
          <w:tcPr>
            <w:tcW w:w="40" w:type="dxa"/>
            <w:vAlign w:val="bottom"/>
            <w:shd w:val="clear" w:color="auto" w:fill="CCEEFF"/>
          </w:tcPr>
          <w:p>
            <w:pPr>
              <w:spacing w:after="0"/>
              <w:rPr>
                <w:sz w:val="11"/>
                <w:szCs w:val="11"/>
                <w:color w:val="auto"/>
              </w:rPr>
            </w:pPr>
          </w:p>
        </w:tc>
        <w:tc>
          <w:tcPr>
            <w:tcW w:w="1660" w:type="dxa"/>
            <w:vAlign w:val="bottom"/>
            <w:gridSpan w:val="2"/>
            <w:shd w:val="clear" w:color="auto" w:fill="CCEEFF"/>
          </w:tcPr>
          <w:p>
            <w:pPr>
              <w:jc w:val="center"/>
              <w:ind w:right="40"/>
              <w:spacing w:after="0" w:line="138" w:lineRule="exact"/>
              <w:rPr>
                <w:sz w:val="20"/>
                <w:szCs w:val="20"/>
                <w:color w:val="auto"/>
              </w:rPr>
            </w:pPr>
            <w:r>
              <w:rPr>
                <w:rFonts w:ascii="Arial" w:cs="Arial" w:eastAsia="Arial" w:hAnsi="Arial"/>
                <w:sz w:val="13"/>
                <w:szCs w:val="13"/>
                <w:color w:val="auto"/>
                <w:w w:val="94"/>
              </w:rPr>
              <w:t>Buildings and Real</w:t>
            </w: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13.50%</w:t>
            </w:r>
          </w:p>
        </w:tc>
        <w:tc>
          <w:tcPr>
            <w:tcW w:w="2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4"/>
              <w:spacing w:after="0" w:line="138"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w w:val="95"/>
              </w:rPr>
              <w:t>10,000,000</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10,000,000</w:t>
            </w: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10,062,500</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2"/>
              </w:rPr>
              <w:t>Estate</w:t>
            </w: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200" w:type="dxa"/>
            <w:vAlign w:val="bottom"/>
            <w:gridSpan w:val="2"/>
          </w:tcPr>
          <w:p>
            <w:pPr>
              <w:spacing w:after="0" w:line="138" w:lineRule="exact"/>
              <w:rPr>
                <w:sz w:val="20"/>
                <w:szCs w:val="20"/>
                <w:color w:val="auto"/>
              </w:rPr>
            </w:pPr>
            <w:r>
              <w:rPr>
                <w:rFonts w:ascii="Arial" w:cs="Arial" w:eastAsia="Arial" w:hAnsi="Arial"/>
                <w:sz w:val="13"/>
                <w:szCs w:val="13"/>
                <w:color w:val="auto"/>
              </w:rPr>
              <w:t>ROC Finance LLC and ROC Finance 1 Corp.</w:t>
            </w:r>
          </w:p>
        </w:tc>
        <w:tc>
          <w:tcPr>
            <w:tcW w:w="620" w:type="dxa"/>
            <w:vAlign w:val="bottom"/>
          </w:tcPr>
          <w:p>
            <w:pPr>
              <w:spacing w:after="0" w:line="138" w:lineRule="exact"/>
              <w:rPr>
                <w:sz w:val="20"/>
                <w:szCs w:val="20"/>
                <w:color w:val="auto"/>
              </w:rPr>
            </w:pPr>
            <w:r>
              <w:rPr>
                <w:rFonts w:ascii="Arial" w:cs="Arial" w:eastAsia="Arial" w:hAnsi="Arial"/>
                <w:sz w:val="13"/>
                <w:szCs w:val="13"/>
                <w:color w:val="auto"/>
                <w:w w:val="92"/>
              </w:rPr>
              <w:t>09/01/2018</w:t>
            </w:r>
          </w:p>
        </w:tc>
        <w:tc>
          <w:tcPr>
            <w:tcW w:w="40" w:type="dxa"/>
            <w:vAlign w:val="bottom"/>
          </w:tcPr>
          <w:p>
            <w:pPr>
              <w:spacing w:after="0"/>
              <w:rPr>
                <w:sz w:val="11"/>
                <w:szCs w:val="11"/>
                <w:color w:val="auto"/>
              </w:rPr>
            </w:pPr>
          </w:p>
        </w:tc>
        <w:tc>
          <w:tcPr>
            <w:tcW w:w="1660" w:type="dxa"/>
            <w:vAlign w:val="bottom"/>
            <w:gridSpan w:val="2"/>
          </w:tcPr>
          <w:p>
            <w:pPr>
              <w:jc w:val="center"/>
              <w:ind w:right="40"/>
              <w:spacing w:after="0" w:line="138" w:lineRule="exact"/>
              <w:rPr>
                <w:sz w:val="20"/>
                <w:szCs w:val="20"/>
                <w:color w:val="auto"/>
              </w:rPr>
            </w:pPr>
            <w:r>
              <w:rPr>
                <w:rFonts w:ascii="Arial" w:cs="Arial" w:eastAsia="Arial" w:hAnsi="Arial"/>
                <w:sz w:val="13"/>
                <w:szCs w:val="13"/>
                <w:color w:val="auto"/>
                <w:w w:val="95"/>
              </w:rPr>
              <w:t>Hotels, Motels,</w:t>
            </w:r>
          </w:p>
        </w:tc>
        <w:tc>
          <w:tcPr>
            <w:tcW w:w="76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12.13%</w:t>
            </w:r>
          </w:p>
        </w:tc>
        <w:tc>
          <w:tcPr>
            <w:tcW w:w="240" w:type="dxa"/>
            <w:vAlign w:val="bottom"/>
          </w:tcPr>
          <w:p>
            <w:pPr>
              <w:spacing w:after="0"/>
              <w:rPr>
                <w:sz w:val="11"/>
                <w:szCs w:val="11"/>
                <w:color w:val="auto"/>
              </w:rPr>
            </w:pPr>
          </w:p>
        </w:tc>
        <w:tc>
          <w:tcPr>
            <w:tcW w:w="940" w:type="dxa"/>
            <w:vAlign w:val="bottom"/>
            <w:gridSpan w:val="2"/>
          </w:tcPr>
          <w:p>
            <w:pPr>
              <w:jc w:val="right"/>
              <w:ind w:right="264"/>
              <w:spacing w:after="0" w:line="138"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w w:val="95"/>
              </w:rPr>
              <w:t>16,000,000</w:t>
            </w: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15,752,822</w:t>
            </w:r>
          </w:p>
        </w:tc>
        <w:tc>
          <w:tcPr>
            <w:tcW w:w="220" w:type="dxa"/>
            <w:vAlign w:val="bottom"/>
          </w:tcPr>
          <w:p>
            <w:pPr>
              <w:spacing w:after="0"/>
              <w:rPr>
                <w:sz w:val="11"/>
                <w:szCs w:val="11"/>
                <w:color w:val="auto"/>
              </w:rPr>
            </w:pPr>
          </w:p>
        </w:tc>
        <w:tc>
          <w:tcPr>
            <w:tcW w:w="800" w:type="dxa"/>
            <w:vAlign w:val="bottom"/>
          </w:tcPr>
          <w:p>
            <w:pPr>
              <w:jc w:val="right"/>
              <w:spacing w:after="0" w:line="138" w:lineRule="exact"/>
              <w:rPr>
                <w:sz w:val="20"/>
                <w:szCs w:val="20"/>
                <w:color w:val="auto"/>
              </w:rPr>
            </w:pPr>
            <w:r>
              <w:rPr>
                <w:rFonts w:ascii="Arial" w:cs="Arial" w:eastAsia="Arial" w:hAnsi="Arial"/>
                <w:sz w:val="13"/>
                <w:szCs w:val="13"/>
                <w:color w:val="auto"/>
              </w:rPr>
              <w:t>18,560,000</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60" w:type="dxa"/>
            <w:vAlign w:val="bottom"/>
            <w:gridSpan w:val="2"/>
          </w:tcPr>
          <w:p>
            <w:pPr>
              <w:jc w:val="center"/>
              <w:ind w:right="40"/>
              <w:spacing w:after="0"/>
              <w:rPr>
                <w:sz w:val="20"/>
                <w:szCs w:val="20"/>
                <w:color w:val="auto"/>
              </w:rPr>
            </w:pPr>
            <w:r>
              <w:rPr>
                <w:rFonts w:ascii="Arial" w:cs="Arial" w:eastAsia="Arial" w:hAnsi="Arial"/>
                <w:sz w:val="13"/>
                <w:szCs w:val="13"/>
                <w:color w:val="auto"/>
                <w:w w:val="94"/>
              </w:rPr>
              <w:t>Inns and Gaming</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TransFirst Holdings, Inc.</w:t>
            </w:r>
          </w:p>
        </w:tc>
        <w:tc>
          <w:tcPr>
            <w:tcW w:w="620" w:type="dxa"/>
            <w:vAlign w:val="bottom"/>
            <w:shd w:val="clear" w:color="auto" w:fill="CCEEFF"/>
          </w:tcPr>
          <w:p>
            <w:pPr>
              <w:spacing w:after="0"/>
              <w:rPr>
                <w:sz w:val="20"/>
                <w:szCs w:val="20"/>
                <w:color w:val="auto"/>
              </w:rPr>
            </w:pPr>
            <w:r>
              <w:rPr>
                <w:rFonts w:ascii="Arial" w:cs="Arial" w:eastAsia="Arial" w:hAnsi="Arial"/>
                <w:sz w:val="13"/>
                <w:szCs w:val="13"/>
                <w:color w:val="auto"/>
                <w:w w:val="92"/>
              </w:rPr>
              <w:t>06/15/2015</w:t>
            </w:r>
          </w:p>
        </w:tc>
        <w:tc>
          <w:tcPr>
            <w:tcW w:w="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2"/>
              </w:rPr>
              <w:t>Financial Services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6.22%</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4"/>
              <w:spacing w:after="0"/>
              <w:rPr>
                <w:sz w:val="20"/>
                <w:szCs w:val="20"/>
                <w:color w:val="auto"/>
              </w:rPr>
            </w:pPr>
            <w:r>
              <w:rPr>
                <w:rFonts w:ascii="Arial" w:cs="Arial" w:eastAsia="Arial" w:hAnsi="Arial"/>
                <w:sz w:val="13"/>
                <w:szCs w:val="13"/>
                <w:color w:val="auto"/>
              </w:rPr>
              <w:t>L+600</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7,811,488</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7,511,344</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7,411,149</w:t>
            </w:r>
          </w:p>
        </w:tc>
        <w:tc>
          <w:tcPr>
            <w:tcW w:w="0" w:type="dxa"/>
            <w:vAlign w:val="bottom"/>
          </w:tcPr>
          <w:p>
            <w:pPr>
              <w:spacing w:after="0"/>
              <w:rPr>
                <w:sz w:val="1"/>
                <w:szCs w:val="1"/>
                <w:color w:val="auto"/>
              </w:rPr>
            </w:pPr>
          </w:p>
        </w:tc>
      </w:tr>
      <w:tr>
        <w:trPr>
          <w:trHeight w:val="163"/>
        </w:trPr>
        <w:tc>
          <w:tcPr>
            <w:tcW w:w="4200" w:type="dxa"/>
            <w:vAlign w:val="bottom"/>
            <w:gridSpan w:val="2"/>
          </w:tcPr>
          <w:p>
            <w:pPr>
              <w:spacing w:after="0"/>
              <w:rPr>
                <w:sz w:val="20"/>
                <w:szCs w:val="20"/>
                <w:color w:val="auto"/>
              </w:rPr>
            </w:pPr>
            <w:r>
              <w:rPr>
                <w:rFonts w:ascii="Arial" w:cs="Arial" w:eastAsia="Arial" w:hAnsi="Arial"/>
                <w:sz w:val="13"/>
                <w:szCs w:val="13"/>
                <w:b w:val="1"/>
                <w:bCs w:val="1"/>
                <w:color w:val="auto"/>
              </w:rPr>
              <w:t>Total Second Lien Secured Debt</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6"/>
              </w:rPr>
              <w:t>188,644,968</w:t>
            </w:r>
          </w:p>
        </w:tc>
        <w:tc>
          <w:tcPr>
            <w:tcW w:w="22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169,366,959</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Subordinated Debt/Corporate Notes—52.4%</w:t>
            </w: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gridSpan w:val="2"/>
          </w:tcPr>
          <w:p>
            <w:pPr>
              <w:spacing w:after="0"/>
              <w:rPr>
                <w:sz w:val="20"/>
                <w:szCs w:val="20"/>
                <w:color w:val="auto"/>
              </w:rPr>
            </w:pPr>
            <w:r>
              <w:rPr>
                <w:rFonts w:ascii="Arial" w:cs="Arial" w:eastAsia="Arial" w:hAnsi="Arial"/>
                <w:sz w:val="13"/>
                <w:szCs w:val="13"/>
                <w:color w:val="auto"/>
              </w:rPr>
              <w:t>Acentia, LLC</w:t>
            </w:r>
          </w:p>
        </w:tc>
        <w:tc>
          <w:tcPr>
            <w:tcW w:w="620" w:type="dxa"/>
            <w:vAlign w:val="bottom"/>
          </w:tcPr>
          <w:p>
            <w:pPr>
              <w:spacing w:after="0"/>
              <w:rPr>
                <w:sz w:val="20"/>
                <w:szCs w:val="20"/>
                <w:color w:val="auto"/>
              </w:rPr>
            </w:pPr>
            <w:r>
              <w:rPr>
                <w:rFonts w:ascii="Arial" w:cs="Arial" w:eastAsia="Arial" w:hAnsi="Arial"/>
                <w:sz w:val="13"/>
                <w:szCs w:val="13"/>
                <w:color w:val="auto"/>
                <w:w w:val="92"/>
              </w:rPr>
              <w:t>10/02/2017</w:t>
            </w:r>
          </w:p>
        </w:tc>
        <w:tc>
          <w:tcPr>
            <w:tcW w:w="40" w:type="dxa"/>
            <w:vAlign w:val="bottom"/>
          </w:tcPr>
          <w:p>
            <w:pPr>
              <w:spacing w:after="0"/>
              <w:rPr>
                <w:sz w:val="12"/>
                <w:szCs w:val="12"/>
                <w:color w:val="auto"/>
              </w:rPr>
            </w:pPr>
          </w:p>
        </w:tc>
        <w:tc>
          <w:tcPr>
            <w:tcW w:w="1660" w:type="dxa"/>
            <w:vAlign w:val="bottom"/>
            <w:gridSpan w:val="2"/>
          </w:tcPr>
          <w:p>
            <w:pPr>
              <w:jc w:val="center"/>
              <w:ind w:right="40"/>
              <w:spacing w:after="0"/>
              <w:rPr>
                <w:sz w:val="20"/>
                <w:szCs w:val="20"/>
                <w:color w:val="auto"/>
              </w:rPr>
            </w:pPr>
            <w:r>
              <w:rPr>
                <w:rFonts w:ascii="Arial" w:cs="Arial" w:eastAsia="Arial" w:hAnsi="Arial"/>
                <w:sz w:val="13"/>
                <w:szCs w:val="13"/>
                <w:color w:val="auto"/>
                <w:w w:val="97"/>
              </w:rPr>
              <w:t>Electronics</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13.75%</w:t>
            </w:r>
          </w:p>
        </w:tc>
        <w:tc>
          <w:tcPr>
            <w:tcW w:w="240" w:type="dxa"/>
            <w:vAlign w:val="bottom"/>
          </w:tcPr>
          <w:p>
            <w:pPr>
              <w:spacing w:after="0"/>
              <w:rPr>
                <w:sz w:val="12"/>
                <w:szCs w:val="12"/>
                <w:color w:val="auto"/>
              </w:rPr>
            </w:pPr>
          </w:p>
        </w:tc>
        <w:tc>
          <w:tcPr>
            <w:tcW w:w="940" w:type="dxa"/>
            <w:vAlign w:val="bottom"/>
            <w:gridSpan w:val="2"/>
          </w:tcPr>
          <w:p>
            <w:pPr>
              <w:jc w:val="right"/>
              <w:ind w:right="264"/>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w w:val="95"/>
              </w:rPr>
              <w:t>19,000,000</w:t>
            </w:r>
          </w:p>
        </w:tc>
        <w:tc>
          <w:tcPr>
            <w:tcW w:w="720" w:type="dxa"/>
            <w:vAlign w:val="bottom"/>
          </w:tcPr>
          <w:p>
            <w:pPr>
              <w:jc w:val="right"/>
              <w:spacing w:after="0"/>
              <w:rPr>
                <w:sz w:val="20"/>
                <w:szCs w:val="20"/>
                <w:color w:val="auto"/>
              </w:rPr>
            </w:pPr>
            <w:r>
              <w:rPr>
                <w:rFonts w:ascii="Arial" w:cs="Arial" w:eastAsia="Arial" w:hAnsi="Arial"/>
                <w:sz w:val="13"/>
                <w:szCs w:val="13"/>
                <w:color w:val="auto"/>
              </w:rPr>
              <w:t>18,563,943</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19,000,000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Affinion Group Holdings, Inc.</w:t>
            </w:r>
          </w:p>
        </w:tc>
        <w:tc>
          <w:tcPr>
            <w:tcW w:w="620" w:type="dxa"/>
            <w:vAlign w:val="bottom"/>
            <w:shd w:val="clear" w:color="auto" w:fill="CCEEFF"/>
          </w:tcPr>
          <w:p>
            <w:pPr>
              <w:ind w:left="20"/>
              <w:spacing w:after="0"/>
              <w:rPr>
                <w:sz w:val="20"/>
                <w:szCs w:val="20"/>
                <w:color w:val="auto"/>
              </w:rPr>
            </w:pPr>
            <w:r>
              <w:rPr>
                <w:rFonts w:ascii="Arial" w:cs="Arial" w:eastAsia="Arial" w:hAnsi="Arial"/>
                <w:sz w:val="13"/>
                <w:szCs w:val="13"/>
                <w:color w:val="auto"/>
                <w:w w:val="89"/>
              </w:rPr>
              <w:t>11/15/2015</w:t>
            </w:r>
          </w:p>
        </w:tc>
        <w:tc>
          <w:tcPr>
            <w:tcW w:w="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2"/>
              </w:rPr>
              <w:t>Consumer Products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11.63%</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4"/>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5"/>
              </w:rPr>
              <w:t>35,552,000</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34,172,451</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24,175,360</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gridSpan w:val="2"/>
          </w:tcPr>
          <w:p>
            <w:pPr>
              <w:spacing w:after="0"/>
              <w:rPr>
                <w:sz w:val="20"/>
                <w:szCs w:val="20"/>
                <w:color w:val="auto"/>
              </w:rPr>
            </w:pPr>
            <w:r>
              <w:rPr>
                <w:rFonts w:ascii="Arial" w:cs="Arial" w:eastAsia="Arial" w:hAnsi="Arial"/>
                <w:sz w:val="13"/>
                <w:szCs w:val="13"/>
                <w:color w:val="auto"/>
              </w:rPr>
              <w:t>Alegeus Technologies, LLC</w:t>
            </w:r>
          </w:p>
        </w:tc>
        <w:tc>
          <w:tcPr>
            <w:tcW w:w="620" w:type="dxa"/>
            <w:vAlign w:val="bottom"/>
          </w:tcPr>
          <w:p>
            <w:pPr>
              <w:spacing w:after="0"/>
              <w:rPr>
                <w:sz w:val="20"/>
                <w:szCs w:val="20"/>
                <w:color w:val="auto"/>
              </w:rPr>
            </w:pPr>
            <w:r>
              <w:rPr>
                <w:rFonts w:ascii="Arial" w:cs="Arial" w:eastAsia="Arial" w:hAnsi="Arial"/>
                <w:sz w:val="13"/>
                <w:szCs w:val="13"/>
                <w:color w:val="auto"/>
                <w:w w:val="92"/>
              </w:rPr>
              <w:t>02/15/2019</w:t>
            </w:r>
          </w:p>
        </w:tc>
        <w:tc>
          <w:tcPr>
            <w:tcW w:w="40" w:type="dxa"/>
            <w:vAlign w:val="bottom"/>
          </w:tcPr>
          <w:p>
            <w:pPr>
              <w:spacing w:after="0"/>
              <w:rPr>
                <w:sz w:val="12"/>
                <w:szCs w:val="12"/>
                <w:color w:val="auto"/>
              </w:rPr>
            </w:pPr>
          </w:p>
        </w:tc>
        <w:tc>
          <w:tcPr>
            <w:tcW w:w="1660" w:type="dxa"/>
            <w:vAlign w:val="bottom"/>
            <w:gridSpan w:val="2"/>
          </w:tcPr>
          <w:p>
            <w:pPr>
              <w:jc w:val="center"/>
              <w:ind w:right="40"/>
              <w:spacing w:after="0"/>
              <w:rPr>
                <w:sz w:val="20"/>
                <w:szCs w:val="20"/>
                <w:color w:val="auto"/>
              </w:rPr>
            </w:pPr>
            <w:r>
              <w:rPr>
                <w:rFonts w:ascii="Arial" w:cs="Arial" w:eastAsia="Arial" w:hAnsi="Arial"/>
                <w:sz w:val="13"/>
                <w:szCs w:val="13"/>
                <w:color w:val="auto"/>
                <w:w w:val="92"/>
              </w:rPr>
              <w:t>Financial Services</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12.00%</w:t>
            </w:r>
          </w:p>
        </w:tc>
        <w:tc>
          <w:tcPr>
            <w:tcW w:w="240" w:type="dxa"/>
            <w:vAlign w:val="bottom"/>
          </w:tcPr>
          <w:p>
            <w:pPr>
              <w:spacing w:after="0"/>
              <w:rPr>
                <w:sz w:val="12"/>
                <w:szCs w:val="12"/>
                <w:color w:val="auto"/>
              </w:rPr>
            </w:pPr>
          </w:p>
        </w:tc>
        <w:tc>
          <w:tcPr>
            <w:tcW w:w="940" w:type="dxa"/>
            <w:vAlign w:val="bottom"/>
            <w:gridSpan w:val="2"/>
          </w:tcPr>
          <w:p>
            <w:pPr>
              <w:jc w:val="right"/>
              <w:ind w:right="264"/>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8,930,000</w:t>
            </w:r>
          </w:p>
        </w:tc>
        <w:tc>
          <w:tcPr>
            <w:tcW w:w="720" w:type="dxa"/>
            <w:vAlign w:val="bottom"/>
          </w:tcPr>
          <w:p>
            <w:pPr>
              <w:jc w:val="right"/>
              <w:spacing w:after="0"/>
              <w:rPr>
                <w:sz w:val="20"/>
                <w:szCs w:val="20"/>
                <w:color w:val="auto"/>
              </w:rPr>
            </w:pPr>
            <w:r>
              <w:rPr>
                <w:rFonts w:ascii="Arial" w:cs="Arial" w:eastAsia="Arial" w:hAnsi="Arial"/>
                <w:sz w:val="13"/>
                <w:szCs w:val="13"/>
                <w:color w:val="auto"/>
              </w:rPr>
              <w:t>8,754,461</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8,930,000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2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Convergint Technologies LLC</w:t>
            </w:r>
          </w:p>
        </w:tc>
        <w:tc>
          <w:tcPr>
            <w:tcW w:w="6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w w:val="92"/>
              </w:rPr>
              <w:t>03/26/2018</w:t>
            </w:r>
          </w:p>
        </w:tc>
        <w:tc>
          <w:tcPr>
            <w:tcW w:w="40" w:type="dxa"/>
            <w:vAlign w:val="bottom"/>
            <w:shd w:val="clear" w:color="auto" w:fill="CCEEFF"/>
          </w:tcPr>
          <w:p>
            <w:pPr>
              <w:spacing w:after="0"/>
              <w:rPr>
                <w:sz w:val="11"/>
                <w:szCs w:val="11"/>
                <w:color w:val="auto"/>
              </w:rPr>
            </w:pPr>
          </w:p>
        </w:tc>
        <w:tc>
          <w:tcPr>
            <w:tcW w:w="1660" w:type="dxa"/>
            <w:vAlign w:val="bottom"/>
            <w:gridSpan w:val="2"/>
            <w:shd w:val="clear" w:color="auto" w:fill="CCEEFF"/>
          </w:tcPr>
          <w:p>
            <w:pPr>
              <w:jc w:val="center"/>
              <w:ind w:right="40"/>
              <w:spacing w:after="0" w:line="138" w:lineRule="exact"/>
              <w:rPr>
                <w:sz w:val="20"/>
                <w:szCs w:val="20"/>
                <w:color w:val="auto"/>
              </w:rPr>
            </w:pPr>
            <w:r>
              <w:rPr>
                <w:rFonts w:ascii="Arial" w:cs="Arial" w:eastAsia="Arial" w:hAnsi="Arial"/>
                <w:sz w:val="13"/>
                <w:szCs w:val="13"/>
                <w:color w:val="auto"/>
                <w:w w:val="97"/>
              </w:rPr>
              <w:t>Electronics</w:t>
            </w: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12.00%</w:t>
            </w:r>
          </w:p>
        </w:tc>
        <w:tc>
          <w:tcPr>
            <w:tcW w:w="2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4"/>
              <w:spacing w:after="0" w:line="138"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w w:val="95"/>
              </w:rPr>
              <w:t>23,277,586</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22,812,086</w:t>
            </w: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22,812,034</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144"/>
              <w:spacing w:after="0"/>
              <w:rPr>
                <w:sz w:val="20"/>
                <w:szCs w:val="20"/>
                <w:color w:val="auto"/>
              </w:rPr>
            </w:pPr>
            <w:r>
              <w:rPr>
                <w:rFonts w:ascii="Arial" w:cs="Arial" w:eastAsia="Arial" w:hAnsi="Arial"/>
                <w:sz w:val="13"/>
                <w:szCs w:val="13"/>
                <w:color w:val="auto"/>
              </w:rPr>
              <w:t>(PIK 1.00%)</w:t>
            </w: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200" w:type="dxa"/>
            <w:vAlign w:val="bottom"/>
            <w:gridSpan w:val="2"/>
          </w:tcPr>
          <w:p>
            <w:pPr>
              <w:spacing w:after="0" w:line="138" w:lineRule="exact"/>
              <w:rPr>
                <w:sz w:val="20"/>
                <w:szCs w:val="20"/>
                <w:color w:val="auto"/>
              </w:rPr>
            </w:pPr>
            <w:r>
              <w:rPr>
                <w:rFonts w:ascii="Arial" w:cs="Arial" w:eastAsia="Arial" w:hAnsi="Arial"/>
                <w:sz w:val="13"/>
                <w:szCs w:val="13"/>
                <w:color w:val="auto"/>
              </w:rPr>
              <w:t>Diversitech Corporation</w:t>
            </w:r>
          </w:p>
        </w:tc>
        <w:tc>
          <w:tcPr>
            <w:tcW w:w="620" w:type="dxa"/>
            <w:vAlign w:val="bottom"/>
          </w:tcPr>
          <w:p>
            <w:pPr>
              <w:spacing w:after="0" w:line="138" w:lineRule="exact"/>
              <w:rPr>
                <w:sz w:val="20"/>
                <w:szCs w:val="20"/>
                <w:color w:val="auto"/>
              </w:rPr>
            </w:pPr>
            <w:r>
              <w:rPr>
                <w:rFonts w:ascii="Arial" w:cs="Arial" w:eastAsia="Arial" w:hAnsi="Arial"/>
                <w:sz w:val="13"/>
                <w:szCs w:val="13"/>
                <w:color w:val="auto"/>
                <w:w w:val="92"/>
              </w:rPr>
              <w:t>01/29/2017</w:t>
            </w:r>
          </w:p>
        </w:tc>
        <w:tc>
          <w:tcPr>
            <w:tcW w:w="40" w:type="dxa"/>
            <w:vAlign w:val="bottom"/>
          </w:tcPr>
          <w:p>
            <w:pPr>
              <w:spacing w:after="0"/>
              <w:rPr>
                <w:sz w:val="11"/>
                <w:szCs w:val="11"/>
                <w:color w:val="auto"/>
              </w:rPr>
            </w:pPr>
          </w:p>
        </w:tc>
        <w:tc>
          <w:tcPr>
            <w:tcW w:w="1660" w:type="dxa"/>
            <w:vAlign w:val="bottom"/>
            <w:gridSpan w:val="2"/>
          </w:tcPr>
          <w:p>
            <w:pPr>
              <w:jc w:val="center"/>
              <w:ind w:right="20"/>
              <w:spacing w:after="0" w:line="138" w:lineRule="exact"/>
              <w:rPr>
                <w:sz w:val="20"/>
                <w:szCs w:val="20"/>
                <w:color w:val="auto"/>
              </w:rPr>
            </w:pPr>
            <w:r>
              <w:rPr>
                <w:rFonts w:ascii="Arial" w:cs="Arial" w:eastAsia="Arial" w:hAnsi="Arial"/>
                <w:sz w:val="13"/>
                <w:szCs w:val="13"/>
                <w:color w:val="auto"/>
                <w:w w:val="97"/>
              </w:rPr>
              <w:t>Manufacturing/</w:t>
            </w:r>
          </w:p>
        </w:tc>
        <w:tc>
          <w:tcPr>
            <w:tcW w:w="76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13.50%</w:t>
            </w:r>
          </w:p>
        </w:tc>
        <w:tc>
          <w:tcPr>
            <w:tcW w:w="240" w:type="dxa"/>
            <w:vAlign w:val="bottom"/>
          </w:tcPr>
          <w:p>
            <w:pPr>
              <w:jc w:val="right"/>
              <w:ind w:right="24"/>
              <w:spacing w:after="0"/>
              <w:rPr>
                <w:sz w:val="20"/>
                <w:szCs w:val="20"/>
                <w:color w:val="auto"/>
              </w:rPr>
            </w:pPr>
            <w:r>
              <w:rPr>
                <w:rFonts w:ascii="Arial" w:cs="Arial" w:eastAsia="Arial" w:hAnsi="Arial"/>
                <w:sz w:val="11"/>
                <w:szCs w:val="11"/>
                <w:color w:val="auto"/>
              </w:rPr>
              <w:t>(7)</w:t>
            </w:r>
          </w:p>
        </w:tc>
        <w:tc>
          <w:tcPr>
            <w:tcW w:w="940" w:type="dxa"/>
            <w:vAlign w:val="bottom"/>
            <w:gridSpan w:val="2"/>
          </w:tcPr>
          <w:p>
            <w:pPr>
              <w:jc w:val="right"/>
              <w:ind w:right="264"/>
              <w:spacing w:after="0" w:line="138"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w w:val="95"/>
              </w:rPr>
              <w:t>11,000,000</w:t>
            </w: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10,836,901</w:t>
            </w:r>
          </w:p>
        </w:tc>
        <w:tc>
          <w:tcPr>
            <w:tcW w:w="220" w:type="dxa"/>
            <w:vAlign w:val="bottom"/>
          </w:tcPr>
          <w:p>
            <w:pPr>
              <w:spacing w:after="0"/>
              <w:rPr>
                <w:sz w:val="11"/>
                <w:szCs w:val="11"/>
                <w:color w:val="auto"/>
              </w:rPr>
            </w:pPr>
          </w:p>
        </w:tc>
        <w:tc>
          <w:tcPr>
            <w:tcW w:w="980" w:type="dxa"/>
            <w:vAlign w:val="bottom"/>
            <w:gridSpan w:val="2"/>
          </w:tcPr>
          <w:p>
            <w:pPr>
              <w:jc w:val="right"/>
              <w:ind w:right="180"/>
              <w:spacing w:after="0" w:line="138" w:lineRule="exact"/>
              <w:rPr>
                <w:sz w:val="20"/>
                <w:szCs w:val="20"/>
                <w:color w:val="auto"/>
              </w:rPr>
            </w:pPr>
            <w:r>
              <w:rPr>
                <w:rFonts w:ascii="Arial" w:cs="Arial" w:eastAsia="Arial" w:hAnsi="Arial"/>
                <w:sz w:val="13"/>
                <w:szCs w:val="13"/>
                <w:color w:val="auto"/>
              </w:rPr>
              <w:t>11,275,000</w:t>
            </w: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6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Basic Industry</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2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Escort, Inc.</w:t>
            </w:r>
          </w:p>
        </w:tc>
        <w:tc>
          <w:tcPr>
            <w:tcW w:w="6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w w:val="92"/>
              </w:rPr>
              <w:t>06/01/2016</w:t>
            </w:r>
          </w:p>
        </w:tc>
        <w:tc>
          <w:tcPr>
            <w:tcW w:w="40" w:type="dxa"/>
            <w:vAlign w:val="bottom"/>
            <w:shd w:val="clear" w:color="auto" w:fill="CCEEFF"/>
          </w:tcPr>
          <w:p>
            <w:pPr>
              <w:spacing w:after="0"/>
              <w:rPr>
                <w:sz w:val="11"/>
                <w:szCs w:val="11"/>
                <w:color w:val="auto"/>
              </w:rPr>
            </w:pPr>
          </w:p>
        </w:tc>
        <w:tc>
          <w:tcPr>
            <w:tcW w:w="1660" w:type="dxa"/>
            <w:vAlign w:val="bottom"/>
            <w:gridSpan w:val="2"/>
            <w:shd w:val="clear" w:color="auto" w:fill="CCEEFF"/>
          </w:tcPr>
          <w:p>
            <w:pPr>
              <w:jc w:val="center"/>
              <w:ind w:right="40"/>
              <w:spacing w:after="0" w:line="138" w:lineRule="exact"/>
              <w:rPr>
                <w:sz w:val="20"/>
                <w:szCs w:val="20"/>
                <w:color w:val="auto"/>
              </w:rPr>
            </w:pPr>
            <w:r>
              <w:rPr>
                <w:rFonts w:ascii="Arial" w:cs="Arial" w:eastAsia="Arial" w:hAnsi="Arial"/>
                <w:sz w:val="13"/>
                <w:szCs w:val="13"/>
                <w:color w:val="auto"/>
                <w:w w:val="97"/>
              </w:rPr>
              <w:t>Electronics</w:t>
            </w: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14.75%</w:t>
            </w:r>
          </w:p>
        </w:tc>
        <w:tc>
          <w:tcPr>
            <w:tcW w:w="2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4"/>
              <w:spacing w:after="0" w:line="138"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w w:val="95"/>
              </w:rPr>
              <w:t>25,254,035</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24,751,548</w:t>
            </w: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25,254,035</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144"/>
              <w:spacing w:after="0"/>
              <w:rPr>
                <w:sz w:val="20"/>
                <w:szCs w:val="20"/>
                <w:color w:val="auto"/>
              </w:rPr>
            </w:pPr>
            <w:r>
              <w:rPr>
                <w:rFonts w:ascii="Arial" w:cs="Arial" w:eastAsia="Arial" w:hAnsi="Arial"/>
                <w:sz w:val="13"/>
                <w:szCs w:val="13"/>
                <w:color w:val="auto"/>
              </w:rPr>
              <w:t>(PIK 2.75%)</w:t>
            </w: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200" w:type="dxa"/>
            <w:vAlign w:val="bottom"/>
            <w:gridSpan w:val="2"/>
          </w:tcPr>
          <w:p>
            <w:pPr>
              <w:spacing w:after="0" w:line="138" w:lineRule="exact"/>
              <w:rPr>
                <w:sz w:val="20"/>
                <w:szCs w:val="20"/>
                <w:color w:val="auto"/>
              </w:rPr>
            </w:pPr>
            <w:r>
              <w:rPr>
                <w:rFonts w:ascii="Arial" w:cs="Arial" w:eastAsia="Arial" w:hAnsi="Arial"/>
                <w:sz w:val="13"/>
                <w:szCs w:val="13"/>
                <w:color w:val="auto"/>
              </w:rPr>
              <w:t>Galls, LLC; Quartermaster Inc.</w:t>
            </w:r>
          </w:p>
        </w:tc>
        <w:tc>
          <w:tcPr>
            <w:tcW w:w="620" w:type="dxa"/>
            <w:vAlign w:val="bottom"/>
          </w:tcPr>
          <w:p>
            <w:pPr>
              <w:spacing w:after="0" w:line="138" w:lineRule="exact"/>
              <w:rPr>
                <w:sz w:val="20"/>
                <w:szCs w:val="20"/>
                <w:color w:val="auto"/>
              </w:rPr>
            </w:pPr>
            <w:r>
              <w:rPr>
                <w:rFonts w:ascii="Arial" w:cs="Arial" w:eastAsia="Arial" w:hAnsi="Arial"/>
                <w:sz w:val="13"/>
                <w:szCs w:val="13"/>
                <w:color w:val="auto"/>
                <w:w w:val="92"/>
              </w:rPr>
              <w:t>03/31/2017</w:t>
            </w:r>
          </w:p>
        </w:tc>
        <w:tc>
          <w:tcPr>
            <w:tcW w:w="40" w:type="dxa"/>
            <w:vAlign w:val="bottom"/>
          </w:tcPr>
          <w:p>
            <w:pPr>
              <w:spacing w:after="0"/>
              <w:rPr>
                <w:sz w:val="11"/>
                <w:szCs w:val="11"/>
                <w:color w:val="auto"/>
              </w:rPr>
            </w:pPr>
          </w:p>
        </w:tc>
        <w:tc>
          <w:tcPr>
            <w:tcW w:w="1660" w:type="dxa"/>
            <w:vAlign w:val="bottom"/>
            <w:gridSpan w:val="2"/>
          </w:tcPr>
          <w:p>
            <w:pPr>
              <w:jc w:val="center"/>
              <w:ind w:right="40"/>
              <w:spacing w:after="0" w:line="138" w:lineRule="exact"/>
              <w:rPr>
                <w:sz w:val="20"/>
                <w:szCs w:val="20"/>
                <w:color w:val="auto"/>
              </w:rPr>
            </w:pPr>
            <w:r>
              <w:rPr>
                <w:rFonts w:ascii="Arial" w:cs="Arial" w:eastAsia="Arial" w:hAnsi="Arial"/>
                <w:sz w:val="13"/>
                <w:szCs w:val="13"/>
                <w:color w:val="auto"/>
              </w:rPr>
              <w:t>Distribution</w:t>
            </w:r>
          </w:p>
        </w:tc>
        <w:tc>
          <w:tcPr>
            <w:tcW w:w="76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13.00%</w:t>
            </w:r>
          </w:p>
        </w:tc>
        <w:tc>
          <w:tcPr>
            <w:tcW w:w="240" w:type="dxa"/>
            <w:vAlign w:val="bottom"/>
          </w:tcPr>
          <w:p>
            <w:pPr>
              <w:spacing w:after="0"/>
              <w:rPr>
                <w:sz w:val="11"/>
                <w:szCs w:val="11"/>
                <w:color w:val="auto"/>
              </w:rPr>
            </w:pPr>
          </w:p>
        </w:tc>
        <w:tc>
          <w:tcPr>
            <w:tcW w:w="940" w:type="dxa"/>
            <w:vAlign w:val="bottom"/>
            <w:gridSpan w:val="2"/>
          </w:tcPr>
          <w:p>
            <w:pPr>
              <w:jc w:val="right"/>
              <w:ind w:right="264"/>
              <w:spacing w:after="0" w:line="138"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w w:val="95"/>
              </w:rPr>
              <w:t>21,797,263</w:t>
            </w: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21,399,764</w:t>
            </w:r>
          </w:p>
        </w:tc>
        <w:tc>
          <w:tcPr>
            <w:tcW w:w="220" w:type="dxa"/>
            <w:vAlign w:val="bottom"/>
          </w:tcPr>
          <w:p>
            <w:pPr>
              <w:spacing w:after="0"/>
              <w:rPr>
                <w:sz w:val="11"/>
                <w:szCs w:val="11"/>
                <w:color w:val="auto"/>
              </w:rPr>
            </w:pPr>
          </w:p>
        </w:tc>
        <w:tc>
          <w:tcPr>
            <w:tcW w:w="800" w:type="dxa"/>
            <w:vAlign w:val="bottom"/>
          </w:tcPr>
          <w:p>
            <w:pPr>
              <w:jc w:val="right"/>
              <w:spacing w:after="0" w:line="138" w:lineRule="exact"/>
              <w:rPr>
                <w:sz w:val="20"/>
                <w:szCs w:val="20"/>
                <w:color w:val="auto"/>
              </w:rPr>
            </w:pPr>
            <w:r>
              <w:rPr>
                <w:rFonts w:ascii="Arial" w:cs="Arial" w:eastAsia="Arial" w:hAnsi="Arial"/>
                <w:sz w:val="13"/>
                <w:szCs w:val="13"/>
                <w:color w:val="auto"/>
              </w:rPr>
              <w:t>21,906,249</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3"/>
          </w:tcPr>
          <w:p>
            <w:pPr>
              <w:jc w:val="right"/>
              <w:ind w:right="144"/>
              <w:spacing w:after="0"/>
              <w:rPr>
                <w:sz w:val="20"/>
                <w:szCs w:val="20"/>
                <w:color w:val="auto"/>
              </w:rPr>
            </w:pPr>
            <w:r>
              <w:rPr>
                <w:rFonts w:ascii="Arial" w:cs="Arial" w:eastAsia="Arial" w:hAnsi="Arial"/>
                <w:sz w:val="13"/>
                <w:szCs w:val="13"/>
                <w:color w:val="auto"/>
              </w:rPr>
              <w:t>(PIK 2.00%)</w:t>
            </w: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2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JF Acquisition, LLC</w:t>
            </w:r>
          </w:p>
        </w:tc>
        <w:tc>
          <w:tcPr>
            <w:tcW w:w="6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w w:val="92"/>
              </w:rPr>
              <w:t>06/30/2017</w:t>
            </w:r>
          </w:p>
        </w:tc>
        <w:tc>
          <w:tcPr>
            <w:tcW w:w="40" w:type="dxa"/>
            <w:vAlign w:val="bottom"/>
            <w:shd w:val="clear" w:color="auto" w:fill="CCEEFF"/>
          </w:tcPr>
          <w:p>
            <w:pPr>
              <w:spacing w:after="0"/>
              <w:rPr>
                <w:sz w:val="11"/>
                <w:szCs w:val="11"/>
                <w:color w:val="auto"/>
              </w:rPr>
            </w:pPr>
          </w:p>
        </w:tc>
        <w:tc>
          <w:tcPr>
            <w:tcW w:w="1660" w:type="dxa"/>
            <w:vAlign w:val="bottom"/>
            <w:gridSpan w:val="2"/>
            <w:shd w:val="clear" w:color="auto" w:fill="CCEEFF"/>
          </w:tcPr>
          <w:p>
            <w:pPr>
              <w:jc w:val="center"/>
              <w:ind w:right="40"/>
              <w:spacing w:after="0" w:line="138" w:lineRule="exact"/>
              <w:rPr>
                <w:sz w:val="20"/>
                <w:szCs w:val="20"/>
                <w:color w:val="auto"/>
              </w:rPr>
            </w:pPr>
            <w:r>
              <w:rPr>
                <w:rFonts w:ascii="Arial" w:cs="Arial" w:eastAsia="Arial" w:hAnsi="Arial"/>
                <w:sz w:val="13"/>
                <w:szCs w:val="13"/>
                <w:color w:val="auto"/>
              </w:rPr>
              <w:t>Distribution</w:t>
            </w: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14.00%</w:t>
            </w:r>
          </w:p>
        </w:tc>
        <w:tc>
          <w:tcPr>
            <w:tcW w:w="2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4"/>
              <w:spacing w:after="0" w:line="138"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w w:val="95"/>
              </w:rPr>
              <w:t>17,171,374</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16,748,220</w:t>
            </w: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17,377,430</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144"/>
              <w:spacing w:after="0"/>
              <w:rPr>
                <w:sz w:val="20"/>
                <w:szCs w:val="20"/>
                <w:color w:val="auto"/>
              </w:rPr>
            </w:pPr>
            <w:r>
              <w:rPr>
                <w:rFonts w:ascii="Arial" w:cs="Arial" w:eastAsia="Arial" w:hAnsi="Arial"/>
                <w:sz w:val="13"/>
                <w:szCs w:val="13"/>
                <w:color w:val="auto"/>
              </w:rPr>
              <w:t>(PIK 2.00%)</w:t>
            </w: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200" w:type="dxa"/>
            <w:vAlign w:val="bottom"/>
            <w:gridSpan w:val="2"/>
          </w:tcPr>
          <w:p>
            <w:pPr>
              <w:spacing w:after="0" w:line="138" w:lineRule="exact"/>
              <w:rPr>
                <w:sz w:val="20"/>
                <w:szCs w:val="20"/>
                <w:color w:val="auto"/>
              </w:rPr>
            </w:pPr>
            <w:r>
              <w:rPr>
                <w:rFonts w:ascii="Arial" w:cs="Arial" w:eastAsia="Arial" w:hAnsi="Arial"/>
                <w:sz w:val="13"/>
                <w:szCs w:val="13"/>
                <w:color w:val="auto"/>
              </w:rPr>
              <w:t>Last Mile Funding Corp.</w:t>
            </w:r>
          </w:p>
        </w:tc>
        <w:tc>
          <w:tcPr>
            <w:tcW w:w="620" w:type="dxa"/>
            <w:vAlign w:val="bottom"/>
          </w:tcPr>
          <w:p>
            <w:pPr>
              <w:spacing w:after="0" w:line="138" w:lineRule="exact"/>
              <w:rPr>
                <w:sz w:val="20"/>
                <w:szCs w:val="20"/>
                <w:color w:val="auto"/>
              </w:rPr>
            </w:pPr>
            <w:r>
              <w:rPr>
                <w:rFonts w:ascii="Arial" w:cs="Arial" w:eastAsia="Arial" w:hAnsi="Arial"/>
                <w:sz w:val="13"/>
                <w:szCs w:val="13"/>
                <w:color w:val="auto"/>
                <w:w w:val="92"/>
              </w:rPr>
              <w:t>06/30/2016</w:t>
            </w:r>
          </w:p>
        </w:tc>
        <w:tc>
          <w:tcPr>
            <w:tcW w:w="40" w:type="dxa"/>
            <w:vAlign w:val="bottom"/>
          </w:tcPr>
          <w:p>
            <w:pPr>
              <w:spacing w:after="0"/>
              <w:rPr>
                <w:sz w:val="11"/>
                <w:szCs w:val="11"/>
                <w:color w:val="auto"/>
              </w:rPr>
            </w:pPr>
          </w:p>
        </w:tc>
        <w:tc>
          <w:tcPr>
            <w:tcW w:w="1660" w:type="dxa"/>
            <w:vAlign w:val="bottom"/>
            <w:gridSpan w:val="2"/>
          </w:tcPr>
          <w:p>
            <w:pPr>
              <w:jc w:val="center"/>
              <w:ind w:right="20"/>
              <w:spacing w:after="0" w:line="138" w:lineRule="exact"/>
              <w:rPr>
                <w:sz w:val="20"/>
                <w:szCs w:val="20"/>
                <w:color w:val="auto"/>
              </w:rPr>
            </w:pPr>
            <w:r>
              <w:rPr>
                <w:rFonts w:ascii="Arial" w:cs="Arial" w:eastAsia="Arial" w:hAnsi="Arial"/>
                <w:sz w:val="13"/>
                <w:szCs w:val="13"/>
                <w:color w:val="auto"/>
                <w:w w:val="92"/>
              </w:rPr>
              <w:t>Cargo Transport</w:t>
            </w:r>
          </w:p>
        </w:tc>
        <w:tc>
          <w:tcPr>
            <w:tcW w:w="76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14.50%</w:t>
            </w:r>
          </w:p>
        </w:tc>
        <w:tc>
          <w:tcPr>
            <w:tcW w:w="240" w:type="dxa"/>
            <w:vAlign w:val="bottom"/>
          </w:tcPr>
          <w:p>
            <w:pPr>
              <w:spacing w:after="0"/>
              <w:rPr>
                <w:sz w:val="11"/>
                <w:szCs w:val="11"/>
                <w:color w:val="auto"/>
              </w:rPr>
            </w:pPr>
          </w:p>
        </w:tc>
        <w:tc>
          <w:tcPr>
            <w:tcW w:w="940" w:type="dxa"/>
            <w:vAlign w:val="bottom"/>
            <w:gridSpan w:val="2"/>
          </w:tcPr>
          <w:p>
            <w:pPr>
              <w:jc w:val="right"/>
              <w:ind w:right="264"/>
              <w:spacing w:after="0" w:line="138"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w w:val="95"/>
              </w:rPr>
              <w:t>45,597,139</w:t>
            </w: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44,677,474</w:t>
            </w:r>
          </w:p>
        </w:tc>
        <w:tc>
          <w:tcPr>
            <w:tcW w:w="220" w:type="dxa"/>
            <w:vAlign w:val="bottom"/>
          </w:tcPr>
          <w:p>
            <w:pPr>
              <w:spacing w:after="0"/>
              <w:rPr>
                <w:sz w:val="11"/>
                <w:szCs w:val="11"/>
                <w:color w:val="auto"/>
              </w:rPr>
            </w:pPr>
          </w:p>
        </w:tc>
        <w:tc>
          <w:tcPr>
            <w:tcW w:w="800" w:type="dxa"/>
            <w:vAlign w:val="bottom"/>
          </w:tcPr>
          <w:p>
            <w:pPr>
              <w:jc w:val="right"/>
              <w:spacing w:after="0" w:line="138" w:lineRule="exact"/>
              <w:rPr>
                <w:sz w:val="20"/>
                <w:szCs w:val="20"/>
                <w:color w:val="auto"/>
              </w:rPr>
            </w:pPr>
            <w:r>
              <w:rPr>
                <w:rFonts w:ascii="Arial" w:cs="Arial" w:eastAsia="Arial" w:hAnsi="Arial"/>
                <w:sz w:val="13"/>
                <w:szCs w:val="13"/>
                <w:color w:val="auto"/>
              </w:rPr>
              <w:t>45,095,570</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3"/>
          </w:tcPr>
          <w:p>
            <w:pPr>
              <w:jc w:val="right"/>
              <w:ind w:right="144"/>
              <w:spacing w:after="0"/>
              <w:rPr>
                <w:sz w:val="20"/>
                <w:szCs w:val="20"/>
                <w:color w:val="auto"/>
              </w:rPr>
            </w:pPr>
            <w:r>
              <w:rPr>
                <w:rFonts w:ascii="Arial" w:cs="Arial" w:eastAsia="Arial" w:hAnsi="Arial"/>
                <w:sz w:val="13"/>
                <w:szCs w:val="13"/>
                <w:color w:val="auto"/>
              </w:rPr>
              <w:t>(PIK 2.50%)</w:t>
            </w: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2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Learning Care Group (US) Inc.</w:t>
            </w:r>
          </w:p>
        </w:tc>
        <w:tc>
          <w:tcPr>
            <w:tcW w:w="6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w w:val="92"/>
              </w:rPr>
              <w:t>06/30/2016</w:t>
            </w:r>
          </w:p>
        </w:tc>
        <w:tc>
          <w:tcPr>
            <w:tcW w:w="40" w:type="dxa"/>
            <w:vAlign w:val="bottom"/>
            <w:shd w:val="clear" w:color="auto" w:fill="CCEEFF"/>
          </w:tcPr>
          <w:p>
            <w:pPr>
              <w:spacing w:after="0"/>
              <w:rPr>
                <w:sz w:val="11"/>
                <w:szCs w:val="11"/>
                <w:color w:val="auto"/>
              </w:rPr>
            </w:pPr>
          </w:p>
        </w:tc>
        <w:tc>
          <w:tcPr>
            <w:tcW w:w="1660" w:type="dxa"/>
            <w:vAlign w:val="bottom"/>
            <w:gridSpan w:val="2"/>
            <w:shd w:val="clear" w:color="auto" w:fill="CCEEFF"/>
          </w:tcPr>
          <w:p>
            <w:pPr>
              <w:jc w:val="center"/>
              <w:ind w:right="40"/>
              <w:spacing w:after="0" w:line="138" w:lineRule="exact"/>
              <w:rPr>
                <w:sz w:val="20"/>
                <w:szCs w:val="20"/>
                <w:color w:val="auto"/>
              </w:rPr>
            </w:pPr>
            <w:r>
              <w:rPr>
                <w:rFonts w:ascii="Arial" w:cs="Arial" w:eastAsia="Arial" w:hAnsi="Arial"/>
                <w:sz w:val="13"/>
                <w:szCs w:val="13"/>
                <w:color w:val="auto"/>
                <w:w w:val="93"/>
              </w:rPr>
              <w:t>Education</w:t>
            </w: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15.00%</w:t>
            </w:r>
          </w:p>
        </w:tc>
        <w:tc>
          <w:tcPr>
            <w:tcW w:w="2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4"/>
              <w:spacing w:after="0" w:line="138"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5,277,718</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4,696,436</w:t>
            </w: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4,815,918</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144"/>
              <w:spacing w:after="0"/>
              <w:rPr>
                <w:sz w:val="20"/>
                <w:szCs w:val="20"/>
                <w:color w:val="auto"/>
              </w:rPr>
            </w:pPr>
            <w:r>
              <w:rPr>
                <w:rFonts w:ascii="Arial" w:cs="Arial" w:eastAsia="Arial" w:hAnsi="Arial"/>
                <w:sz w:val="13"/>
                <w:szCs w:val="13"/>
                <w:color w:val="auto"/>
              </w:rPr>
              <w:t>(PIK 15.00%)</w:t>
            </w: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200" w:type="dxa"/>
            <w:vAlign w:val="bottom"/>
            <w:gridSpan w:val="2"/>
          </w:tcPr>
          <w:p>
            <w:pPr>
              <w:spacing w:after="0"/>
              <w:rPr>
                <w:sz w:val="20"/>
                <w:szCs w:val="20"/>
                <w:color w:val="auto"/>
              </w:rPr>
            </w:pPr>
            <w:r>
              <w:rPr>
                <w:rFonts w:ascii="Arial" w:cs="Arial" w:eastAsia="Arial" w:hAnsi="Arial"/>
                <w:sz w:val="13"/>
                <w:szCs w:val="13"/>
                <w:color w:val="auto"/>
              </w:rPr>
              <w:t>LTI Flexible Products, Inc.</w:t>
            </w:r>
          </w:p>
        </w:tc>
        <w:tc>
          <w:tcPr>
            <w:tcW w:w="2320" w:type="dxa"/>
            <w:vAlign w:val="bottom"/>
            <w:gridSpan w:val="4"/>
          </w:tcPr>
          <w:p>
            <w:pPr>
              <w:spacing w:after="0"/>
              <w:rPr>
                <w:sz w:val="20"/>
                <w:szCs w:val="20"/>
                <w:color w:val="auto"/>
              </w:rPr>
            </w:pPr>
            <w:r>
              <w:rPr>
                <w:rFonts w:ascii="Arial" w:cs="Arial" w:eastAsia="Arial" w:hAnsi="Arial"/>
                <w:sz w:val="13"/>
                <w:szCs w:val="13"/>
                <w:color w:val="auto"/>
                <w:w w:val="95"/>
              </w:rPr>
              <w:t>01/19/2019 Chemical, Plastic and Rubber</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12.50%</w:t>
            </w:r>
          </w:p>
        </w:tc>
        <w:tc>
          <w:tcPr>
            <w:tcW w:w="240" w:type="dxa"/>
            <w:vAlign w:val="bottom"/>
          </w:tcPr>
          <w:p>
            <w:pPr>
              <w:spacing w:after="0"/>
              <w:rPr>
                <w:sz w:val="12"/>
                <w:szCs w:val="12"/>
                <w:color w:val="auto"/>
              </w:rPr>
            </w:pPr>
          </w:p>
        </w:tc>
        <w:tc>
          <w:tcPr>
            <w:tcW w:w="940" w:type="dxa"/>
            <w:vAlign w:val="bottom"/>
            <w:gridSpan w:val="2"/>
          </w:tcPr>
          <w:p>
            <w:pPr>
              <w:jc w:val="right"/>
              <w:ind w:right="264"/>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w w:val="95"/>
              </w:rPr>
              <w:t>30,000,000</w:t>
            </w:r>
          </w:p>
        </w:tc>
        <w:tc>
          <w:tcPr>
            <w:tcW w:w="720" w:type="dxa"/>
            <w:vAlign w:val="bottom"/>
          </w:tcPr>
          <w:p>
            <w:pPr>
              <w:jc w:val="right"/>
              <w:spacing w:after="0"/>
              <w:rPr>
                <w:sz w:val="20"/>
                <w:szCs w:val="20"/>
                <w:color w:val="auto"/>
              </w:rPr>
            </w:pPr>
            <w:r>
              <w:rPr>
                <w:rFonts w:ascii="Arial" w:cs="Arial" w:eastAsia="Arial" w:hAnsi="Arial"/>
                <w:sz w:val="13"/>
                <w:szCs w:val="13"/>
                <w:color w:val="auto"/>
              </w:rPr>
              <w:t>30,000,000</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30,000,000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LTI Flexible Products, Inc.</w:t>
            </w:r>
            <w:r>
              <w:rPr>
                <w:rFonts w:ascii="Arial" w:cs="Arial" w:eastAsia="Arial" w:hAnsi="Arial"/>
                <w:sz w:val="17"/>
                <w:szCs w:val="17"/>
                <w:color w:val="auto"/>
                <w:vertAlign w:val="superscript"/>
              </w:rPr>
              <w:t>(9)</w:t>
            </w:r>
          </w:p>
        </w:tc>
        <w:tc>
          <w:tcPr>
            <w:tcW w:w="232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w w:val="95"/>
              </w:rPr>
              <w:t>01/11/2014 Chemical, Plastic and Rubber</w:t>
            </w:r>
          </w:p>
        </w:tc>
        <w:tc>
          <w:tcPr>
            <w:tcW w:w="760" w:type="dxa"/>
            <w:vAlign w:val="bottom"/>
            <w:gridSpan w:val="2"/>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4"/>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5,000,000</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4,825,000</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5,000,000</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200" w:type="dxa"/>
            <w:vAlign w:val="bottom"/>
            <w:gridSpan w:val="2"/>
          </w:tcPr>
          <w:p>
            <w:pPr>
              <w:spacing w:after="0" w:line="138" w:lineRule="exact"/>
              <w:rPr>
                <w:sz w:val="20"/>
                <w:szCs w:val="20"/>
                <w:color w:val="auto"/>
              </w:rPr>
            </w:pPr>
            <w:r>
              <w:rPr>
                <w:rFonts w:ascii="Arial" w:cs="Arial" w:eastAsia="Arial" w:hAnsi="Arial"/>
                <w:sz w:val="13"/>
                <w:szCs w:val="13"/>
                <w:color w:val="auto"/>
              </w:rPr>
              <w:t>Mailsouth, Inc.</w:t>
            </w:r>
          </w:p>
        </w:tc>
        <w:tc>
          <w:tcPr>
            <w:tcW w:w="620" w:type="dxa"/>
            <w:vAlign w:val="bottom"/>
          </w:tcPr>
          <w:p>
            <w:pPr>
              <w:spacing w:after="0" w:line="138" w:lineRule="exact"/>
              <w:rPr>
                <w:sz w:val="20"/>
                <w:szCs w:val="20"/>
                <w:color w:val="auto"/>
              </w:rPr>
            </w:pPr>
            <w:r>
              <w:rPr>
                <w:rFonts w:ascii="Arial" w:cs="Arial" w:eastAsia="Arial" w:hAnsi="Arial"/>
                <w:sz w:val="13"/>
                <w:szCs w:val="13"/>
                <w:color w:val="auto"/>
                <w:w w:val="92"/>
              </w:rPr>
              <w:t>06/15/2017</w:t>
            </w:r>
          </w:p>
        </w:tc>
        <w:tc>
          <w:tcPr>
            <w:tcW w:w="40" w:type="dxa"/>
            <w:vAlign w:val="bottom"/>
          </w:tcPr>
          <w:p>
            <w:pPr>
              <w:spacing w:after="0"/>
              <w:rPr>
                <w:sz w:val="11"/>
                <w:szCs w:val="11"/>
                <w:color w:val="auto"/>
              </w:rPr>
            </w:pPr>
          </w:p>
        </w:tc>
        <w:tc>
          <w:tcPr>
            <w:tcW w:w="1660" w:type="dxa"/>
            <w:vAlign w:val="bottom"/>
            <w:gridSpan w:val="2"/>
          </w:tcPr>
          <w:p>
            <w:pPr>
              <w:jc w:val="center"/>
              <w:ind w:right="40"/>
              <w:spacing w:after="0" w:line="138" w:lineRule="exact"/>
              <w:rPr>
                <w:sz w:val="20"/>
                <w:szCs w:val="20"/>
                <w:color w:val="auto"/>
              </w:rPr>
            </w:pPr>
            <w:r>
              <w:rPr>
                <w:rFonts w:ascii="Arial" w:cs="Arial" w:eastAsia="Arial" w:hAnsi="Arial"/>
                <w:sz w:val="13"/>
                <w:szCs w:val="13"/>
                <w:color w:val="auto"/>
                <w:w w:val="94"/>
              </w:rPr>
              <w:t>Printing and Publishing</w:t>
            </w:r>
          </w:p>
        </w:tc>
        <w:tc>
          <w:tcPr>
            <w:tcW w:w="76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14.50%</w:t>
            </w:r>
          </w:p>
        </w:tc>
        <w:tc>
          <w:tcPr>
            <w:tcW w:w="240" w:type="dxa"/>
            <w:vAlign w:val="bottom"/>
          </w:tcPr>
          <w:p>
            <w:pPr>
              <w:spacing w:after="0"/>
              <w:rPr>
                <w:sz w:val="11"/>
                <w:szCs w:val="11"/>
                <w:color w:val="auto"/>
              </w:rPr>
            </w:pPr>
          </w:p>
        </w:tc>
        <w:tc>
          <w:tcPr>
            <w:tcW w:w="940" w:type="dxa"/>
            <w:vAlign w:val="bottom"/>
            <w:gridSpan w:val="2"/>
          </w:tcPr>
          <w:p>
            <w:pPr>
              <w:jc w:val="right"/>
              <w:ind w:right="264"/>
              <w:spacing w:after="0" w:line="138"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w w:val="95"/>
              </w:rPr>
              <w:t>15,000,000</w:t>
            </w: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14,632,413</w:t>
            </w:r>
          </w:p>
        </w:tc>
        <w:tc>
          <w:tcPr>
            <w:tcW w:w="220" w:type="dxa"/>
            <w:vAlign w:val="bottom"/>
          </w:tcPr>
          <w:p>
            <w:pPr>
              <w:spacing w:after="0"/>
              <w:rPr>
                <w:sz w:val="11"/>
                <w:szCs w:val="11"/>
                <w:color w:val="auto"/>
              </w:rPr>
            </w:pPr>
          </w:p>
        </w:tc>
        <w:tc>
          <w:tcPr>
            <w:tcW w:w="800" w:type="dxa"/>
            <w:vAlign w:val="bottom"/>
          </w:tcPr>
          <w:p>
            <w:pPr>
              <w:jc w:val="right"/>
              <w:spacing w:after="0" w:line="138" w:lineRule="exact"/>
              <w:rPr>
                <w:sz w:val="20"/>
                <w:szCs w:val="20"/>
                <w:color w:val="auto"/>
              </w:rPr>
            </w:pPr>
            <w:r>
              <w:rPr>
                <w:rFonts w:ascii="Arial" w:cs="Arial" w:eastAsia="Arial" w:hAnsi="Arial"/>
                <w:sz w:val="13"/>
                <w:szCs w:val="13"/>
                <w:color w:val="auto"/>
              </w:rPr>
              <w:t>15,210,000</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3"/>
          </w:tcPr>
          <w:p>
            <w:pPr>
              <w:jc w:val="right"/>
              <w:ind w:right="144"/>
              <w:spacing w:after="0"/>
              <w:rPr>
                <w:sz w:val="20"/>
                <w:szCs w:val="20"/>
                <w:color w:val="auto"/>
              </w:rPr>
            </w:pPr>
            <w:r>
              <w:rPr>
                <w:rFonts w:ascii="Arial" w:cs="Arial" w:eastAsia="Arial" w:hAnsi="Arial"/>
                <w:sz w:val="13"/>
                <w:szCs w:val="13"/>
                <w:color w:val="auto"/>
              </w:rPr>
              <w:t>(PIK 2.00%)</w:t>
            </w: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2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PAS Technologies, Inc.</w:t>
            </w:r>
          </w:p>
        </w:tc>
        <w:tc>
          <w:tcPr>
            <w:tcW w:w="6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w w:val="92"/>
              </w:rPr>
              <w:t>05/12/2017</w:t>
            </w:r>
          </w:p>
        </w:tc>
        <w:tc>
          <w:tcPr>
            <w:tcW w:w="40" w:type="dxa"/>
            <w:vAlign w:val="bottom"/>
            <w:shd w:val="clear" w:color="auto" w:fill="CCEEFF"/>
          </w:tcPr>
          <w:p>
            <w:pPr>
              <w:spacing w:after="0"/>
              <w:rPr>
                <w:sz w:val="11"/>
                <w:szCs w:val="11"/>
                <w:color w:val="auto"/>
              </w:rPr>
            </w:pPr>
          </w:p>
        </w:tc>
        <w:tc>
          <w:tcPr>
            <w:tcW w:w="1660" w:type="dxa"/>
            <w:vAlign w:val="bottom"/>
            <w:gridSpan w:val="2"/>
            <w:shd w:val="clear" w:color="auto" w:fill="CCEEFF"/>
          </w:tcPr>
          <w:p>
            <w:pPr>
              <w:jc w:val="center"/>
              <w:ind w:right="40"/>
              <w:spacing w:after="0" w:line="138" w:lineRule="exact"/>
              <w:rPr>
                <w:sz w:val="20"/>
                <w:szCs w:val="20"/>
                <w:color w:val="auto"/>
              </w:rPr>
            </w:pPr>
            <w:r>
              <w:rPr>
                <w:rFonts w:ascii="Arial" w:cs="Arial" w:eastAsia="Arial" w:hAnsi="Arial"/>
                <w:sz w:val="13"/>
                <w:szCs w:val="13"/>
                <w:color w:val="auto"/>
                <w:w w:val="93"/>
              </w:rPr>
              <w:t>Aerospace</w:t>
            </w: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15.02%</w:t>
            </w:r>
          </w:p>
        </w:tc>
        <w:tc>
          <w:tcPr>
            <w:tcW w:w="2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4"/>
              <w:spacing w:after="0" w:line="138"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w w:val="95"/>
              </w:rPr>
              <w:t>17,123,218</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16,783,033</w:t>
            </w: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17,123,218</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89"/>
              </w:rPr>
              <w:t>and Defense</w:t>
            </w:r>
          </w:p>
        </w:tc>
        <w:tc>
          <w:tcPr>
            <w:tcW w:w="1000" w:type="dxa"/>
            <w:vAlign w:val="bottom"/>
            <w:gridSpan w:val="3"/>
            <w:shd w:val="clear" w:color="auto" w:fill="CCEEFF"/>
          </w:tcPr>
          <w:p>
            <w:pPr>
              <w:jc w:val="right"/>
              <w:ind w:right="144"/>
              <w:spacing w:after="0"/>
              <w:rPr>
                <w:sz w:val="20"/>
                <w:szCs w:val="20"/>
                <w:color w:val="auto"/>
              </w:rPr>
            </w:pPr>
            <w:r>
              <w:rPr>
                <w:rFonts w:ascii="Arial" w:cs="Arial" w:eastAsia="Arial" w:hAnsi="Arial"/>
                <w:sz w:val="13"/>
                <w:szCs w:val="13"/>
                <w:color w:val="auto"/>
              </w:rPr>
              <w:t>(PIK 3.02%)</w:t>
            </w: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200" w:type="dxa"/>
            <w:vAlign w:val="bottom"/>
            <w:gridSpan w:val="2"/>
          </w:tcPr>
          <w:p>
            <w:pPr>
              <w:spacing w:after="0" w:line="138" w:lineRule="exact"/>
              <w:rPr>
                <w:sz w:val="20"/>
                <w:szCs w:val="20"/>
                <w:color w:val="auto"/>
              </w:rPr>
            </w:pPr>
            <w:r>
              <w:rPr>
                <w:rFonts w:ascii="Arial" w:cs="Arial" w:eastAsia="Arial" w:hAnsi="Arial"/>
                <w:sz w:val="13"/>
                <w:szCs w:val="13"/>
                <w:color w:val="auto"/>
              </w:rPr>
              <w:t>Prince Mineral Holdings Corp.</w:t>
            </w:r>
          </w:p>
        </w:tc>
        <w:tc>
          <w:tcPr>
            <w:tcW w:w="620" w:type="dxa"/>
            <w:vAlign w:val="bottom"/>
          </w:tcPr>
          <w:p>
            <w:pPr>
              <w:spacing w:after="0" w:line="138" w:lineRule="exact"/>
              <w:rPr>
                <w:sz w:val="20"/>
                <w:szCs w:val="20"/>
                <w:color w:val="auto"/>
              </w:rPr>
            </w:pPr>
            <w:r>
              <w:rPr>
                <w:rFonts w:ascii="Arial" w:cs="Arial" w:eastAsia="Arial" w:hAnsi="Arial"/>
                <w:sz w:val="13"/>
                <w:szCs w:val="13"/>
                <w:color w:val="auto"/>
                <w:w w:val="92"/>
              </w:rPr>
              <w:t>12/03/2016</w:t>
            </w:r>
          </w:p>
        </w:tc>
        <w:tc>
          <w:tcPr>
            <w:tcW w:w="40" w:type="dxa"/>
            <w:vAlign w:val="bottom"/>
          </w:tcPr>
          <w:p>
            <w:pPr>
              <w:spacing w:after="0"/>
              <w:rPr>
                <w:sz w:val="11"/>
                <w:szCs w:val="11"/>
                <w:color w:val="auto"/>
              </w:rPr>
            </w:pPr>
          </w:p>
        </w:tc>
        <w:tc>
          <w:tcPr>
            <w:tcW w:w="1660" w:type="dxa"/>
            <w:vAlign w:val="bottom"/>
            <w:gridSpan w:val="2"/>
          </w:tcPr>
          <w:p>
            <w:pPr>
              <w:jc w:val="center"/>
              <w:ind w:right="40"/>
              <w:spacing w:after="0" w:line="138" w:lineRule="exact"/>
              <w:rPr>
                <w:sz w:val="20"/>
                <w:szCs w:val="20"/>
                <w:color w:val="auto"/>
              </w:rPr>
            </w:pPr>
            <w:r>
              <w:rPr>
                <w:rFonts w:ascii="Arial" w:cs="Arial" w:eastAsia="Arial" w:hAnsi="Arial"/>
                <w:sz w:val="13"/>
                <w:szCs w:val="13"/>
                <w:color w:val="auto"/>
                <w:w w:val="97"/>
              </w:rPr>
              <w:t>Mining, Steel, Iron</w:t>
            </w:r>
          </w:p>
        </w:tc>
        <w:tc>
          <w:tcPr>
            <w:tcW w:w="76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13.50%</w:t>
            </w:r>
          </w:p>
        </w:tc>
        <w:tc>
          <w:tcPr>
            <w:tcW w:w="240" w:type="dxa"/>
            <w:vAlign w:val="bottom"/>
          </w:tcPr>
          <w:p>
            <w:pPr>
              <w:spacing w:after="0"/>
              <w:rPr>
                <w:sz w:val="11"/>
                <w:szCs w:val="11"/>
                <w:color w:val="auto"/>
              </w:rPr>
            </w:pPr>
          </w:p>
        </w:tc>
        <w:tc>
          <w:tcPr>
            <w:tcW w:w="940" w:type="dxa"/>
            <w:vAlign w:val="bottom"/>
            <w:gridSpan w:val="2"/>
          </w:tcPr>
          <w:p>
            <w:pPr>
              <w:jc w:val="right"/>
              <w:ind w:right="264"/>
              <w:spacing w:after="0" w:line="138"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w w:val="95"/>
              </w:rPr>
              <w:t>26,696,517</w:t>
            </w: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26,263,685</w:t>
            </w:r>
          </w:p>
        </w:tc>
        <w:tc>
          <w:tcPr>
            <w:tcW w:w="220" w:type="dxa"/>
            <w:vAlign w:val="bottom"/>
          </w:tcPr>
          <w:p>
            <w:pPr>
              <w:spacing w:after="0"/>
              <w:rPr>
                <w:sz w:val="11"/>
                <w:szCs w:val="11"/>
                <w:color w:val="auto"/>
              </w:rPr>
            </w:pPr>
          </w:p>
        </w:tc>
        <w:tc>
          <w:tcPr>
            <w:tcW w:w="800" w:type="dxa"/>
            <w:vAlign w:val="bottom"/>
          </w:tcPr>
          <w:p>
            <w:pPr>
              <w:jc w:val="right"/>
              <w:spacing w:after="0" w:line="138" w:lineRule="exact"/>
              <w:rPr>
                <w:sz w:val="20"/>
                <w:szCs w:val="20"/>
                <w:color w:val="auto"/>
              </w:rPr>
            </w:pPr>
            <w:r>
              <w:rPr>
                <w:rFonts w:ascii="Arial" w:cs="Arial" w:eastAsia="Arial" w:hAnsi="Arial"/>
                <w:sz w:val="13"/>
                <w:szCs w:val="13"/>
                <w:color w:val="auto"/>
              </w:rPr>
              <w:t>26,696,517</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60" w:type="dxa"/>
            <w:vAlign w:val="bottom"/>
            <w:gridSpan w:val="2"/>
          </w:tcPr>
          <w:p>
            <w:pPr>
              <w:jc w:val="center"/>
              <w:ind w:right="40"/>
              <w:spacing w:after="0"/>
              <w:rPr>
                <w:sz w:val="20"/>
                <w:szCs w:val="20"/>
                <w:color w:val="auto"/>
              </w:rPr>
            </w:pPr>
            <w:r>
              <w:rPr>
                <w:rFonts w:ascii="Arial" w:cs="Arial" w:eastAsia="Arial" w:hAnsi="Arial"/>
                <w:sz w:val="13"/>
                <w:szCs w:val="13"/>
                <w:color w:val="auto"/>
                <w:w w:val="94"/>
              </w:rPr>
              <w:t>and Non-Precious Metals</w:t>
            </w:r>
          </w:p>
        </w:tc>
        <w:tc>
          <w:tcPr>
            <w:tcW w:w="1000" w:type="dxa"/>
            <w:vAlign w:val="bottom"/>
            <w:gridSpan w:val="3"/>
          </w:tcPr>
          <w:p>
            <w:pPr>
              <w:jc w:val="right"/>
              <w:ind w:right="144"/>
              <w:spacing w:after="0"/>
              <w:rPr>
                <w:sz w:val="20"/>
                <w:szCs w:val="20"/>
                <w:color w:val="auto"/>
              </w:rPr>
            </w:pPr>
            <w:r>
              <w:rPr>
                <w:rFonts w:ascii="Arial" w:cs="Arial" w:eastAsia="Arial" w:hAnsi="Arial"/>
                <w:sz w:val="13"/>
                <w:szCs w:val="13"/>
                <w:color w:val="auto"/>
              </w:rPr>
              <w:t>(PIK 2.00%)</w:t>
            </w: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Realogy Corp.</w:t>
            </w:r>
          </w:p>
        </w:tc>
        <w:tc>
          <w:tcPr>
            <w:tcW w:w="232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04/15/2018  Buildings and Real Estate</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11.00%</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4"/>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5"/>
              </w:rPr>
              <w:t>10,000,000</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9,247,298</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9,400,000</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gridSpan w:val="2"/>
          </w:tcPr>
          <w:p>
            <w:pPr>
              <w:spacing w:after="0"/>
              <w:rPr>
                <w:sz w:val="20"/>
                <w:szCs w:val="20"/>
                <w:color w:val="auto"/>
              </w:rPr>
            </w:pPr>
            <w:r>
              <w:rPr>
                <w:rFonts w:ascii="Arial" w:cs="Arial" w:eastAsia="Arial" w:hAnsi="Arial"/>
                <w:sz w:val="13"/>
                <w:szCs w:val="13"/>
                <w:color w:val="auto"/>
              </w:rPr>
              <w:t>TRAK Acquisition Corp.</w:t>
            </w:r>
          </w:p>
        </w:tc>
        <w:tc>
          <w:tcPr>
            <w:tcW w:w="620" w:type="dxa"/>
            <w:vAlign w:val="bottom"/>
          </w:tcPr>
          <w:p>
            <w:pPr>
              <w:spacing w:after="0"/>
              <w:rPr>
                <w:sz w:val="20"/>
                <w:szCs w:val="20"/>
                <w:color w:val="auto"/>
              </w:rPr>
            </w:pPr>
            <w:r>
              <w:rPr>
                <w:rFonts w:ascii="Arial" w:cs="Arial" w:eastAsia="Arial" w:hAnsi="Arial"/>
                <w:sz w:val="13"/>
                <w:szCs w:val="13"/>
                <w:color w:val="auto"/>
                <w:w w:val="92"/>
              </w:rPr>
              <w:t>12/29/2015</w:t>
            </w:r>
          </w:p>
        </w:tc>
        <w:tc>
          <w:tcPr>
            <w:tcW w:w="40" w:type="dxa"/>
            <w:vAlign w:val="bottom"/>
          </w:tcPr>
          <w:p>
            <w:pPr>
              <w:spacing w:after="0"/>
              <w:rPr>
                <w:sz w:val="12"/>
                <w:szCs w:val="12"/>
                <w:color w:val="auto"/>
              </w:rPr>
            </w:pPr>
          </w:p>
        </w:tc>
        <w:tc>
          <w:tcPr>
            <w:tcW w:w="1660" w:type="dxa"/>
            <w:vAlign w:val="bottom"/>
            <w:gridSpan w:val="2"/>
          </w:tcPr>
          <w:p>
            <w:pPr>
              <w:jc w:val="center"/>
              <w:ind w:right="40"/>
              <w:spacing w:after="0"/>
              <w:rPr>
                <w:sz w:val="20"/>
                <w:szCs w:val="20"/>
                <w:color w:val="auto"/>
              </w:rPr>
            </w:pPr>
            <w:r>
              <w:rPr>
                <w:rFonts w:ascii="Arial" w:cs="Arial" w:eastAsia="Arial" w:hAnsi="Arial"/>
                <w:sz w:val="13"/>
                <w:szCs w:val="13"/>
                <w:color w:val="auto"/>
                <w:w w:val="92"/>
              </w:rPr>
              <w:t>Business Services</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15.00%</w:t>
            </w:r>
          </w:p>
        </w:tc>
        <w:tc>
          <w:tcPr>
            <w:tcW w:w="240" w:type="dxa"/>
            <w:vAlign w:val="bottom"/>
          </w:tcPr>
          <w:p>
            <w:pPr>
              <w:jc w:val="right"/>
              <w:ind w:right="24"/>
              <w:spacing w:after="0"/>
              <w:rPr>
                <w:sz w:val="20"/>
                <w:szCs w:val="20"/>
                <w:color w:val="auto"/>
              </w:rPr>
            </w:pPr>
            <w:r>
              <w:rPr>
                <w:rFonts w:ascii="Arial" w:cs="Arial" w:eastAsia="Arial" w:hAnsi="Arial"/>
                <w:sz w:val="11"/>
                <w:szCs w:val="11"/>
                <w:color w:val="auto"/>
              </w:rPr>
              <w:t>(7)</w:t>
            </w:r>
          </w:p>
        </w:tc>
        <w:tc>
          <w:tcPr>
            <w:tcW w:w="940" w:type="dxa"/>
            <w:vAlign w:val="bottom"/>
            <w:gridSpan w:val="2"/>
          </w:tcPr>
          <w:p>
            <w:pPr>
              <w:jc w:val="right"/>
              <w:ind w:right="264"/>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w w:val="95"/>
              </w:rPr>
              <w:t>12,020,950</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11,708,199</w:t>
            </w:r>
          </w:p>
        </w:tc>
        <w:tc>
          <w:tcPr>
            <w:tcW w:w="800" w:type="dxa"/>
            <w:vAlign w:val="bottom"/>
          </w:tcPr>
          <w:p>
            <w:pPr>
              <w:jc w:val="right"/>
              <w:spacing w:after="0"/>
              <w:rPr>
                <w:sz w:val="20"/>
                <w:szCs w:val="20"/>
                <w:color w:val="auto"/>
              </w:rPr>
            </w:pPr>
            <w:r>
              <w:rPr>
                <w:rFonts w:ascii="Arial" w:cs="Arial" w:eastAsia="Arial" w:hAnsi="Arial"/>
                <w:sz w:val="13"/>
                <w:szCs w:val="13"/>
                <w:color w:val="auto"/>
              </w:rPr>
              <w:t>12,020,950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2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TrustHouse Services Group, Inc.</w:t>
            </w:r>
          </w:p>
        </w:tc>
        <w:tc>
          <w:tcPr>
            <w:tcW w:w="2320" w:type="dxa"/>
            <w:vAlign w:val="bottom"/>
            <w:gridSpan w:val="4"/>
            <w:shd w:val="clear" w:color="auto" w:fill="CCEEFF"/>
          </w:tcPr>
          <w:p>
            <w:pPr>
              <w:spacing w:after="0" w:line="138" w:lineRule="exact"/>
              <w:rPr>
                <w:sz w:val="20"/>
                <w:szCs w:val="20"/>
                <w:color w:val="auto"/>
              </w:rPr>
            </w:pPr>
            <w:r>
              <w:rPr>
                <w:rFonts w:ascii="Arial" w:cs="Arial" w:eastAsia="Arial" w:hAnsi="Arial"/>
                <w:sz w:val="13"/>
                <w:szCs w:val="13"/>
                <w:color w:val="auto"/>
                <w:w w:val="94"/>
              </w:rPr>
              <w:t>06/03/2019 Beverage, Food, and Tobacco</w:t>
            </w: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14.25%</w:t>
            </w:r>
          </w:p>
        </w:tc>
        <w:tc>
          <w:tcPr>
            <w:tcW w:w="2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4"/>
              <w:spacing w:after="0" w:line="138"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w w:val="95"/>
              </w:rPr>
              <w:t>14,778,578</w:t>
            </w:r>
          </w:p>
        </w:tc>
        <w:tc>
          <w:tcPr>
            <w:tcW w:w="94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14,527,411</w:t>
            </w:r>
          </w:p>
        </w:tc>
        <w:tc>
          <w:tcPr>
            <w:tcW w:w="8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14,778,578</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144"/>
              <w:spacing w:after="0"/>
              <w:rPr>
                <w:sz w:val="20"/>
                <w:szCs w:val="20"/>
                <w:color w:val="auto"/>
              </w:rPr>
            </w:pPr>
            <w:r>
              <w:rPr>
                <w:rFonts w:ascii="Arial" w:cs="Arial" w:eastAsia="Arial" w:hAnsi="Arial"/>
                <w:sz w:val="13"/>
                <w:szCs w:val="13"/>
                <w:color w:val="auto"/>
              </w:rPr>
              <w:t>(PIK 2.25%)</w:t>
            </w: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200" w:type="dxa"/>
            <w:vAlign w:val="bottom"/>
            <w:gridSpan w:val="2"/>
          </w:tcPr>
          <w:p>
            <w:pPr>
              <w:spacing w:after="0" w:line="149" w:lineRule="exact"/>
              <w:rPr>
                <w:sz w:val="20"/>
                <w:szCs w:val="20"/>
                <w:color w:val="auto"/>
              </w:rPr>
            </w:pPr>
            <w:r>
              <w:rPr>
                <w:rFonts w:ascii="Arial" w:cs="Arial" w:eastAsia="Arial" w:hAnsi="Arial"/>
                <w:sz w:val="11"/>
                <w:szCs w:val="11"/>
                <w:color w:val="auto"/>
              </w:rPr>
              <w:t>TrustHouse Services Group, Inc.</w:t>
            </w:r>
            <w:r>
              <w:rPr>
                <w:rFonts w:ascii="Arial" w:cs="Arial" w:eastAsia="Arial" w:hAnsi="Arial"/>
                <w:sz w:val="17"/>
                <w:szCs w:val="17"/>
                <w:color w:val="auto"/>
                <w:vertAlign w:val="superscript"/>
              </w:rPr>
              <w:t>(9)</w:t>
            </w:r>
          </w:p>
        </w:tc>
        <w:tc>
          <w:tcPr>
            <w:tcW w:w="2320" w:type="dxa"/>
            <w:vAlign w:val="bottom"/>
            <w:gridSpan w:val="4"/>
          </w:tcPr>
          <w:p>
            <w:pPr>
              <w:spacing w:after="0"/>
              <w:rPr>
                <w:sz w:val="20"/>
                <w:szCs w:val="20"/>
                <w:color w:val="auto"/>
              </w:rPr>
            </w:pPr>
            <w:r>
              <w:rPr>
                <w:rFonts w:ascii="Arial" w:cs="Arial" w:eastAsia="Arial" w:hAnsi="Arial"/>
                <w:sz w:val="13"/>
                <w:szCs w:val="13"/>
                <w:color w:val="auto"/>
                <w:w w:val="94"/>
              </w:rPr>
              <w:t>06/02/2014 Beverage, Food, and Tobacco</w:t>
            </w:r>
          </w:p>
        </w:tc>
        <w:tc>
          <w:tcPr>
            <w:tcW w:w="760" w:type="dxa"/>
            <w:vAlign w:val="bottom"/>
            <w:gridSpan w:val="2"/>
          </w:tcPr>
          <w:p>
            <w:pPr>
              <w:jc w:val="right"/>
              <w:ind w:right="11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940" w:type="dxa"/>
            <w:vAlign w:val="bottom"/>
            <w:gridSpan w:val="2"/>
          </w:tcPr>
          <w:p>
            <w:pPr>
              <w:jc w:val="right"/>
              <w:ind w:right="264"/>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4,000,000</w:t>
            </w:r>
          </w:p>
        </w:tc>
        <w:tc>
          <w:tcPr>
            <w:tcW w:w="720" w:type="dxa"/>
            <w:vAlign w:val="bottom"/>
          </w:tcPr>
          <w:p>
            <w:pPr>
              <w:jc w:val="right"/>
              <w:spacing w:after="0"/>
              <w:rPr>
                <w:sz w:val="20"/>
                <w:szCs w:val="20"/>
                <w:color w:val="auto"/>
              </w:rPr>
            </w:pPr>
            <w:r>
              <w:rPr>
                <w:rFonts w:ascii="Arial" w:cs="Arial" w:eastAsia="Arial" w:hAnsi="Arial"/>
                <w:sz w:val="13"/>
                <w:szCs w:val="13"/>
                <w:color w:val="auto"/>
              </w:rPr>
              <w:t>3,920,000</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4,000,000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Veritext Corp.</w:t>
            </w:r>
          </w:p>
        </w:tc>
        <w:tc>
          <w:tcPr>
            <w:tcW w:w="620" w:type="dxa"/>
            <w:vAlign w:val="bottom"/>
            <w:shd w:val="clear" w:color="auto" w:fill="CCEEFF"/>
          </w:tcPr>
          <w:p>
            <w:pPr>
              <w:spacing w:after="0"/>
              <w:rPr>
                <w:sz w:val="20"/>
                <w:szCs w:val="20"/>
                <w:color w:val="auto"/>
              </w:rPr>
            </w:pPr>
            <w:r>
              <w:rPr>
                <w:rFonts w:ascii="Arial" w:cs="Arial" w:eastAsia="Arial" w:hAnsi="Arial"/>
                <w:sz w:val="13"/>
                <w:szCs w:val="13"/>
                <w:color w:val="auto"/>
                <w:w w:val="92"/>
              </w:rPr>
              <w:t>12/31/2015</w:t>
            </w:r>
          </w:p>
        </w:tc>
        <w:tc>
          <w:tcPr>
            <w:tcW w:w="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2"/>
              </w:rPr>
              <w:t>Business Services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13.00%</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4"/>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5"/>
              </w:rPr>
              <w:t>16,200,000</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15,916,579</w:t>
            </w:r>
          </w:p>
        </w:tc>
        <w:tc>
          <w:tcPr>
            <w:tcW w:w="22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16,200,000</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200" w:type="dxa"/>
            <w:vAlign w:val="bottom"/>
            <w:gridSpan w:val="2"/>
          </w:tcPr>
          <w:p>
            <w:pPr>
              <w:spacing w:after="0"/>
              <w:rPr>
                <w:sz w:val="20"/>
                <w:szCs w:val="20"/>
                <w:color w:val="auto"/>
              </w:rPr>
            </w:pPr>
            <w:r>
              <w:rPr>
                <w:rFonts w:ascii="Arial" w:cs="Arial" w:eastAsia="Arial" w:hAnsi="Arial"/>
                <w:sz w:val="13"/>
                <w:szCs w:val="13"/>
                <w:b w:val="1"/>
                <w:bCs w:val="1"/>
                <w:color w:val="auto"/>
              </w:rPr>
              <w:t>Total Subordinated Debt/Corporate Notes</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6"/>
              </w:rPr>
              <w:t>355,236,902</w:t>
            </w:r>
          </w:p>
        </w:tc>
        <w:tc>
          <w:tcPr>
            <w:tcW w:w="220" w:type="dxa"/>
            <w:vAlign w:val="bottom"/>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351,070,859</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45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 (Continued) SEPTEMBER 30, 2012</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Basis Point</w:t>
            </w: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Spread</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240"/>
              <w:spacing w:after="0" w:line="134" w:lineRule="exact"/>
              <w:rPr>
                <w:sz w:val="20"/>
                <w:szCs w:val="20"/>
                <w:color w:val="auto"/>
              </w:rPr>
            </w:pPr>
            <w:r>
              <w:rPr>
                <w:rFonts w:ascii="Arial" w:cs="Arial" w:eastAsia="Arial" w:hAnsi="Arial"/>
                <w:sz w:val="13"/>
                <w:szCs w:val="13"/>
                <w:b w:val="1"/>
                <w:bCs w:val="1"/>
                <w:color w:val="auto"/>
                <w:w w:val="93"/>
              </w:rPr>
              <w:t>Current</w:t>
            </w:r>
          </w:p>
        </w:tc>
        <w:tc>
          <w:tcPr>
            <w:tcW w:w="820" w:type="dxa"/>
            <w:vAlign w:val="bottom"/>
            <w:gridSpan w:val="2"/>
          </w:tcPr>
          <w:p>
            <w:pPr>
              <w:jc w:val="center"/>
              <w:ind w:right="140"/>
              <w:spacing w:after="0" w:line="134" w:lineRule="exact"/>
              <w:rPr>
                <w:sz w:val="20"/>
                <w:szCs w:val="20"/>
                <w:color w:val="auto"/>
              </w:rPr>
            </w:pPr>
            <w:r>
              <w:rPr>
                <w:rFonts w:ascii="Arial" w:cs="Arial" w:eastAsia="Arial" w:hAnsi="Arial"/>
                <w:sz w:val="13"/>
                <w:szCs w:val="13"/>
                <w:b w:val="1"/>
                <w:bCs w:val="1"/>
                <w:color w:val="auto"/>
                <w:w w:val="90"/>
              </w:rPr>
              <w:t>Above</w:t>
            </w:r>
          </w:p>
        </w:tc>
        <w:tc>
          <w:tcPr>
            <w:tcW w:w="740" w:type="dxa"/>
            <w:vAlign w:val="bottom"/>
            <w:gridSpan w:val="2"/>
          </w:tcPr>
          <w:p>
            <w:pPr>
              <w:jc w:val="center"/>
              <w:ind w:right="140"/>
              <w:spacing w:after="0" w:line="134" w:lineRule="exact"/>
              <w:rPr>
                <w:sz w:val="20"/>
                <w:szCs w:val="20"/>
                <w:color w:val="auto"/>
              </w:rPr>
            </w:pPr>
            <w:r>
              <w:rPr>
                <w:rFonts w:ascii="Arial" w:cs="Arial" w:eastAsia="Arial" w:hAnsi="Arial"/>
                <w:sz w:val="13"/>
                <w:szCs w:val="13"/>
                <w:b w:val="1"/>
                <w:bCs w:val="1"/>
                <w:color w:val="auto"/>
                <w:w w:val="99"/>
              </w:rPr>
              <w:t>Par /</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22"/>
                <w:szCs w:val="22"/>
                <w:b w:val="1"/>
                <w:bCs w:val="1"/>
                <w:color w:val="auto"/>
                <w:vertAlign w:val="superscript"/>
              </w:rPr>
              <w:t>(3)</w:t>
            </w:r>
          </w:p>
        </w:tc>
        <w:tc>
          <w:tcPr>
            <w:tcW w:w="0" w:type="dxa"/>
            <w:vAlign w:val="bottom"/>
          </w:tcPr>
          <w:p>
            <w:pPr>
              <w:spacing w:after="0"/>
              <w:rPr>
                <w:sz w:val="1"/>
                <w:szCs w:val="1"/>
                <w:color w:val="auto"/>
              </w:rPr>
            </w:pPr>
          </w:p>
        </w:tc>
      </w:tr>
      <w:tr>
        <w:trPr>
          <w:trHeight w:val="175"/>
        </w:trPr>
        <w:tc>
          <w:tcPr>
            <w:tcW w:w="4160" w:type="dxa"/>
            <w:vAlign w:val="bottom"/>
          </w:tcPr>
          <w:p>
            <w:pPr>
              <w:spacing w:after="0"/>
              <w:rPr>
                <w:sz w:val="20"/>
                <w:szCs w:val="20"/>
                <w:color w:val="auto"/>
              </w:rPr>
            </w:pPr>
            <w:r>
              <w:rPr>
                <w:rFonts w:ascii="Arial" w:cs="Arial" w:eastAsia="Arial" w:hAnsi="Arial"/>
                <w:sz w:val="13"/>
                <w:szCs w:val="13"/>
                <w:b w:val="1"/>
                <w:bCs w:val="1"/>
                <w:color w:val="auto"/>
              </w:rPr>
              <w:t>Issuer Name</w:t>
            </w:r>
          </w:p>
        </w:tc>
        <w:tc>
          <w:tcPr>
            <w:tcW w:w="1380" w:type="dxa"/>
            <w:vAlign w:val="bottom"/>
          </w:tcPr>
          <w:p>
            <w:pPr>
              <w:ind w:left="760"/>
              <w:spacing w:after="0"/>
              <w:rPr>
                <w:sz w:val="20"/>
                <w:szCs w:val="20"/>
                <w:color w:val="auto"/>
              </w:rPr>
            </w:pPr>
            <w:r>
              <w:rPr>
                <w:rFonts w:ascii="Arial" w:cs="Arial" w:eastAsia="Arial" w:hAnsi="Arial"/>
                <w:sz w:val="13"/>
                <w:szCs w:val="13"/>
                <w:b w:val="1"/>
                <w:bCs w:val="1"/>
                <w:color w:val="auto"/>
              </w:rPr>
              <w:t>Maturity</w:t>
            </w:r>
          </w:p>
        </w:tc>
        <w:tc>
          <w:tcPr>
            <w:tcW w:w="17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7"/>
              </w:rPr>
              <w:t>Industry</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9"/>
              </w:rPr>
              <w:t>Coupon</w:t>
            </w:r>
          </w:p>
        </w:tc>
        <w:tc>
          <w:tcPr>
            <w:tcW w:w="820" w:type="dxa"/>
            <w:vAlign w:val="bottom"/>
            <w:gridSpan w:val="2"/>
          </w:tcPr>
          <w:p>
            <w:pPr>
              <w:jc w:val="center"/>
              <w:ind w:right="140"/>
              <w:spacing w:after="0" w:line="176" w:lineRule="exact"/>
              <w:rPr>
                <w:sz w:val="20"/>
                <w:szCs w:val="20"/>
                <w:color w:val="auto"/>
              </w:rPr>
            </w:pPr>
            <w:r>
              <w:rPr>
                <w:rFonts w:ascii="Arial" w:cs="Arial" w:eastAsia="Arial" w:hAnsi="Arial"/>
                <w:sz w:val="12"/>
                <w:szCs w:val="12"/>
                <w:b w:val="1"/>
                <w:bCs w:val="1"/>
                <w:color w:val="auto"/>
                <w:w w:val="94"/>
              </w:rPr>
              <w:t xml:space="preserve">Index </w:t>
            </w:r>
            <w:r>
              <w:rPr>
                <w:rFonts w:ascii="Arial" w:cs="Arial" w:eastAsia="Arial" w:hAnsi="Arial"/>
                <w:sz w:val="20"/>
                <w:szCs w:val="20"/>
                <w:b w:val="1"/>
                <w:bCs w:val="1"/>
                <w:color w:val="auto"/>
                <w:w w:val="94"/>
                <w:vertAlign w:val="superscript"/>
              </w:rPr>
              <w:t>(4)</w:t>
            </w:r>
          </w:p>
        </w:tc>
        <w:tc>
          <w:tcPr>
            <w:tcW w:w="7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Shares</w:t>
            </w:r>
          </w:p>
        </w:tc>
        <w:tc>
          <w:tcPr>
            <w:tcW w:w="740" w:type="dxa"/>
            <w:vAlign w:val="bottom"/>
            <w:gridSpan w:val="2"/>
          </w:tcPr>
          <w:p>
            <w:pPr>
              <w:ind w:left="20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0"/>
                <w:szCs w:val="10"/>
                <w:b w:val="1"/>
                <w:bCs w:val="1"/>
                <w:color w:val="auto"/>
              </w:rPr>
              <w:t xml:space="preserve">Preferred Equity/Partnership Interests— 1.7% </w:t>
            </w:r>
            <w:r>
              <w:rPr>
                <w:rFonts w:ascii="Arial" w:cs="Arial" w:eastAsia="Arial" w:hAnsi="Arial"/>
                <w:sz w:val="16"/>
                <w:szCs w:val="16"/>
                <w:b w:val="1"/>
                <w:bCs w:val="1"/>
                <w:color w:val="auto"/>
                <w:vertAlign w:val="superscript"/>
              </w:rPr>
              <w:t>(6)</w:t>
            </w:r>
          </w:p>
        </w:tc>
        <w:tc>
          <w:tcPr>
            <w:tcW w:w="1380" w:type="dxa"/>
            <w:vAlign w:val="bottom"/>
            <w:tcBorders>
              <w:top w:val="single" w:sz="8" w:color="auto"/>
            </w:tcBorders>
            <w:shd w:val="clear" w:color="auto" w:fill="CCEEFF"/>
          </w:tcPr>
          <w:p>
            <w:pPr>
              <w:spacing w:after="0"/>
              <w:rPr>
                <w:sz w:val="12"/>
                <w:szCs w:val="12"/>
                <w:color w:val="auto"/>
              </w:rPr>
            </w:pPr>
          </w:p>
        </w:tc>
        <w:tc>
          <w:tcPr>
            <w:tcW w:w="1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160" w:type="dxa"/>
            <w:vAlign w:val="bottom"/>
          </w:tcPr>
          <w:p>
            <w:pPr>
              <w:spacing w:after="0" w:line="138" w:lineRule="exact"/>
              <w:rPr>
                <w:sz w:val="20"/>
                <w:szCs w:val="20"/>
                <w:color w:val="auto"/>
              </w:rPr>
            </w:pPr>
            <w:r>
              <w:rPr>
                <w:rFonts w:ascii="Arial" w:cs="Arial" w:eastAsia="Arial" w:hAnsi="Arial"/>
                <w:sz w:val="13"/>
                <w:szCs w:val="13"/>
                <w:color w:val="auto"/>
              </w:rPr>
              <w:t>AH Holdings, Inc.</w:t>
            </w:r>
          </w:p>
        </w:tc>
        <w:tc>
          <w:tcPr>
            <w:tcW w:w="1380" w:type="dxa"/>
            <w:vAlign w:val="bottom"/>
          </w:tcPr>
          <w:p>
            <w:pPr>
              <w:ind w:left="940"/>
              <w:spacing w:after="0" w:line="138" w:lineRule="exact"/>
              <w:rPr>
                <w:sz w:val="20"/>
                <w:szCs w:val="20"/>
                <w:color w:val="auto"/>
              </w:rPr>
            </w:pPr>
            <w:r>
              <w:rPr>
                <w:rFonts w:ascii="Arial" w:cs="Arial" w:eastAsia="Arial" w:hAnsi="Arial"/>
                <w:sz w:val="13"/>
                <w:szCs w:val="13"/>
                <w:color w:val="auto"/>
              </w:rPr>
              <w:t>—</w:t>
            </w:r>
          </w:p>
        </w:tc>
        <w:tc>
          <w:tcPr>
            <w:tcW w:w="1740" w:type="dxa"/>
            <w:vAlign w:val="bottom"/>
            <w:gridSpan w:val="2"/>
          </w:tcPr>
          <w:p>
            <w:pPr>
              <w:jc w:val="center"/>
              <w:ind w:right="60"/>
              <w:spacing w:after="0" w:line="138" w:lineRule="exact"/>
              <w:rPr>
                <w:sz w:val="20"/>
                <w:szCs w:val="20"/>
                <w:color w:val="auto"/>
              </w:rPr>
            </w:pPr>
            <w:r>
              <w:rPr>
                <w:rFonts w:ascii="Arial" w:cs="Arial" w:eastAsia="Arial" w:hAnsi="Arial"/>
                <w:sz w:val="13"/>
                <w:szCs w:val="13"/>
                <w:color w:val="auto"/>
                <w:w w:val="93"/>
              </w:rPr>
              <w:t>Healthcare, Education</w:t>
            </w:r>
          </w:p>
        </w:tc>
        <w:tc>
          <w:tcPr>
            <w:tcW w:w="70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6.00%</w:t>
            </w:r>
          </w:p>
        </w:tc>
        <w:tc>
          <w:tcPr>
            <w:tcW w:w="820" w:type="dxa"/>
            <w:vAlign w:val="bottom"/>
            <w:gridSpan w:val="2"/>
          </w:tcPr>
          <w:p>
            <w:pPr>
              <w:ind w:left="480"/>
              <w:spacing w:after="0" w:line="138"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line="138" w:lineRule="exact"/>
              <w:rPr>
                <w:sz w:val="20"/>
                <w:szCs w:val="20"/>
                <w:color w:val="auto"/>
              </w:rPr>
            </w:pPr>
            <w:r>
              <w:rPr>
                <w:rFonts w:ascii="Arial" w:cs="Arial" w:eastAsia="Arial" w:hAnsi="Arial"/>
                <w:sz w:val="13"/>
                <w:szCs w:val="13"/>
                <w:color w:val="auto"/>
              </w:rPr>
              <w:t>211</w:t>
            </w:r>
          </w:p>
        </w:tc>
        <w:tc>
          <w:tcPr>
            <w:tcW w:w="74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   500,000</w:t>
            </w:r>
          </w:p>
        </w:tc>
        <w:tc>
          <w:tcPr>
            <w:tcW w:w="220" w:type="dxa"/>
            <w:vAlign w:val="bottom"/>
            <w:gridSpan w:val="2"/>
          </w:tcPr>
          <w:p>
            <w:pPr>
              <w:ind w:left="80"/>
              <w:spacing w:after="0" w:line="138"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624,081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160" w:type="dxa"/>
            <w:vAlign w:val="bottom"/>
          </w:tcPr>
          <w:p>
            <w:pPr>
              <w:ind w:left="220"/>
              <w:spacing w:after="0"/>
              <w:rPr>
                <w:sz w:val="20"/>
                <w:szCs w:val="20"/>
                <w:color w:val="auto"/>
              </w:rPr>
            </w:pPr>
            <w:r>
              <w:rPr>
                <w:rFonts w:ascii="Arial" w:cs="Arial" w:eastAsia="Arial" w:hAnsi="Arial"/>
                <w:sz w:val="13"/>
                <w:szCs w:val="13"/>
                <w:color w:val="auto"/>
              </w:rPr>
              <w:t>(American Surgical Holdings, Inc.)</w:t>
            </w:r>
          </w:p>
        </w:tc>
        <w:tc>
          <w:tcPr>
            <w:tcW w:w="1380" w:type="dxa"/>
            <w:vAlign w:val="bottom"/>
          </w:tcPr>
          <w:p>
            <w:pPr>
              <w:spacing w:after="0"/>
              <w:rPr>
                <w:sz w:val="15"/>
                <w:szCs w:val="15"/>
                <w:color w:val="auto"/>
              </w:rPr>
            </w:pPr>
          </w:p>
        </w:tc>
        <w:tc>
          <w:tcPr>
            <w:tcW w:w="1740" w:type="dxa"/>
            <w:vAlign w:val="bottom"/>
            <w:gridSpan w:val="2"/>
          </w:tcPr>
          <w:p>
            <w:pPr>
              <w:jc w:val="center"/>
              <w:ind w:right="40"/>
              <w:spacing w:after="0"/>
              <w:rPr>
                <w:sz w:val="20"/>
                <w:szCs w:val="20"/>
                <w:color w:val="auto"/>
              </w:rPr>
            </w:pPr>
            <w:r>
              <w:rPr>
                <w:rFonts w:ascii="Arial" w:cs="Arial" w:eastAsia="Arial" w:hAnsi="Arial"/>
                <w:sz w:val="13"/>
                <w:szCs w:val="13"/>
                <w:color w:val="auto"/>
                <w:w w:val="92"/>
              </w:rPr>
              <w:t>and Childcare</w:t>
            </w: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160" w:type="dxa"/>
            <w:vAlign w:val="bottom"/>
            <w:shd w:val="clear" w:color="auto" w:fill="CCEEFF"/>
          </w:tcPr>
          <w:p>
            <w:pPr>
              <w:spacing w:after="0"/>
              <w:rPr>
                <w:sz w:val="20"/>
                <w:szCs w:val="20"/>
                <w:color w:val="auto"/>
              </w:rPr>
            </w:pPr>
            <w:r>
              <w:rPr>
                <w:rFonts w:ascii="Arial" w:cs="Arial" w:eastAsia="Arial" w:hAnsi="Arial"/>
                <w:sz w:val="13"/>
                <w:szCs w:val="13"/>
                <w:color w:val="auto"/>
              </w:rPr>
              <w:t>AHC Mezzanine, LLC</w:t>
            </w:r>
          </w:p>
        </w:tc>
        <w:tc>
          <w:tcPr>
            <w:tcW w:w="1380" w:type="dxa"/>
            <w:vAlign w:val="bottom"/>
            <w:shd w:val="clear" w:color="auto" w:fill="CCEEFF"/>
          </w:tcPr>
          <w:p>
            <w:pPr>
              <w:ind w:left="940"/>
              <w:spacing w:after="0"/>
              <w:rPr>
                <w:sz w:val="20"/>
                <w:szCs w:val="20"/>
                <w:color w:val="auto"/>
              </w:rPr>
            </w:pPr>
            <w:r>
              <w:rPr>
                <w:rFonts w:ascii="Arial" w:cs="Arial" w:eastAsia="Arial" w:hAnsi="Arial"/>
                <w:sz w:val="13"/>
                <w:szCs w:val="13"/>
                <w:color w:val="auto"/>
              </w:rPr>
              <w:t>—</w:t>
            </w:r>
          </w:p>
        </w:tc>
        <w:tc>
          <w:tcPr>
            <w:tcW w:w="174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5"/>
              </w:rPr>
              <w:t>Other Media</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7,505</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318,896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4160" w:type="dxa"/>
            <w:vAlign w:val="bottom"/>
          </w:tcPr>
          <w:p>
            <w:pPr>
              <w:spacing w:after="0" w:line="138" w:lineRule="exact"/>
              <w:rPr>
                <w:sz w:val="20"/>
                <w:szCs w:val="20"/>
                <w:color w:val="auto"/>
              </w:rPr>
            </w:pPr>
            <w:r>
              <w:rPr>
                <w:rFonts w:ascii="Arial" w:cs="Arial" w:eastAsia="Arial" w:hAnsi="Arial"/>
                <w:sz w:val="13"/>
                <w:szCs w:val="13"/>
                <w:color w:val="auto"/>
              </w:rPr>
              <w:t>Alegeus Technologies Holding Corp., Series A</w:t>
            </w:r>
          </w:p>
        </w:tc>
        <w:tc>
          <w:tcPr>
            <w:tcW w:w="1380" w:type="dxa"/>
            <w:vAlign w:val="bottom"/>
          </w:tcPr>
          <w:p>
            <w:pPr>
              <w:ind w:left="940"/>
              <w:spacing w:after="0" w:line="138" w:lineRule="exact"/>
              <w:rPr>
                <w:sz w:val="20"/>
                <w:szCs w:val="20"/>
                <w:color w:val="auto"/>
              </w:rPr>
            </w:pPr>
            <w:r>
              <w:rPr>
                <w:rFonts w:ascii="Arial" w:cs="Arial" w:eastAsia="Arial" w:hAnsi="Arial"/>
                <w:sz w:val="13"/>
                <w:szCs w:val="13"/>
                <w:color w:val="auto"/>
              </w:rPr>
              <w:t>—</w:t>
            </w:r>
          </w:p>
        </w:tc>
        <w:tc>
          <w:tcPr>
            <w:tcW w:w="1740" w:type="dxa"/>
            <w:vAlign w:val="bottom"/>
            <w:gridSpan w:val="2"/>
          </w:tcPr>
          <w:p>
            <w:pPr>
              <w:jc w:val="center"/>
              <w:ind w:right="40"/>
              <w:spacing w:after="0" w:line="138" w:lineRule="exact"/>
              <w:rPr>
                <w:sz w:val="20"/>
                <w:szCs w:val="20"/>
                <w:color w:val="auto"/>
              </w:rPr>
            </w:pPr>
            <w:r>
              <w:rPr>
                <w:rFonts w:ascii="Arial" w:cs="Arial" w:eastAsia="Arial" w:hAnsi="Arial"/>
                <w:sz w:val="13"/>
                <w:szCs w:val="13"/>
                <w:color w:val="auto"/>
                <w:w w:val="92"/>
              </w:rPr>
              <w:t>Financial Services</w:t>
            </w:r>
          </w:p>
        </w:tc>
        <w:tc>
          <w:tcPr>
            <w:tcW w:w="700" w:type="dxa"/>
            <w:vAlign w:val="bottom"/>
            <w:gridSpan w:val="2"/>
          </w:tcPr>
          <w:p>
            <w:pPr>
              <w:jc w:val="right"/>
              <w:ind w:right="300"/>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tcPr>
          <w:p>
            <w:pPr>
              <w:ind w:left="480"/>
              <w:spacing w:after="0" w:line="138"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8" w:lineRule="exact"/>
              <w:rPr>
                <w:sz w:val="20"/>
                <w:szCs w:val="20"/>
                <w:color w:val="auto"/>
              </w:rPr>
            </w:pPr>
            <w:r>
              <w:rPr>
                <w:rFonts w:ascii="Arial" w:cs="Arial" w:eastAsia="Arial" w:hAnsi="Arial"/>
                <w:sz w:val="13"/>
                <w:szCs w:val="13"/>
                <w:color w:val="auto"/>
              </w:rPr>
              <w:t>949</w:t>
            </w:r>
          </w:p>
        </w:tc>
        <w:tc>
          <w:tcPr>
            <w:tcW w:w="140" w:type="dxa"/>
            <w:vAlign w:val="bottom"/>
          </w:tcPr>
          <w:p>
            <w:pPr>
              <w:spacing w:after="0"/>
              <w:rPr>
                <w:sz w:val="11"/>
                <w:szCs w:val="11"/>
                <w:color w:val="auto"/>
              </w:rPr>
            </w:pPr>
          </w:p>
        </w:tc>
        <w:tc>
          <w:tcPr>
            <w:tcW w:w="74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949,050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1,031,820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160" w:type="dxa"/>
            <w:vAlign w:val="bottom"/>
          </w:tcPr>
          <w:p>
            <w:pPr>
              <w:ind w:left="220"/>
              <w:spacing w:after="0"/>
              <w:rPr>
                <w:sz w:val="20"/>
                <w:szCs w:val="20"/>
                <w:color w:val="auto"/>
              </w:rPr>
            </w:pPr>
            <w:r>
              <w:rPr>
                <w:rFonts w:ascii="Arial" w:cs="Arial" w:eastAsia="Arial" w:hAnsi="Arial"/>
                <w:sz w:val="13"/>
                <w:szCs w:val="13"/>
                <w:color w:val="auto"/>
              </w:rPr>
              <w:t>(Alegeus Technologies, LLC)</w:t>
            </w:r>
          </w:p>
        </w:tc>
        <w:tc>
          <w:tcPr>
            <w:tcW w:w="13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1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CI (IHS) Investment Holdings, LLC</w:t>
            </w:r>
          </w:p>
        </w:tc>
        <w:tc>
          <w:tcPr>
            <w:tcW w:w="1380" w:type="dxa"/>
            <w:vAlign w:val="bottom"/>
            <w:shd w:val="clear" w:color="auto" w:fill="CCEEFF"/>
          </w:tcPr>
          <w:p>
            <w:pPr>
              <w:ind w:left="940"/>
              <w:spacing w:after="0" w:line="138" w:lineRule="exact"/>
              <w:rPr>
                <w:sz w:val="20"/>
                <w:szCs w:val="20"/>
                <w:color w:val="auto"/>
              </w:rPr>
            </w:pPr>
            <w:r>
              <w:rPr>
                <w:rFonts w:ascii="Arial" w:cs="Arial" w:eastAsia="Arial" w:hAnsi="Arial"/>
                <w:sz w:val="13"/>
                <w:szCs w:val="13"/>
                <w:color w:val="auto"/>
              </w:rPr>
              <w:t>—</w:t>
            </w:r>
          </w:p>
        </w:tc>
        <w:tc>
          <w:tcPr>
            <w:tcW w:w="1740" w:type="dxa"/>
            <w:vAlign w:val="bottom"/>
            <w:gridSpan w:val="2"/>
            <w:shd w:val="clear" w:color="auto" w:fill="CCEEFF"/>
          </w:tcPr>
          <w:p>
            <w:pPr>
              <w:jc w:val="center"/>
              <w:ind w:right="60"/>
              <w:spacing w:after="0" w:line="138" w:lineRule="exact"/>
              <w:rPr>
                <w:sz w:val="20"/>
                <w:szCs w:val="20"/>
                <w:color w:val="auto"/>
              </w:rPr>
            </w:pPr>
            <w:r>
              <w:rPr>
                <w:rFonts w:ascii="Arial" w:cs="Arial" w:eastAsia="Arial" w:hAnsi="Arial"/>
                <w:sz w:val="13"/>
                <w:szCs w:val="13"/>
                <w:color w:val="auto"/>
                <w:w w:val="93"/>
              </w:rPr>
              <w:t>Healthcare, Education</w:t>
            </w:r>
          </w:p>
        </w:tc>
        <w:tc>
          <w:tcPr>
            <w:tcW w:w="70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8.00%</w:t>
            </w:r>
          </w:p>
        </w:tc>
        <w:tc>
          <w:tcPr>
            <w:tcW w:w="820" w:type="dxa"/>
            <w:vAlign w:val="bottom"/>
            <w:gridSpan w:val="2"/>
            <w:shd w:val="clear" w:color="auto" w:fill="CCEEFF"/>
          </w:tcPr>
          <w:p>
            <w:pPr>
              <w:ind w:left="480"/>
              <w:spacing w:after="0" w:line="138"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76,357</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765,307</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881,885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1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(Interactive Health Solutions, Inc.)</w:t>
            </w:r>
          </w:p>
        </w:tc>
        <w:tc>
          <w:tcPr>
            <w:tcW w:w="138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2"/>
              </w:rPr>
              <w:t>and Childcare</w:t>
            </w:r>
          </w:p>
        </w:tc>
        <w:tc>
          <w:tcPr>
            <w:tcW w:w="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160" w:type="dxa"/>
            <w:vAlign w:val="bottom"/>
          </w:tcPr>
          <w:p>
            <w:pPr>
              <w:spacing w:after="0" w:line="138" w:lineRule="exact"/>
              <w:rPr>
                <w:sz w:val="20"/>
                <w:szCs w:val="20"/>
                <w:color w:val="auto"/>
              </w:rPr>
            </w:pPr>
            <w:r>
              <w:rPr>
                <w:rFonts w:ascii="Arial" w:cs="Arial" w:eastAsia="Arial" w:hAnsi="Arial"/>
                <w:sz w:val="10"/>
                <w:szCs w:val="10"/>
                <w:color w:val="auto"/>
              </w:rPr>
              <w:t xml:space="preserve">CI (IHS) Investment Holdings, LLC </w:t>
            </w:r>
            <w:r>
              <w:rPr>
                <w:rFonts w:ascii="Arial" w:cs="Arial" w:eastAsia="Arial" w:hAnsi="Arial"/>
                <w:sz w:val="15"/>
                <w:szCs w:val="15"/>
                <w:color w:val="auto"/>
                <w:vertAlign w:val="superscript"/>
              </w:rPr>
              <w:t>(9)</w:t>
            </w:r>
          </w:p>
        </w:tc>
        <w:tc>
          <w:tcPr>
            <w:tcW w:w="1380" w:type="dxa"/>
            <w:vAlign w:val="bottom"/>
          </w:tcPr>
          <w:p>
            <w:pPr>
              <w:ind w:left="940"/>
              <w:spacing w:after="0" w:line="138" w:lineRule="exact"/>
              <w:rPr>
                <w:sz w:val="20"/>
                <w:szCs w:val="20"/>
                <w:color w:val="auto"/>
              </w:rPr>
            </w:pPr>
            <w:r>
              <w:rPr>
                <w:rFonts w:ascii="Arial" w:cs="Arial" w:eastAsia="Arial" w:hAnsi="Arial"/>
                <w:sz w:val="13"/>
                <w:szCs w:val="13"/>
                <w:color w:val="auto"/>
              </w:rPr>
              <w:t>—</w:t>
            </w:r>
          </w:p>
        </w:tc>
        <w:tc>
          <w:tcPr>
            <w:tcW w:w="1740" w:type="dxa"/>
            <w:vAlign w:val="bottom"/>
            <w:gridSpan w:val="2"/>
          </w:tcPr>
          <w:p>
            <w:pPr>
              <w:jc w:val="center"/>
              <w:ind w:right="60"/>
              <w:spacing w:after="0" w:line="138" w:lineRule="exact"/>
              <w:rPr>
                <w:sz w:val="20"/>
                <w:szCs w:val="20"/>
                <w:color w:val="auto"/>
              </w:rPr>
            </w:pPr>
            <w:r>
              <w:rPr>
                <w:rFonts w:ascii="Arial" w:cs="Arial" w:eastAsia="Arial" w:hAnsi="Arial"/>
                <w:sz w:val="13"/>
                <w:szCs w:val="13"/>
                <w:color w:val="auto"/>
                <w:w w:val="93"/>
              </w:rPr>
              <w:t>Healthcare, Education</w:t>
            </w:r>
          </w:p>
        </w:tc>
        <w:tc>
          <w:tcPr>
            <w:tcW w:w="700" w:type="dxa"/>
            <w:vAlign w:val="bottom"/>
            <w:gridSpan w:val="2"/>
          </w:tcPr>
          <w:p>
            <w:pPr>
              <w:jc w:val="right"/>
              <w:ind w:right="300"/>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tcPr>
          <w:p>
            <w:pPr>
              <w:ind w:left="480"/>
              <w:spacing w:after="0" w:line="138"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8" w:lineRule="exact"/>
              <w:rPr>
                <w:sz w:val="20"/>
                <w:szCs w:val="20"/>
                <w:color w:val="auto"/>
              </w:rPr>
            </w:pPr>
            <w:r>
              <w:rPr>
                <w:rFonts w:ascii="Arial" w:cs="Arial" w:eastAsia="Arial" w:hAnsi="Arial"/>
                <w:sz w:val="13"/>
                <w:szCs w:val="13"/>
                <w:color w:val="auto"/>
              </w:rPr>
              <w:t>38,179</w:t>
            </w:r>
          </w:p>
        </w:tc>
        <w:tc>
          <w:tcPr>
            <w:tcW w:w="140" w:type="dxa"/>
            <w:vAlign w:val="bottom"/>
          </w:tcPr>
          <w:p>
            <w:pPr>
              <w:spacing w:after="0"/>
              <w:rPr>
                <w:sz w:val="11"/>
                <w:szCs w:val="11"/>
                <w:color w:val="auto"/>
              </w:rPr>
            </w:pPr>
          </w:p>
        </w:tc>
        <w:tc>
          <w:tcPr>
            <w:tcW w:w="74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382,654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ind w:left="48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4160" w:type="dxa"/>
            <w:vAlign w:val="bottom"/>
          </w:tcPr>
          <w:p>
            <w:pPr>
              <w:ind w:left="220"/>
              <w:spacing w:after="0"/>
              <w:rPr>
                <w:sz w:val="20"/>
                <w:szCs w:val="20"/>
                <w:color w:val="auto"/>
              </w:rPr>
            </w:pPr>
            <w:r>
              <w:rPr>
                <w:rFonts w:ascii="Arial" w:cs="Arial" w:eastAsia="Arial" w:hAnsi="Arial"/>
                <w:sz w:val="13"/>
                <w:szCs w:val="13"/>
                <w:color w:val="auto"/>
              </w:rPr>
              <w:t>(Interactive Health Solutions, Inc.)</w:t>
            </w:r>
          </w:p>
        </w:tc>
        <w:tc>
          <w:tcPr>
            <w:tcW w:w="1380" w:type="dxa"/>
            <w:vAlign w:val="bottom"/>
          </w:tcPr>
          <w:p>
            <w:pPr>
              <w:spacing w:after="0"/>
              <w:rPr>
                <w:sz w:val="15"/>
                <w:szCs w:val="15"/>
                <w:color w:val="auto"/>
              </w:rPr>
            </w:pPr>
          </w:p>
        </w:tc>
        <w:tc>
          <w:tcPr>
            <w:tcW w:w="1740" w:type="dxa"/>
            <w:vAlign w:val="bottom"/>
            <w:gridSpan w:val="2"/>
          </w:tcPr>
          <w:p>
            <w:pPr>
              <w:jc w:val="center"/>
              <w:ind w:right="40"/>
              <w:spacing w:after="0"/>
              <w:rPr>
                <w:sz w:val="20"/>
                <w:szCs w:val="20"/>
                <w:color w:val="auto"/>
              </w:rPr>
            </w:pPr>
            <w:r>
              <w:rPr>
                <w:rFonts w:ascii="Arial" w:cs="Arial" w:eastAsia="Arial" w:hAnsi="Arial"/>
                <w:sz w:val="13"/>
                <w:szCs w:val="13"/>
                <w:color w:val="auto"/>
                <w:w w:val="92"/>
              </w:rPr>
              <w:t>and Childcare</w:t>
            </w: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160" w:type="dxa"/>
            <w:vAlign w:val="bottom"/>
            <w:shd w:val="clear" w:color="auto" w:fill="CCEEFF"/>
          </w:tcPr>
          <w:p>
            <w:pPr>
              <w:spacing w:after="0"/>
              <w:rPr>
                <w:sz w:val="20"/>
                <w:szCs w:val="20"/>
                <w:color w:val="auto"/>
              </w:rPr>
            </w:pPr>
            <w:r>
              <w:rPr>
                <w:rFonts w:ascii="Arial" w:cs="Arial" w:eastAsia="Arial" w:hAnsi="Arial"/>
                <w:sz w:val="13"/>
                <w:szCs w:val="13"/>
                <w:color w:val="auto"/>
              </w:rPr>
              <w:t>Convergint Technologies Holdings, LLC</w:t>
            </w:r>
          </w:p>
        </w:tc>
        <w:tc>
          <w:tcPr>
            <w:tcW w:w="1380" w:type="dxa"/>
            <w:vAlign w:val="bottom"/>
            <w:shd w:val="clear" w:color="auto" w:fill="CCEEFF"/>
          </w:tcPr>
          <w:p>
            <w:pPr>
              <w:ind w:left="940"/>
              <w:spacing w:after="0"/>
              <w:rPr>
                <w:sz w:val="20"/>
                <w:szCs w:val="20"/>
                <w:color w:val="auto"/>
              </w:rPr>
            </w:pPr>
            <w:r>
              <w:rPr>
                <w:rFonts w:ascii="Arial" w:cs="Arial" w:eastAsia="Arial" w:hAnsi="Arial"/>
                <w:sz w:val="13"/>
                <w:szCs w:val="13"/>
                <w:color w:val="auto"/>
              </w:rPr>
              <w:t>—</w:t>
            </w:r>
          </w:p>
        </w:tc>
        <w:tc>
          <w:tcPr>
            <w:tcW w:w="174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7"/>
              </w:rPr>
              <w:t>Electronics</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2,375</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2,375,000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160" w:type="dxa"/>
            <w:vAlign w:val="bottom"/>
          </w:tcPr>
          <w:p>
            <w:pPr>
              <w:spacing w:after="0" w:line="138" w:lineRule="exact"/>
              <w:rPr>
                <w:sz w:val="20"/>
                <w:szCs w:val="20"/>
                <w:color w:val="auto"/>
              </w:rPr>
            </w:pPr>
            <w:r>
              <w:rPr>
                <w:rFonts w:ascii="Arial" w:cs="Arial" w:eastAsia="Arial" w:hAnsi="Arial"/>
                <w:sz w:val="13"/>
                <w:szCs w:val="13"/>
                <w:color w:val="auto"/>
              </w:rPr>
              <w:t>HW Topco, Inc.</w:t>
            </w:r>
          </w:p>
        </w:tc>
        <w:tc>
          <w:tcPr>
            <w:tcW w:w="1380" w:type="dxa"/>
            <w:vAlign w:val="bottom"/>
          </w:tcPr>
          <w:p>
            <w:pPr>
              <w:ind w:left="940"/>
              <w:spacing w:after="0" w:line="138" w:lineRule="exact"/>
              <w:rPr>
                <w:sz w:val="20"/>
                <w:szCs w:val="20"/>
                <w:color w:val="auto"/>
              </w:rPr>
            </w:pPr>
            <w:r>
              <w:rPr>
                <w:rFonts w:ascii="Arial" w:cs="Arial" w:eastAsia="Arial" w:hAnsi="Arial"/>
                <w:sz w:val="13"/>
                <w:szCs w:val="13"/>
                <w:color w:val="auto"/>
              </w:rPr>
              <w:t>—</w:t>
            </w:r>
          </w:p>
        </w:tc>
        <w:tc>
          <w:tcPr>
            <w:tcW w:w="1740" w:type="dxa"/>
            <w:vAlign w:val="bottom"/>
            <w:gridSpan w:val="2"/>
          </w:tcPr>
          <w:p>
            <w:pPr>
              <w:jc w:val="center"/>
              <w:ind w:right="60"/>
              <w:spacing w:after="0" w:line="138" w:lineRule="exact"/>
              <w:rPr>
                <w:sz w:val="20"/>
                <w:szCs w:val="20"/>
                <w:color w:val="auto"/>
              </w:rPr>
            </w:pPr>
            <w:r>
              <w:rPr>
                <w:rFonts w:ascii="Arial" w:cs="Arial" w:eastAsia="Arial" w:hAnsi="Arial"/>
                <w:sz w:val="13"/>
                <w:szCs w:val="13"/>
                <w:color w:val="auto"/>
                <w:w w:val="95"/>
              </w:rPr>
              <w:t>Other Media</w:t>
            </w:r>
          </w:p>
        </w:tc>
        <w:tc>
          <w:tcPr>
            <w:tcW w:w="70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8.00%</w:t>
            </w:r>
          </w:p>
        </w:tc>
        <w:tc>
          <w:tcPr>
            <w:tcW w:w="820" w:type="dxa"/>
            <w:vAlign w:val="bottom"/>
            <w:gridSpan w:val="2"/>
          </w:tcPr>
          <w:p>
            <w:pPr>
              <w:ind w:left="480"/>
              <w:spacing w:after="0" w:line="138"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8" w:lineRule="exact"/>
              <w:rPr>
                <w:sz w:val="20"/>
                <w:szCs w:val="20"/>
                <w:color w:val="auto"/>
              </w:rPr>
            </w:pPr>
            <w:r>
              <w:rPr>
                <w:rFonts w:ascii="Arial" w:cs="Arial" w:eastAsia="Arial" w:hAnsi="Arial"/>
                <w:sz w:val="13"/>
                <w:szCs w:val="13"/>
                <w:color w:val="auto"/>
              </w:rPr>
              <w:t>3,591</w:t>
            </w:r>
          </w:p>
        </w:tc>
        <w:tc>
          <w:tcPr>
            <w:tcW w:w="140" w:type="dxa"/>
            <w:vAlign w:val="bottom"/>
          </w:tcPr>
          <w:p>
            <w:pPr>
              <w:spacing w:after="0"/>
              <w:rPr>
                <w:sz w:val="11"/>
                <w:szCs w:val="11"/>
                <w:color w:val="auto"/>
              </w:rPr>
            </w:pPr>
          </w:p>
        </w:tc>
        <w:tc>
          <w:tcPr>
            <w:tcW w:w="74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24,177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27,916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160" w:type="dxa"/>
            <w:vAlign w:val="bottom"/>
          </w:tcPr>
          <w:p>
            <w:pPr>
              <w:ind w:left="220"/>
              <w:spacing w:after="0"/>
              <w:rPr>
                <w:sz w:val="20"/>
                <w:szCs w:val="20"/>
                <w:color w:val="auto"/>
              </w:rPr>
            </w:pPr>
            <w:r>
              <w:rPr>
                <w:rFonts w:ascii="Arial" w:cs="Arial" w:eastAsia="Arial" w:hAnsi="Arial"/>
                <w:sz w:val="13"/>
                <w:szCs w:val="13"/>
                <w:color w:val="auto"/>
              </w:rPr>
              <w:t>(Hanley-Wood, LLC)</w:t>
            </w:r>
          </w:p>
        </w:tc>
        <w:tc>
          <w:tcPr>
            <w:tcW w:w="13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1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PAS Tech Holdings, Inc., Series A-1</w:t>
            </w:r>
          </w:p>
        </w:tc>
        <w:tc>
          <w:tcPr>
            <w:tcW w:w="1380" w:type="dxa"/>
            <w:vAlign w:val="bottom"/>
            <w:shd w:val="clear" w:color="auto" w:fill="CCEEFF"/>
          </w:tcPr>
          <w:p>
            <w:pPr>
              <w:ind w:left="940"/>
              <w:spacing w:after="0" w:line="138" w:lineRule="exact"/>
              <w:rPr>
                <w:sz w:val="20"/>
                <w:szCs w:val="20"/>
                <w:color w:val="auto"/>
              </w:rPr>
            </w:pPr>
            <w:r>
              <w:rPr>
                <w:rFonts w:ascii="Arial" w:cs="Arial" w:eastAsia="Arial" w:hAnsi="Arial"/>
                <w:sz w:val="13"/>
                <w:szCs w:val="13"/>
                <w:color w:val="auto"/>
              </w:rPr>
              <w:t>—</w:t>
            </w:r>
          </w:p>
        </w:tc>
        <w:tc>
          <w:tcPr>
            <w:tcW w:w="1740" w:type="dxa"/>
            <w:vAlign w:val="bottom"/>
            <w:gridSpan w:val="2"/>
            <w:shd w:val="clear" w:color="auto" w:fill="CCEEFF"/>
          </w:tcPr>
          <w:p>
            <w:pPr>
              <w:jc w:val="center"/>
              <w:ind w:right="60"/>
              <w:spacing w:after="0" w:line="138" w:lineRule="exact"/>
              <w:rPr>
                <w:sz w:val="20"/>
                <w:szCs w:val="20"/>
                <w:color w:val="auto"/>
              </w:rPr>
            </w:pPr>
            <w:r>
              <w:rPr>
                <w:rFonts w:ascii="Arial" w:cs="Arial" w:eastAsia="Arial" w:hAnsi="Arial"/>
                <w:sz w:val="13"/>
                <w:szCs w:val="13"/>
                <w:color w:val="auto"/>
                <w:w w:val="91"/>
              </w:rPr>
              <w:t>Aerospace and Defense</w:t>
            </w:r>
          </w:p>
        </w:tc>
        <w:tc>
          <w:tcPr>
            <w:tcW w:w="70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8.00%</w:t>
            </w:r>
          </w:p>
        </w:tc>
        <w:tc>
          <w:tcPr>
            <w:tcW w:w="820" w:type="dxa"/>
            <w:vAlign w:val="bottom"/>
            <w:gridSpan w:val="2"/>
            <w:shd w:val="clear" w:color="auto" w:fill="CCEEFF"/>
          </w:tcPr>
          <w:p>
            <w:pPr>
              <w:ind w:left="480"/>
              <w:spacing w:after="0" w:line="138"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20,000</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1,980,000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823,710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1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(PAS Technologies, Inc.)</w:t>
            </w:r>
          </w:p>
        </w:tc>
        <w:tc>
          <w:tcPr>
            <w:tcW w:w="13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20"/>
                <w:szCs w:val="20"/>
                <w:color w:val="auto"/>
              </w:rPr>
            </w:pPr>
            <w:r>
              <w:rPr>
                <w:rFonts w:ascii="Arial" w:cs="Arial" w:eastAsia="Arial" w:hAnsi="Arial"/>
                <w:sz w:val="13"/>
                <w:szCs w:val="13"/>
                <w:color w:val="auto"/>
              </w:rPr>
              <w:t>TrustHouse Services Holdings, LLC</w:t>
            </w:r>
          </w:p>
        </w:tc>
        <w:tc>
          <w:tcPr>
            <w:tcW w:w="1380" w:type="dxa"/>
            <w:vAlign w:val="bottom"/>
          </w:tcPr>
          <w:p>
            <w:pPr>
              <w:spacing w:after="0"/>
              <w:rPr>
                <w:sz w:val="12"/>
                <w:szCs w:val="12"/>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3"/>
                <w:szCs w:val="13"/>
                <w:color w:val="auto"/>
                <w:w w:val="91"/>
              </w:rPr>
              <w:t>Beverage, Food, and Tobacco</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12.00%</w:t>
            </w:r>
          </w:p>
        </w:tc>
        <w:tc>
          <w:tcPr>
            <w:tcW w:w="82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1,099</w:t>
            </w:r>
          </w:p>
        </w:tc>
        <w:tc>
          <w:tcPr>
            <w:tcW w:w="14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984,344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1,111,742</w:t>
            </w:r>
          </w:p>
        </w:tc>
        <w:tc>
          <w:tcPr>
            <w:tcW w:w="0" w:type="dxa"/>
            <w:vAlign w:val="bottom"/>
          </w:tcPr>
          <w:p>
            <w:pPr>
              <w:spacing w:after="0"/>
              <w:rPr>
                <w:sz w:val="1"/>
                <w:szCs w:val="1"/>
                <w:color w:val="auto"/>
              </w:rPr>
            </w:pPr>
          </w:p>
        </w:tc>
      </w:tr>
      <w:tr>
        <w:trPr>
          <w:trHeight w:val="138"/>
        </w:trPr>
        <w:tc>
          <w:tcPr>
            <w:tcW w:w="41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TZ Holdings, L.P., Series A</w:t>
            </w:r>
          </w:p>
        </w:tc>
        <w:tc>
          <w:tcPr>
            <w:tcW w:w="1380" w:type="dxa"/>
            <w:vAlign w:val="bottom"/>
            <w:shd w:val="clear" w:color="auto" w:fill="CCEEFF"/>
          </w:tcPr>
          <w:p>
            <w:pPr>
              <w:ind w:left="940"/>
              <w:spacing w:after="0" w:line="138" w:lineRule="exact"/>
              <w:rPr>
                <w:sz w:val="20"/>
                <w:szCs w:val="20"/>
                <w:color w:val="auto"/>
              </w:rPr>
            </w:pPr>
            <w:r>
              <w:rPr>
                <w:rFonts w:ascii="Arial" w:cs="Arial" w:eastAsia="Arial" w:hAnsi="Arial"/>
                <w:sz w:val="13"/>
                <w:szCs w:val="13"/>
                <w:color w:val="auto"/>
              </w:rPr>
              <w:t>—</w:t>
            </w:r>
          </w:p>
        </w:tc>
        <w:tc>
          <w:tcPr>
            <w:tcW w:w="1740" w:type="dxa"/>
            <w:vAlign w:val="bottom"/>
            <w:gridSpan w:val="2"/>
            <w:shd w:val="clear" w:color="auto" w:fill="CCEEFF"/>
          </w:tcPr>
          <w:p>
            <w:pPr>
              <w:jc w:val="center"/>
              <w:ind w:right="60"/>
              <w:spacing w:after="0" w:line="138" w:lineRule="exact"/>
              <w:rPr>
                <w:sz w:val="20"/>
                <w:szCs w:val="20"/>
                <w:color w:val="auto"/>
              </w:rPr>
            </w:pPr>
            <w:r>
              <w:rPr>
                <w:rFonts w:ascii="Arial" w:cs="Arial" w:eastAsia="Arial" w:hAnsi="Arial"/>
                <w:sz w:val="13"/>
                <w:szCs w:val="13"/>
                <w:color w:val="auto"/>
                <w:w w:val="91"/>
              </w:rPr>
              <w:t>Insurance</w:t>
            </w:r>
          </w:p>
        </w:tc>
        <w:tc>
          <w:tcPr>
            <w:tcW w:w="70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ind w:left="480"/>
              <w:spacing w:after="0" w:line="138"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686</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685,820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685,820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1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(Trizetto Group, Inc.)</w:t>
            </w:r>
          </w:p>
        </w:tc>
        <w:tc>
          <w:tcPr>
            <w:tcW w:w="13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160" w:type="dxa"/>
            <w:vAlign w:val="bottom"/>
          </w:tcPr>
          <w:p>
            <w:pPr>
              <w:spacing w:after="0" w:line="138" w:lineRule="exact"/>
              <w:rPr>
                <w:sz w:val="20"/>
                <w:szCs w:val="20"/>
                <w:color w:val="auto"/>
              </w:rPr>
            </w:pPr>
            <w:r>
              <w:rPr>
                <w:rFonts w:ascii="Arial" w:cs="Arial" w:eastAsia="Arial" w:hAnsi="Arial"/>
                <w:sz w:val="13"/>
                <w:szCs w:val="13"/>
                <w:color w:val="auto"/>
              </w:rPr>
              <w:t>TZ Holdings, L.P., Series B</w:t>
            </w:r>
          </w:p>
        </w:tc>
        <w:tc>
          <w:tcPr>
            <w:tcW w:w="1380" w:type="dxa"/>
            <w:vAlign w:val="bottom"/>
          </w:tcPr>
          <w:p>
            <w:pPr>
              <w:ind w:left="940"/>
              <w:spacing w:after="0" w:line="138" w:lineRule="exact"/>
              <w:rPr>
                <w:sz w:val="20"/>
                <w:szCs w:val="20"/>
                <w:color w:val="auto"/>
              </w:rPr>
            </w:pPr>
            <w:r>
              <w:rPr>
                <w:rFonts w:ascii="Arial" w:cs="Arial" w:eastAsia="Arial" w:hAnsi="Arial"/>
                <w:sz w:val="13"/>
                <w:szCs w:val="13"/>
                <w:color w:val="auto"/>
              </w:rPr>
              <w:t>—</w:t>
            </w:r>
          </w:p>
        </w:tc>
        <w:tc>
          <w:tcPr>
            <w:tcW w:w="1740" w:type="dxa"/>
            <w:vAlign w:val="bottom"/>
            <w:gridSpan w:val="2"/>
          </w:tcPr>
          <w:p>
            <w:pPr>
              <w:jc w:val="center"/>
              <w:ind w:right="60"/>
              <w:spacing w:after="0" w:line="138" w:lineRule="exact"/>
              <w:rPr>
                <w:sz w:val="20"/>
                <w:szCs w:val="20"/>
                <w:color w:val="auto"/>
              </w:rPr>
            </w:pPr>
            <w:r>
              <w:rPr>
                <w:rFonts w:ascii="Arial" w:cs="Arial" w:eastAsia="Arial" w:hAnsi="Arial"/>
                <w:sz w:val="13"/>
                <w:szCs w:val="13"/>
                <w:color w:val="auto"/>
                <w:w w:val="91"/>
              </w:rPr>
              <w:t>Insurance</w:t>
            </w:r>
          </w:p>
        </w:tc>
        <w:tc>
          <w:tcPr>
            <w:tcW w:w="70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6.50%</w:t>
            </w:r>
          </w:p>
        </w:tc>
        <w:tc>
          <w:tcPr>
            <w:tcW w:w="820" w:type="dxa"/>
            <w:vAlign w:val="bottom"/>
            <w:gridSpan w:val="2"/>
          </w:tcPr>
          <w:p>
            <w:pPr>
              <w:ind w:left="480"/>
              <w:spacing w:after="0" w:line="138"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8" w:lineRule="exact"/>
              <w:rPr>
                <w:sz w:val="20"/>
                <w:szCs w:val="20"/>
                <w:color w:val="auto"/>
              </w:rPr>
            </w:pPr>
            <w:r>
              <w:rPr>
                <w:rFonts w:ascii="Arial" w:cs="Arial" w:eastAsia="Arial" w:hAnsi="Arial"/>
                <w:sz w:val="13"/>
                <w:szCs w:val="13"/>
                <w:color w:val="auto"/>
              </w:rPr>
              <w:t>1,312</w:t>
            </w:r>
          </w:p>
        </w:tc>
        <w:tc>
          <w:tcPr>
            <w:tcW w:w="140" w:type="dxa"/>
            <w:vAlign w:val="bottom"/>
          </w:tcPr>
          <w:p>
            <w:pPr>
              <w:spacing w:after="0"/>
              <w:rPr>
                <w:sz w:val="11"/>
                <w:szCs w:val="11"/>
                <w:color w:val="auto"/>
              </w:rPr>
            </w:pPr>
          </w:p>
        </w:tc>
        <w:tc>
          <w:tcPr>
            <w:tcW w:w="74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1,312,006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1,666,679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160" w:type="dxa"/>
            <w:vAlign w:val="bottom"/>
          </w:tcPr>
          <w:p>
            <w:pPr>
              <w:ind w:left="220"/>
              <w:spacing w:after="0"/>
              <w:rPr>
                <w:sz w:val="20"/>
                <w:szCs w:val="20"/>
                <w:color w:val="auto"/>
              </w:rPr>
            </w:pPr>
            <w:r>
              <w:rPr>
                <w:rFonts w:ascii="Arial" w:cs="Arial" w:eastAsia="Arial" w:hAnsi="Arial"/>
                <w:sz w:val="13"/>
                <w:szCs w:val="13"/>
                <w:color w:val="auto"/>
              </w:rPr>
              <w:t>(Trizetto Group, Inc.)</w:t>
            </w:r>
          </w:p>
        </w:tc>
        <w:tc>
          <w:tcPr>
            <w:tcW w:w="13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60" w:type="dxa"/>
            <w:vAlign w:val="bottom"/>
            <w:shd w:val="clear" w:color="auto" w:fill="CCEEFF"/>
          </w:tcPr>
          <w:p>
            <w:pPr>
              <w:spacing w:after="0"/>
              <w:rPr>
                <w:sz w:val="20"/>
                <w:szCs w:val="20"/>
                <w:color w:val="auto"/>
              </w:rPr>
            </w:pPr>
            <w:r>
              <w:rPr>
                <w:rFonts w:ascii="Arial" w:cs="Arial" w:eastAsia="Arial" w:hAnsi="Arial"/>
                <w:sz w:val="13"/>
                <w:szCs w:val="13"/>
                <w:color w:val="auto"/>
              </w:rPr>
              <w:t>Verde Parent Holdings, Inc.</w:t>
            </w:r>
          </w:p>
        </w:tc>
        <w:tc>
          <w:tcPr>
            <w:tcW w:w="1380" w:type="dxa"/>
            <w:vAlign w:val="bottom"/>
            <w:shd w:val="clear" w:color="auto" w:fill="CCEEFF"/>
          </w:tcPr>
          <w:p>
            <w:pPr>
              <w:ind w:left="940"/>
              <w:spacing w:after="0"/>
              <w:rPr>
                <w:sz w:val="20"/>
                <w:szCs w:val="20"/>
                <w:color w:val="auto"/>
              </w:rPr>
            </w:pPr>
            <w:r>
              <w:rPr>
                <w:rFonts w:ascii="Arial" w:cs="Arial" w:eastAsia="Arial" w:hAnsi="Arial"/>
                <w:sz w:val="13"/>
                <w:szCs w:val="13"/>
                <w:color w:val="auto"/>
              </w:rPr>
              <w:t>—</w:t>
            </w:r>
          </w:p>
        </w:tc>
        <w:tc>
          <w:tcPr>
            <w:tcW w:w="174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3"/>
              </w:rPr>
              <w:t>Personal Transportation</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8.00%</w:t>
            </w: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1,824,167</w:t>
            </w:r>
          </w:p>
        </w:tc>
        <w:tc>
          <w:tcPr>
            <w:tcW w:w="14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1,824,167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1,949,629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160" w:type="dxa"/>
            <w:vAlign w:val="bottom"/>
          </w:tcPr>
          <w:p>
            <w:pPr>
              <w:spacing w:after="0"/>
              <w:rPr>
                <w:sz w:val="20"/>
                <w:szCs w:val="20"/>
                <w:color w:val="auto"/>
              </w:rPr>
            </w:pPr>
            <w:r>
              <w:rPr>
                <w:rFonts w:ascii="Arial" w:cs="Arial" w:eastAsia="Arial" w:hAnsi="Arial"/>
                <w:sz w:val="13"/>
                <w:szCs w:val="13"/>
                <w:b w:val="1"/>
                <w:bCs w:val="1"/>
                <w:color w:val="auto"/>
              </w:rPr>
              <w:t>Total Preferred Equity/Partnership Interests</w:t>
            </w:r>
          </w:p>
        </w:tc>
        <w:tc>
          <w:tcPr>
            <w:tcW w:w="1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12,101,421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11,178,282</w:t>
            </w:r>
          </w:p>
        </w:tc>
        <w:tc>
          <w:tcPr>
            <w:tcW w:w="0" w:type="dxa"/>
            <w:vAlign w:val="bottom"/>
          </w:tcPr>
          <w:p>
            <w:pPr>
              <w:spacing w:after="0"/>
              <w:rPr>
                <w:sz w:val="1"/>
                <w:szCs w:val="1"/>
                <w:color w:val="auto"/>
              </w:rPr>
            </w:pPr>
          </w:p>
        </w:tc>
      </w:tr>
      <w:tr>
        <w:trPr>
          <w:trHeight w:val="148"/>
        </w:trPr>
        <w:tc>
          <w:tcPr>
            <w:tcW w:w="416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Common Equity/Warrants/Partnership Interests— 9.2%</w:t>
            </w:r>
            <w:r>
              <w:rPr>
                <w:rFonts w:ascii="Arial" w:cs="Arial" w:eastAsia="Arial" w:hAnsi="Arial"/>
                <w:sz w:val="17"/>
                <w:szCs w:val="17"/>
                <w:b w:val="1"/>
                <w:bCs w:val="1"/>
                <w:color w:val="auto"/>
                <w:vertAlign w:val="superscript"/>
              </w:rPr>
              <w:t>(6)</w:t>
            </w:r>
          </w:p>
        </w:tc>
        <w:tc>
          <w:tcPr>
            <w:tcW w:w="13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line="149" w:lineRule="exact"/>
              <w:rPr>
                <w:sz w:val="20"/>
                <w:szCs w:val="20"/>
                <w:color w:val="auto"/>
              </w:rPr>
            </w:pPr>
            <w:r>
              <w:rPr>
                <w:rFonts w:ascii="Arial" w:cs="Arial" w:eastAsia="Arial" w:hAnsi="Arial"/>
                <w:sz w:val="11"/>
                <w:szCs w:val="11"/>
                <w:color w:val="auto"/>
              </w:rPr>
              <w:t xml:space="preserve">Acentia, LLC, Class A Units </w:t>
            </w:r>
            <w:r>
              <w:rPr>
                <w:rFonts w:ascii="Arial" w:cs="Arial" w:eastAsia="Arial" w:hAnsi="Arial"/>
                <w:sz w:val="17"/>
                <w:szCs w:val="17"/>
                <w:color w:val="auto"/>
                <w:vertAlign w:val="superscript"/>
              </w:rPr>
              <w:t>(12)</w:t>
            </w:r>
          </w:p>
        </w:tc>
        <w:tc>
          <w:tcPr>
            <w:tcW w:w="1380" w:type="dxa"/>
            <w:vAlign w:val="bottom"/>
          </w:tcPr>
          <w:p>
            <w:pPr>
              <w:ind w:left="940"/>
              <w:spacing w:after="0"/>
              <w:rPr>
                <w:sz w:val="20"/>
                <w:szCs w:val="20"/>
                <w:color w:val="auto"/>
              </w:rPr>
            </w:pPr>
            <w:r>
              <w:rPr>
                <w:rFonts w:ascii="Arial" w:cs="Arial" w:eastAsia="Arial" w:hAnsi="Arial"/>
                <w:sz w:val="13"/>
                <w:szCs w:val="13"/>
                <w:color w:val="auto"/>
              </w:rPr>
              <w:t>—</w:t>
            </w:r>
          </w:p>
        </w:tc>
        <w:tc>
          <w:tcPr>
            <w:tcW w:w="1740" w:type="dxa"/>
            <w:vAlign w:val="bottom"/>
            <w:gridSpan w:val="2"/>
          </w:tcPr>
          <w:p>
            <w:pPr>
              <w:jc w:val="center"/>
              <w:ind w:right="40"/>
              <w:spacing w:after="0"/>
              <w:rPr>
                <w:sz w:val="20"/>
                <w:szCs w:val="20"/>
                <w:color w:val="auto"/>
              </w:rPr>
            </w:pPr>
            <w:r>
              <w:rPr>
                <w:rFonts w:ascii="Arial" w:cs="Arial" w:eastAsia="Arial" w:hAnsi="Arial"/>
                <w:sz w:val="13"/>
                <w:szCs w:val="13"/>
                <w:color w:val="auto"/>
                <w:w w:val="97"/>
              </w:rPr>
              <w:t>Electronics</w:t>
            </w:r>
          </w:p>
        </w:tc>
        <w:tc>
          <w:tcPr>
            <w:tcW w:w="7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2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1,998</w:t>
            </w:r>
          </w:p>
        </w:tc>
        <w:tc>
          <w:tcPr>
            <w:tcW w:w="14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2,000,000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1,737,396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1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AH Holdings, Inc. (Warrants)</w:t>
            </w:r>
          </w:p>
        </w:tc>
        <w:tc>
          <w:tcPr>
            <w:tcW w:w="1380" w:type="dxa"/>
            <w:vAlign w:val="bottom"/>
            <w:shd w:val="clear" w:color="auto" w:fill="CCEEFF"/>
          </w:tcPr>
          <w:p>
            <w:pPr>
              <w:ind w:left="720"/>
              <w:spacing w:after="0" w:line="138" w:lineRule="exact"/>
              <w:rPr>
                <w:sz w:val="20"/>
                <w:szCs w:val="20"/>
                <w:color w:val="auto"/>
              </w:rPr>
            </w:pPr>
            <w:r>
              <w:rPr>
                <w:rFonts w:ascii="Arial" w:cs="Arial" w:eastAsia="Arial" w:hAnsi="Arial"/>
                <w:sz w:val="13"/>
                <w:szCs w:val="13"/>
                <w:color w:val="auto"/>
                <w:w w:val="98"/>
              </w:rPr>
              <w:t>03/23/2021</w:t>
            </w:r>
          </w:p>
        </w:tc>
        <w:tc>
          <w:tcPr>
            <w:tcW w:w="1740" w:type="dxa"/>
            <w:vAlign w:val="bottom"/>
            <w:gridSpan w:val="2"/>
            <w:shd w:val="clear" w:color="auto" w:fill="CCEEFF"/>
          </w:tcPr>
          <w:p>
            <w:pPr>
              <w:jc w:val="center"/>
              <w:ind w:right="60"/>
              <w:spacing w:after="0" w:line="138" w:lineRule="exact"/>
              <w:rPr>
                <w:sz w:val="20"/>
                <w:szCs w:val="20"/>
                <w:color w:val="auto"/>
              </w:rPr>
            </w:pPr>
            <w:r>
              <w:rPr>
                <w:rFonts w:ascii="Arial" w:cs="Arial" w:eastAsia="Arial" w:hAnsi="Arial"/>
                <w:sz w:val="13"/>
                <w:szCs w:val="13"/>
                <w:color w:val="auto"/>
                <w:w w:val="93"/>
              </w:rPr>
              <w:t>Healthcare, Education</w:t>
            </w:r>
          </w:p>
        </w:tc>
        <w:tc>
          <w:tcPr>
            <w:tcW w:w="70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ind w:left="480"/>
              <w:spacing w:after="0" w:line="138"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753</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80"/>
              <w:spacing w:after="0" w:line="13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2,063,780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1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(American Surgical Holdings, Inc.)</w:t>
            </w:r>
          </w:p>
        </w:tc>
        <w:tc>
          <w:tcPr>
            <w:tcW w:w="138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2"/>
              </w:rPr>
              <w:t>and Childcare</w:t>
            </w:r>
          </w:p>
        </w:tc>
        <w:tc>
          <w:tcPr>
            <w:tcW w:w="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160" w:type="dxa"/>
            <w:vAlign w:val="bottom"/>
          </w:tcPr>
          <w:p>
            <w:pPr>
              <w:spacing w:after="0" w:line="138" w:lineRule="exact"/>
              <w:rPr>
                <w:sz w:val="20"/>
                <w:szCs w:val="20"/>
                <w:color w:val="auto"/>
              </w:rPr>
            </w:pPr>
            <w:r>
              <w:rPr>
                <w:rFonts w:ascii="Arial" w:cs="Arial" w:eastAsia="Arial" w:hAnsi="Arial"/>
                <w:sz w:val="13"/>
                <w:szCs w:val="13"/>
                <w:color w:val="auto"/>
              </w:rPr>
              <w:t>Alegeus Technologies Holding Corp., Class A</w:t>
            </w:r>
          </w:p>
        </w:tc>
        <w:tc>
          <w:tcPr>
            <w:tcW w:w="1380" w:type="dxa"/>
            <w:vAlign w:val="bottom"/>
          </w:tcPr>
          <w:p>
            <w:pPr>
              <w:ind w:left="940"/>
              <w:spacing w:after="0" w:line="138" w:lineRule="exact"/>
              <w:rPr>
                <w:sz w:val="20"/>
                <w:szCs w:val="20"/>
                <w:color w:val="auto"/>
              </w:rPr>
            </w:pPr>
            <w:r>
              <w:rPr>
                <w:rFonts w:ascii="Arial" w:cs="Arial" w:eastAsia="Arial" w:hAnsi="Arial"/>
                <w:sz w:val="13"/>
                <w:szCs w:val="13"/>
                <w:color w:val="auto"/>
              </w:rPr>
              <w:t>—</w:t>
            </w:r>
          </w:p>
        </w:tc>
        <w:tc>
          <w:tcPr>
            <w:tcW w:w="1740" w:type="dxa"/>
            <w:vAlign w:val="bottom"/>
            <w:gridSpan w:val="2"/>
          </w:tcPr>
          <w:p>
            <w:pPr>
              <w:jc w:val="center"/>
              <w:ind w:right="40"/>
              <w:spacing w:after="0" w:line="138" w:lineRule="exact"/>
              <w:rPr>
                <w:sz w:val="20"/>
                <w:szCs w:val="20"/>
                <w:color w:val="auto"/>
              </w:rPr>
            </w:pPr>
            <w:r>
              <w:rPr>
                <w:rFonts w:ascii="Arial" w:cs="Arial" w:eastAsia="Arial" w:hAnsi="Arial"/>
                <w:sz w:val="13"/>
                <w:szCs w:val="13"/>
                <w:color w:val="auto"/>
                <w:w w:val="92"/>
              </w:rPr>
              <w:t>Financial Services</w:t>
            </w:r>
          </w:p>
        </w:tc>
        <w:tc>
          <w:tcPr>
            <w:tcW w:w="700" w:type="dxa"/>
            <w:vAlign w:val="bottom"/>
            <w:gridSpan w:val="2"/>
          </w:tcPr>
          <w:p>
            <w:pPr>
              <w:jc w:val="right"/>
              <w:ind w:right="300"/>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tcPr>
          <w:p>
            <w:pPr>
              <w:ind w:left="480"/>
              <w:spacing w:after="0" w:line="138"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8"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74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950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1,033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160" w:type="dxa"/>
            <w:vAlign w:val="bottom"/>
          </w:tcPr>
          <w:p>
            <w:pPr>
              <w:ind w:left="220"/>
              <w:spacing w:after="0"/>
              <w:rPr>
                <w:sz w:val="20"/>
                <w:szCs w:val="20"/>
                <w:color w:val="auto"/>
              </w:rPr>
            </w:pPr>
            <w:r>
              <w:rPr>
                <w:rFonts w:ascii="Arial" w:cs="Arial" w:eastAsia="Arial" w:hAnsi="Arial"/>
                <w:sz w:val="13"/>
                <w:szCs w:val="13"/>
                <w:color w:val="auto"/>
              </w:rPr>
              <w:t>(Alegeus Technologies, LLC)</w:t>
            </w:r>
          </w:p>
        </w:tc>
        <w:tc>
          <w:tcPr>
            <w:tcW w:w="13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1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Autumn Games, LLC</w:t>
            </w:r>
          </w:p>
        </w:tc>
        <w:tc>
          <w:tcPr>
            <w:tcW w:w="1380" w:type="dxa"/>
            <w:vAlign w:val="bottom"/>
            <w:shd w:val="clear" w:color="auto" w:fill="CCEEFF"/>
          </w:tcPr>
          <w:p>
            <w:pPr>
              <w:ind w:left="940"/>
              <w:spacing w:after="0" w:line="138" w:lineRule="exact"/>
              <w:rPr>
                <w:sz w:val="20"/>
                <w:szCs w:val="20"/>
                <w:color w:val="auto"/>
              </w:rPr>
            </w:pPr>
            <w:r>
              <w:rPr>
                <w:rFonts w:ascii="Arial" w:cs="Arial" w:eastAsia="Arial" w:hAnsi="Arial"/>
                <w:sz w:val="13"/>
                <w:szCs w:val="13"/>
                <w:color w:val="auto"/>
              </w:rPr>
              <w:t>—</w:t>
            </w:r>
          </w:p>
        </w:tc>
        <w:tc>
          <w:tcPr>
            <w:tcW w:w="1740" w:type="dxa"/>
            <w:vAlign w:val="bottom"/>
            <w:gridSpan w:val="2"/>
            <w:shd w:val="clear" w:color="auto" w:fill="CCEEFF"/>
          </w:tcPr>
          <w:p>
            <w:pPr>
              <w:jc w:val="center"/>
              <w:ind w:right="40"/>
              <w:spacing w:after="0" w:line="138" w:lineRule="exact"/>
              <w:rPr>
                <w:sz w:val="20"/>
                <w:szCs w:val="20"/>
                <w:color w:val="auto"/>
              </w:rPr>
            </w:pPr>
            <w:r>
              <w:rPr>
                <w:rFonts w:ascii="Arial" w:cs="Arial" w:eastAsia="Arial" w:hAnsi="Arial"/>
                <w:sz w:val="13"/>
                <w:szCs w:val="13"/>
                <w:color w:val="auto"/>
                <w:w w:val="92"/>
              </w:rPr>
              <w:t>Broadcasting and</w:t>
            </w:r>
          </w:p>
        </w:tc>
        <w:tc>
          <w:tcPr>
            <w:tcW w:w="70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ind w:left="480"/>
              <w:spacing w:after="0" w:line="138"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1,333,330</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3,000,000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8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4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3"/>
              </w:rPr>
              <w:t>Entertainment</w:t>
            </w:r>
          </w:p>
        </w:tc>
        <w:tc>
          <w:tcPr>
            <w:tcW w:w="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160" w:type="dxa"/>
            <w:vAlign w:val="bottom"/>
          </w:tcPr>
          <w:p>
            <w:pPr>
              <w:spacing w:after="0" w:line="138" w:lineRule="exact"/>
              <w:rPr>
                <w:sz w:val="20"/>
                <w:szCs w:val="20"/>
                <w:color w:val="auto"/>
              </w:rPr>
            </w:pPr>
            <w:r>
              <w:rPr>
                <w:rFonts w:ascii="Arial" w:cs="Arial" w:eastAsia="Arial" w:hAnsi="Arial"/>
                <w:sz w:val="10"/>
                <w:szCs w:val="10"/>
                <w:color w:val="auto"/>
              </w:rPr>
              <w:t xml:space="preserve">CI (Galls) Prime Investment Holdings, LLC </w:t>
            </w:r>
            <w:r>
              <w:rPr>
                <w:rFonts w:ascii="Arial" w:cs="Arial" w:eastAsia="Arial" w:hAnsi="Arial"/>
                <w:sz w:val="15"/>
                <w:szCs w:val="15"/>
                <w:color w:val="auto"/>
                <w:vertAlign w:val="superscript"/>
              </w:rPr>
              <w:t>(11)</w:t>
            </w:r>
          </w:p>
        </w:tc>
        <w:tc>
          <w:tcPr>
            <w:tcW w:w="1380" w:type="dxa"/>
            <w:vAlign w:val="bottom"/>
          </w:tcPr>
          <w:p>
            <w:pPr>
              <w:ind w:left="940"/>
              <w:spacing w:after="0" w:line="138" w:lineRule="exact"/>
              <w:rPr>
                <w:sz w:val="20"/>
                <w:szCs w:val="20"/>
                <w:color w:val="auto"/>
              </w:rPr>
            </w:pPr>
            <w:r>
              <w:rPr>
                <w:rFonts w:ascii="Arial" w:cs="Arial" w:eastAsia="Arial" w:hAnsi="Arial"/>
                <w:sz w:val="13"/>
                <w:szCs w:val="13"/>
                <w:color w:val="auto"/>
              </w:rPr>
              <w:t>—</w:t>
            </w:r>
          </w:p>
        </w:tc>
        <w:tc>
          <w:tcPr>
            <w:tcW w:w="1740" w:type="dxa"/>
            <w:vAlign w:val="bottom"/>
            <w:gridSpan w:val="2"/>
          </w:tcPr>
          <w:p>
            <w:pPr>
              <w:jc w:val="center"/>
              <w:ind w:right="40"/>
              <w:spacing w:after="0" w:line="138" w:lineRule="exact"/>
              <w:rPr>
                <w:sz w:val="20"/>
                <w:szCs w:val="20"/>
                <w:color w:val="auto"/>
              </w:rPr>
            </w:pPr>
            <w:r>
              <w:rPr>
                <w:rFonts w:ascii="Arial" w:cs="Arial" w:eastAsia="Arial" w:hAnsi="Arial"/>
                <w:sz w:val="13"/>
                <w:szCs w:val="13"/>
                <w:color w:val="auto"/>
              </w:rPr>
              <w:t>Distribution</w:t>
            </w:r>
          </w:p>
        </w:tc>
        <w:tc>
          <w:tcPr>
            <w:tcW w:w="700" w:type="dxa"/>
            <w:vAlign w:val="bottom"/>
            <w:gridSpan w:val="2"/>
          </w:tcPr>
          <w:p>
            <w:pPr>
              <w:jc w:val="right"/>
              <w:ind w:right="300"/>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tcPr>
          <w:p>
            <w:pPr>
              <w:ind w:left="480"/>
              <w:spacing w:after="0" w:line="138"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8" w:lineRule="exact"/>
              <w:rPr>
                <w:sz w:val="20"/>
                <w:szCs w:val="20"/>
                <w:color w:val="auto"/>
              </w:rPr>
            </w:pPr>
            <w:r>
              <w:rPr>
                <w:rFonts w:ascii="Arial" w:cs="Arial" w:eastAsia="Arial" w:hAnsi="Arial"/>
                <w:sz w:val="13"/>
                <w:szCs w:val="13"/>
                <w:color w:val="auto"/>
              </w:rPr>
              <w:t>1,505,000</w:t>
            </w:r>
          </w:p>
        </w:tc>
        <w:tc>
          <w:tcPr>
            <w:tcW w:w="140" w:type="dxa"/>
            <w:vAlign w:val="bottom"/>
          </w:tcPr>
          <w:p>
            <w:pPr>
              <w:spacing w:after="0"/>
              <w:rPr>
                <w:sz w:val="11"/>
                <w:szCs w:val="11"/>
                <w:color w:val="auto"/>
              </w:rPr>
            </w:pPr>
          </w:p>
        </w:tc>
        <w:tc>
          <w:tcPr>
            <w:tcW w:w="74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1,505,000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1,680,720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160" w:type="dxa"/>
            <w:vAlign w:val="bottom"/>
          </w:tcPr>
          <w:p>
            <w:pPr>
              <w:ind w:left="220"/>
              <w:spacing w:after="0"/>
              <w:rPr>
                <w:sz w:val="20"/>
                <w:szCs w:val="20"/>
                <w:color w:val="auto"/>
              </w:rPr>
            </w:pPr>
            <w:r>
              <w:rPr>
                <w:rFonts w:ascii="Arial" w:cs="Arial" w:eastAsia="Arial" w:hAnsi="Arial"/>
                <w:sz w:val="13"/>
                <w:szCs w:val="13"/>
                <w:color w:val="auto"/>
              </w:rPr>
              <w:t>(Galls, LLC; Quartermaster Inc.)</w:t>
            </w:r>
          </w:p>
        </w:tc>
        <w:tc>
          <w:tcPr>
            <w:tcW w:w="13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1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CI (IHS) Investment Holdings, LLC</w:t>
            </w:r>
          </w:p>
        </w:tc>
        <w:tc>
          <w:tcPr>
            <w:tcW w:w="1380" w:type="dxa"/>
            <w:vAlign w:val="bottom"/>
            <w:shd w:val="clear" w:color="auto" w:fill="CCEEFF"/>
          </w:tcPr>
          <w:p>
            <w:pPr>
              <w:ind w:left="940"/>
              <w:spacing w:after="0" w:line="138" w:lineRule="exact"/>
              <w:rPr>
                <w:sz w:val="20"/>
                <w:szCs w:val="20"/>
                <w:color w:val="auto"/>
              </w:rPr>
            </w:pPr>
            <w:r>
              <w:rPr>
                <w:rFonts w:ascii="Arial" w:cs="Arial" w:eastAsia="Arial" w:hAnsi="Arial"/>
                <w:sz w:val="13"/>
                <w:szCs w:val="13"/>
                <w:color w:val="auto"/>
              </w:rPr>
              <w:t>—</w:t>
            </w:r>
          </w:p>
        </w:tc>
        <w:tc>
          <w:tcPr>
            <w:tcW w:w="1740" w:type="dxa"/>
            <w:vAlign w:val="bottom"/>
            <w:gridSpan w:val="2"/>
            <w:shd w:val="clear" w:color="auto" w:fill="CCEEFF"/>
          </w:tcPr>
          <w:p>
            <w:pPr>
              <w:jc w:val="center"/>
              <w:ind w:right="60"/>
              <w:spacing w:after="0" w:line="138" w:lineRule="exact"/>
              <w:rPr>
                <w:sz w:val="20"/>
                <w:szCs w:val="20"/>
                <w:color w:val="auto"/>
              </w:rPr>
            </w:pPr>
            <w:r>
              <w:rPr>
                <w:rFonts w:ascii="Arial" w:cs="Arial" w:eastAsia="Arial" w:hAnsi="Arial"/>
                <w:sz w:val="13"/>
                <w:szCs w:val="13"/>
                <w:color w:val="auto"/>
                <w:w w:val="93"/>
              </w:rPr>
              <w:t>Healthcare, Education</w:t>
            </w:r>
          </w:p>
        </w:tc>
        <w:tc>
          <w:tcPr>
            <w:tcW w:w="70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ind w:left="480"/>
              <w:spacing w:after="0" w:line="138"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23,416</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234,693</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270,457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1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(Interactive Health Solutions, Inc.)</w:t>
            </w:r>
          </w:p>
        </w:tc>
        <w:tc>
          <w:tcPr>
            <w:tcW w:w="138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2"/>
              </w:rPr>
              <w:t>and Childcare</w:t>
            </w:r>
          </w:p>
        </w:tc>
        <w:tc>
          <w:tcPr>
            <w:tcW w:w="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160" w:type="dxa"/>
            <w:vAlign w:val="bottom"/>
          </w:tcPr>
          <w:p>
            <w:pPr>
              <w:spacing w:after="0" w:line="138" w:lineRule="exact"/>
              <w:rPr>
                <w:sz w:val="20"/>
                <w:szCs w:val="20"/>
                <w:color w:val="auto"/>
              </w:rPr>
            </w:pPr>
            <w:r>
              <w:rPr>
                <w:rFonts w:ascii="Arial" w:cs="Arial" w:eastAsia="Arial" w:hAnsi="Arial"/>
                <w:sz w:val="10"/>
                <w:szCs w:val="10"/>
                <w:color w:val="auto"/>
              </w:rPr>
              <w:t>CI (IHS) Investment Holdings, LLC</w:t>
            </w:r>
            <w:r>
              <w:rPr>
                <w:rFonts w:ascii="Arial" w:cs="Arial" w:eastAsia="Arial" w:hAnsi="Arial"/>
                <w:sz w:val="15"/>
                <w:szCs w:val="15"/>
                <w:color w:val="auto"/>
                <w:vertAlign w:val="superscript"/>
              </w:rPr>
              <w:t>(9)</w:t>
            </w:r>
          </w:p>
        </w:tc>
        <w:tc>
          <w:tcPr>
            <w:tcW w:w="1380" w:type="dxa"/>
            <w:vAlign w:val="bottom"/>
          </w:tcPr>
          <w:p>
            <w:pPr>
              <w:ind w:left="940"/>
              <w:spacing w:after="0" w:line="138" w:lineRule="exact"/>
              <w:rPr>
                <w:sz w:val="20"/>
                <w:szCs w:val="20"/>
                <w:color w:val="auto"/>
              </w:rPr>
            </w:pPr>
            <w:r>
              <w:rPr>
                <w:rFonts w:ascii="Arial" w:cs="Arial" w:eastAsia="Arial" w:hAnsi="Arial"/>
                <w:sz w:val="13"/>
                <w:szCs w:val="13"/>
                <w:color w:val="auto"/>
              </w:rPr>
              <w:t>—</w:t>
            </w:r>
          </w:p>
        </w:tc>
        <w:tc>
          <w:tcPr>
            <w:tcW w:w="1740" w:type="dxa"/>
            <w:vAlign w:val="bottom"/>
            <w:gridSpan w:val="2"/>
          </w:tcPr>
          <w:p>
            <w:pPr>
              <w:jc w:val="center"/>
              <w:ind w:right="60"/>
              <w:spacing w:after="0" w:line="138" w:lineRule="exact"/>
              <w:rPr>
                <w:sz w:val="20"/>
                <w:szCs w:val="20"/>
                <w:color w:val="auto"/>
              </w:rPr>
            </w:pPr>
            <w:r>
              <w:rPr>
                <w:rFonts w:ascii="Arial" w:cs="Arial" w:eastAsia="Arial" w:hAnsi="Arial"/>
                <w:sz w:val="13"/>
                <w:szCs w:val="13"/>
                <w:color w:val="auto"/>
                <w:w w:val="93"/>
              </w:rPr>
              <w:t>Healthcare, Education</w:t>
            </w:r>
          </w:p>
        </w:tc>
        <w:tc>
          <w:tcPr>
            <w:tcW w:w="700" w:type="dxa"/>
            <w:vAlign w:val="bottom"/>
            <w:gridSpan w:val="2"/>
          </w:tcPr>
          <w:p>
            <w:pPr>
              <w:jc w:val="right"/>
              <w:ind w:right="300"/>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tcPr>
          <w:p>
            <w:pPr>
              <w:ind w:left="480"/>
              <w:spacing w:after="0" w:line="138"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line="138" w:lineRule="exact"/>
              <w:rPr>
                <w:sz w:val="20"/>
                <w:szCs w:val="20"/>
                <w:color w:val="auto"/>
              </w:rPr>
            </w:pPr>
            <w:r>
              <w:rPr>
                <w:rFonts w:ascii="Arial" w:cs="Arial" w:eastAsia="Arial" w:hAnsi="Arial"/>
                <w:sz w:val="13"/>
                <w:szCs w:val="13"/>
                <w:color w:val="auto"/>
              </w:rPr>
              <w:t>11,708</w:t>
            </w:r>
          </w:p>
        </w:tc>
        <w:tc>
          <w:tcPr>
            <w:tcW w:w="74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117,346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ind w:left="48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4160" w:type="dxa"/>
            <w:vAlign w:val="bottom"/>
          </w:tcPr>
          <w:p>
            <w:pPr>
              <w:ind w:left="220"/>
              <w:spacing w:after="0"/>
              <w:rPr>
                <w:sz w:val="20"/>
                <w:szCs w:val="20"/>
                <w:color w:val="auto"/>
              </w:rPr>
            </w:pPr>
            <w:r>
              <w:rPr>
                <w:rFonts w:ascii="Arial" w:cs="Arial" w:eastAsia="Arial" w:hAnsi="Arial"/>
                <w:sz w:val="13"/>
                <w:szCs w:val="13"/>
                <w:color w:val="auto"/>
              </w:rPr>
              <w:t>(Interactive Health Solutions, Inc.)</w:t>
            </w:r>
          </w:p>
        </w:tc>
        <w:tc>
          <w:tcPr>
            <w:tcW w:w="1380" w:type="dxa"/>
            <w:vAlign w:val="bottom"/>
          </w:tcPr>
          <w:p>
            <w:pPr>
              <w:spacing w:after="0"/>
              <w:rPr>
                <w:sz w:val="15"/>
                <w:szCs w:val="15"/>
                <w:color w:val="auto"/>
              </w:rPr>
            </w:pPr>
          </w:p>
        </w:tc>
        <w:tc>
          <w:tcPr>
            <w:tcW w:w="1740" w:type="dxa"/>
            <w:vAlign w:val="bottom"/>
            <w:gridSpan w:val="2"/>
          </w:tcPr>
          <w:p>
            <w:pPr>
              <w:jc w:val="center"/>
              <w:ind w:right="40"/>
              <w:spacing w:after="0"/>
              <w:rPr>
                <w:sz w:val="20"/>
                <w:szCs w:val="20"/>
                <w:color w:val="auto"/>
              </w:rPr>
            </w:pPr>
            <w:r>
              <w:rPr>
                <w:rFonts w:ascii="Arial" w:cs="Arial" w:eastAsia="Arial" w:hAnsi="Arial"/>
                <w:sz w:val="13"/>
                <w:szCs w:val="13"/>
                <w:color w:val="auto"/>
                <w:w w:val="92"/>
              </w:rPr>
              <w:t>and Childcare</w:t>
            </w: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1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Convergint Technologies Holdings, LLC</w:t>
            </w:r>
          </w:p>
        </w:tc>
        <w:tc>
          <w:tcPr>
            <w:tcW w:w="1380" w:type="dxa"/>
            <w:vAlign w:val="bottom"/>
            <w:shd w:val="clear" w:color="auto" w:fill="CCEEFF"/>
          </w:tcPr>
          <w:p>
            <w:pPr>
              <w:ind w:left="940"/>
              <w:spacing w:after="0" w:line="138" w:lineRule="exact"/>
              <w:rPr>
                <w:sz w:val="20"/>
                <w:szCs w:val="20"/>
                <w:color w:val="auto"/>
              </w:rPr>
            </w:pPr>
            <w:r>
              <w:rPr>
                <w:rFonts w:ascii="Arial" w:cs="Arial" w:eastAsia="Arial" w:hAnsi="Arial"/>
                <w:sz w:val="13"/>
                <w:szCs w:val="13"/>
                <w:color w:val="auto"/>
              </w:rPr>
              <w:t>—</w:t>
            </w:r>
          </w:p>
        </w:tc>
        <w:tc>
          <w:tcPr>
            <w:tcW w:w="1740" w:type="dxa"/>
            <w:vAlign w:val="bottom"/>
            <w:gridSpan w:val="2"/>
            <w:shd w:val="clear" w:color="auto" w:fill="CCEEFF"/>
          </w:tcPr>
          <w:p>
            <w:pPr>
              <w:jc w:val="center"/>
              <w:ind w:right="40"/>
              <w:spacing w:after="0" w:line="138" w:lineRule="exact"/>
              <w:rPr>
                <w:sz w:val="20"/>
                <w:szCs w:val="20"/>
                <w:color w:val="auto"/>
              </w:rPr>
            </w:pPr>
            <w:r>
              <w:rPr>
                <w:rFonts w:ascii="Arial" w:cs="Arial" w:eastAsia="Arial" w:hAnsi="Arial"/>
                <w:sz w:val="13"/>
                <w:szCs w:val="13"/>
                <w:color w:val="auto"/>
                <w:w w:val="97"/>
              </w:rPr>
              <w:t>Electronics</w:t>
            </w:r>
          </w:p>
        </w:tc>
        <w:tc>
          <w:tcPr>
            <w:tcW w:w="70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ind w:left="480"/>
              <w:spacing w:after="0" w:line="138"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2,375</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80"/>
              <w:spacing w:after="0" w:line="13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8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9"/>
        </w:trPr>
        <w:tc>
          <w:tcPr>
            <w:tcW w:w="41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(Convergint Technologies) LLC</w:t>
            </w:r>
          </w:p>
        </w:tc>
        <w:tc>
          <w:tcPr>
            <w:tcW w:w="13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20"/>
                <w:szCs w:val="20"/>
                <w:color w:val="auto"/>
              </w:rPr>
            </w:pPr>
            <w:r>
              <w:rPr>
                <w:rFonts w:ascii="Arial" w:cs="Arial" w:eastAsia="Arial" w:hAnsi="Arial"/>
                <w:sz w:val="13"/>
                <w:szCs w:val="13"/>
                <w:color w:val="auto"/>
              </w:rPr>
              <w:t>CT Technologies Holdings, LLC</w:t>
            </w:r>
          </w:p>
        </w:tc>
        <w:tc>
          <w:tcPr>
            <w:tcW w:w="1380" w:type="dxa"/>
            <w:vAlign w:val="bottom"/>
          </w:tcPr>
          <w:p>
            <w:pPr>
              <w:ind w:left="940"/>
              <w:spacing w:after="0"/>
              <w:rPr>
                <w:sz w:val="20"/>
                <w:szCs w:val="20"/>
                <w:color w:val="auto"/>
              </w:rPr>
            </w:pPr>
            <w:r>
              <w:rPr>
                <w:rFonts w:ascii="Arial" w:cs="Arial" w:eastAsia="Arial" w:hAnsi="Arial"/>
                <w:sz w:val="13"/>
                <w:szCs w:val="13"/>
                <w:color w:val="auto"/>
              </w:rPr>
              <w:t>—</w:t>
            </w:r>
          </w:p>
        </w:tc>
        <w:tc>
          <w:tcPr>
            <w:tcW w:w="1740" w:type="dxa"/>
            <w:vAlign w:val="bottom"/>
            <w:gridSpan w:val="2"/>
          </w:tcPr>
          <w:p>
            <w:pPr>
              <w:jc w:val="center"/>
              <w:ind w:right="40"/>
              <w:spacing w:after="0"/>
              <w:rPr>
                <w:sz w:val="20"/>
                <w:szCs w:val="20"/>
                <w:color w:val="auto"/>
              </w:rPr>
            </w:pPr>
            <w:r>
              <w:rPr>
                <w:rFonts w:ascii="Arial" w:cs="Arial" w:eastAsia="Arial" w:hAnsi="Arial"/>
                <w:sz w:val="13"/>
                <w:szCs w:val="13"/>
                <w:color w:val="auto"/>
                <w:w w:val="92"/>
              </w:rPr>
              <w:t>Business Services</w:t>
            </w:r>
          </w:p>
        </w:tc>
        <w:tc>
          <w:tcPr>
            <w:tcW w:w="7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2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5,556</w:t>
            </w:r>
          </w:p>
        </w:tc>
        <w:tc>
          <w:tcPr>
            <w:tcW w:w="14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1,904,033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6,665,183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shd w:val="clear" w:color="auto" w:fill="CCEEFF"/>
          </w:tcPr>
          <w:p>
            <w:pPr>
              <w:spacing w:after="0"/>
              <w:rPr>
                <w:sz w:val="20"/>
                <w:szCs w:val="20"/>
                <w:color w:val="auto"/>
              </w:rPr>
            </w:pPr>
            <w:r>
              <w:rPr>
                <w:rFonts w:ascii="Arial" w:cs="Arial" w:eastAsia="Arial" w:hAnsi="Arial"/>
                <w:sz w:val="13"/>
                <w:szCs w:val="13"/>
                <w:color w:val="auto"/>
              </w:rPr>
              <w:t>DirectBuy Investors, L.P.</w:t>
            </w:r>
          </w:p>
        </w:tc>
        <w:tc>
          <w:tcPr>
            <w:tcW w:w="1380" w:type="dxa"/>
            <w:vAlign w:val="bottom"/>
            <w:shd w:val="clear" w:color="auto" w:fill="CCEEFF"/>
          </w:tcPr>
          <w:p>
            <w:pPr>
              <w:ind w:left="940"/>
              <w:spacing w:after="0"/>
              <w:rPr>
                <w:sz w:val="20"/>
                <w:szCs w:val="20"/>
                <w:color w:val="auto"/>
              </w:rPr>
            </w:pPr>
            <w:r>
              <w:rPr>
                <w:rFonts w:ascii="Arial" w:cs="Arial" w:eastAsia="Arial" w:hAnsi="Arial"/>
                <w:sz w:val="13"/>
                <w:szCs w:val="13"/>
                <w:color w:val="auto"/>
              </w:rPr>
              <w:t>—</w:t>
            </w:r>
          </w:p>
        </w:tc>
        <w:tc>
          <w:tcPr>
            <w:tcW w:w="174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2"/>
              </w:rPr>
              <w:t>Consumer Products</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30,000</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1,350,000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4160" w:type="dxa"/>
            <w:vAlign w:val="bottom"/>
          </w:tcPr>
          <w:p>
            <w:pPr>
              <w:spacing w:after="0" w:line="138" w:lineRule="exact"/>
              <w:rPr>
                <w:sz w:val="20"/>
                <w:szCs w:val="20"/>
                <w:color w:val="auto"/>
              </w:rPr>
            </w:pPr>
            <w:r>
              <w:rPr>
                <w:rFonts w:ascii="Arial" w:cs="Arial" w:eastAsia="Arial" w:hAnsi="Arial"/>
                <w:sz w:val="13"/>
                <w:szCs w:val="13"/>
                <w:color w:val="auto"/>
              </w:rPr>
              <w:t>HW Topco, Inc.</w:t>
            </w:r>
          </w:p>
        </w:tc>
        <w:tc>
          <w:tcPr>
            <w:tcW w:w="1380" w:type="dxa"/>
            <w:vAlign w:val="bottom"/>
          </w:tcPr>
          <w:p>
            <w:pPr>
              <w:ind w:left="940"/>
              <w:spacing w:after="0" w:line="138" w:lineRule="exact"/>
              <w:rPr>
                <w:sz w:val="20"/>
                <w:szCs w:val="20"/>
                <w:color w:val="auto"/>
              </w:rPr>
            </w:pPr>
            <w:r>
              <w:rPr>
                <w:rFonts w:ascii="Arial" w:cs="Arial" w:eastAsia="Arial" w:hAnsi="Arial"/>
                <w:sz w:val="13"/>
                <w:szCs w:val="13"/>
                <w:color w:val="auto"/>
              </w:rPr>
              <w:t>—</w:t>
            </w:r>
          </w:p>
        </w:tc>
        <w:tc>
          <w:tcPr>
            <w:tcW w:w="1740" w:type="dxa"/>
            <w:vAlign w:val="bottom"/>
            <w:gridSpan w:val="2"/>
          </w:tcPr>
          <w:p>
            <w:pPr>
              <w:jc w:val="center"/>
              <w:ind w:right="60"/>
              <w:spacing w:after="0" w:line="138" w:lineRule="exact"/>
              <w:rPr>
                <w:sz w:val="20"/>
                <w:szCs w:val="20"/>
                <w:color w:val="auto"/>
              </w:rPr>
            </w:pPr>
            <w:r>
              <w:rPr>
                <w:rFonts w:ascii="Arial" w:cs="Arial" w:eastAsia="Arial" w:hAnsi="Arial"/>
                <w:sz w:val="13"/>
                <w:szCs w:val="13"/>
                <w:color w:val="auto"/>
                <w:w w:val="95"/>
              </w:rPr>
              <w:t>Other Media</w:t>
            </w:r>
          </w:p>
        </w:tc>
        <w:tc>
          <w:tcPr>
            <w:tcW w:w="700" w:type="dxa"/>
            <w:vAlign w:val="bottom"/>
            <w:gridSpan w:val="2"/>
          </w:tcPr>
          <w:p>
            <w:pPr>
              <w:jc w:val="right"/>
              <w:ind w:right="300"/>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tcPr>
          <w:p>
            <w:pPr>
              <w:ind w:left="480"/>
              <w:spacing w:after="0" w:line="138"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8" w:lineRule="exact"/>
              <w:rPr>
                <w:sz w:val="20"/>
                <w:szCs w:val="20"/>
                <w:color w:val="auto"/>
              </w:rPr>
            </w:pPr>
            <w:r>
              <w:rPr>
                <w:rFonts w:ascii="Arial" w:cs="Arial" w:eastAsia="Arial" w:hAnsi="Arial"/>
                <w:sz w:val="13"/>
                <w:szCs w:val="13"/>
                <w:color w:val="auto"/>
              </w:rPr>
              <w:t>348,912</w:t>
            </w:r>
          </w:p>
        </w:tc>
        <w:tc>
          <w:tcPr>
            <w:tcW w:w="140" w:type="dxa"/>
            <w:vAlign w:val="bottom"/>
          </w:tcPr>
          <w:p>
            <w:pPr>
              <w:spacing w:after="0"/>
              <w:rPr>
                <w:sz w:val="11"/>
                <w:szCs w:val="11"/>
                <w:color w:val="auto"/>
              </w:rPr>
            </w:pPr>
          </w:p>
        </w:tc>
        <w:tc>
          <w:tcPr>
            <w:tcW w:w="74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2,443,050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2,642,438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160" w:type="dxa"/>
            <w:vAlign w:val="bottom"/>
          </w:tcPr>
          <w:p>
            <w:pPr>
              <w:ind w:left="220"/>
              <w:spacing w:after="0"/>
              <w:rPr>
                <w:sz w:val="20"/>
                <w:szCs w:val="20"/>
                <w:color w:val="auto"/>
              </w:rPr>
            </w:pPr>
            <w:r>
              <w:rPr>
                <w:rFonts w:ascii="Arial" w:cs="Arial" w:eastAsia="Arial" w:hAnsi="Arial"/>
                <w:sz w:val="13"/>
                <w:szCs w:val="13"/>
                <w:color w:val="auto"/>
              </w:rPr>
              <w:t>(Hanley-Wood, LLC)</w:t>
            </w:r>
          </w:p>
        </w:tc>
        <w:tc>
          <w:tcPr>
            <w:tcW w:w="1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45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 (Continued) SEPTEMBER 30, 2012</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3"/>
              </w:rPr>
              <w:t>Basis Point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5"/>
              </w:rPr>
              <w:t>Spread</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spacing w:after="0" w:line="134" w:lineRule="exact"/>
              <w:rPr>
                <w:sz w:val="20"/>
                <w:szCs w:val="20"/>
                <w:color w:val="auto"/>
              </w:rPr>
            </w:pPr>
            <w:r>
              <w:rPr>
                <w:rFonts w:ascii="Arial" w:cs="Arial" w:eastAsia="Arial" w:hAnsi="Arial"/>
                <w:sz w:val="13"/>
                <w:szCs w:val="13"/>
                <w:b w:val="1"/>
                <w:bCs w:val="1"/>
                <w:color w:val="auto"/>
              </w:rPr>
              <w:t>Current</w:t>
            </w:r>
          </w:p>
        </w:tc>
        <w:tc>
          <w:tcPr>
            <w:tcW w:w="1100" w:type="dxa"/>
            <w:vAlign w:val="bottom"/>
            <w:gridSpan w:val="2"/>
          </w:tcPr>
          <w:p>
            <w:pPr>
              <w:jc w:val="center"/>
              <w:ind w:right="400"/>
              <w:spacing w:after="0" w:line="134" w:lineRule="exact"/>
              <w:rPr>
                <w:sz w:val="20"/>
                <w:szCs w:val="20"/>
                <w:color w:val="auto"/>
              </w:rPr>
            </w:pPr>
            <w:r>
              <w:rPr>
                <w:rFonts w:ascii="Arial" w:cs="Arial" w:eastAsia="Arial" w:hAnsi="Arial"/>
                <w:sz w:val="13"/>
                <w:szCs w:val="13"/>
                <w:b w:val="1"/>
                <w:bCs w:val="1"/>
                <w:color w:val="auto"/>
                <w:w w:val="95"/>
              </w:rPr>
              <w:t>Above</w:t>
            </w:r>
          </w:p>
        </w:tc>
        <w:tc>
          <w:tcPr>
            <w:tcW w:w="780" w:type="dxa"/>
            <w:vAlign w:val="bottom"/>
            <w:gridSpan w:val="2"/>
          </w:tcPr>
          <w:p>
            <w:pPr>
              <w:jc w:val="right"/>
              <w:ind w:right="340"/>
              <w:spacing w:after="0" w:line="134" w:lineRule="exact"/>
              <w:rPr>
                <w:sz w:val="20"/>
                <w:szCs w:val="20"/>
                <w:color w:val="auto"/>
              </w:rPr>
            </w:pPr>
            <w:r>
              <w:rPr>
                <w:rFonts w:ascii="Arial" w:cs="Arial" w:eastAsia="Arial" w:hAnsi="Arial"/>
                <w:sz w:val="13"/>
                <w:szCs w:val="13"/>
                <w:b w:val="1"/>
                <w:bCs w:val="1"/>
                <w:color w:val="auto"/>
              </w:rPr>
              <w:t>Par/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22"/>
                <w:szCs w:val="22"/>
                <w:b w:val="1"/>
                <w:bCs w:val="1"/>
                <w:color w:val="auto"/>
                <w:vertAlign w:val="superscript"/>
              </w:rPr>
              <w:t>(3)</w:t>
            </w:r>
          </w:p>
        </w:tc>
        <w:tc>
          <w:tcPr>
            <w:tcW w:w="0" w:type="dxa"/>
            <w:vAlign w:val="bottom"/>
          </w:tcPr>
          <w:p>
            <w:pPr>
              <w:spacing w:after="0"/>
              <w:rPr>
                <w:sz w:val="1"/>
                <w:szCs w:val="1"/>
                <w:color w:val="auto"/>
              </w:rPr>
            </w:pPr>
          </w:p>
        </w:tc>
      </w:tr>
      <w:tr>
        <w:trPr>
          <w:trHeight w:val="176"/>
        </w:trPr>
        <w:tc>
          <w:tcPr>
            <w:tcW w:w="4140" w:type="dxa"/>
            <w:vAlign w:val="bottom"/>
            <w:gridSpan w:val="2"/>
          </w:tcPr>
          <w:p>
            <w:pPr>
              <w:spacing w:after="0"/>
              <w:rPr>
                <w:sz w:val="20"/>
                <w:szCs w:val="20"/>
                <w:color w:val="auto"/>
              </w:rPr>
            </w:pPr>
            <w:r>
              <w:rPr>
                <w:rFonts w:ascii="Arial" w:cs="Arial" w:eastAsia="Arial" w:hAnsi="Arial"/>
                <w:sz w:val="13"/>
                <w:szCs w:val="13"/>
                <w:b w:val="1"/>
                <w:bCs w:val="1"/>
                <w:color w:val="auto"/>
              </w:rPr>
              <w:t>Issuer Name</w:t>
            </w:r>
          </w:p>
        </w:tc>
        <w:tc>
          <w:tcPr>
            <w:tcW w:w="800" w:type="dxa"/>
            <w:vAlign w:val="bottom"/>
            <w:gridSpan w:val="2"/>
          </w:tcPr>
          <w:p>
            <w:pPr>
              <w:ind w:left="40"/>
              <w:spacing w:after="0"/>
              <w:rPr>
                <w:sz w:val="20"/>
                <w:szCs w:val="20"/>
                <w:color w:val="auto"/>
              </w:rPr>
            </w:pPr>
            <w:r>
              <w:rPr>
                <w:rFonts w:ascii="Arial" w:cs="Arial" w:eastAsia="Arial" w:hAnsi="Arial"/>
                <w:sz w:val="13"/>
                <w:szCs w:val="13"/>
                <w:b w:val="1"/>
                <w:bCs w:val="1"/>
                <w:color w:val="auto"/>
              </w:rPr>
              <w:t>Maturity</w:t>
            </w: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Industry</w:t>
            </w:r>
          </w:p>
        </w:tc>
        <w:tc>
          <w:tcPr>
            <w:tcW w:w="940" w:type="dxa"/>
            <w:vAlign w:val="bottom"/>
            <w:gridSpan w:val="2"/>
          </w:tcPr>
          <w:p>
            <w:pPr>
              <w:spacing w:after="0"/>
              <w:rPr>
                <w:sz w:val="20"/>
                <w:szCs w:val="20"/>
                <w:color w:val="auto"/>
              </w:rPr>
            </w:pPr>
            <w:r>
              <w:rPr>
                <w:rFonts w:ascii="Arial" w:cs="Arial" w:eastAsia="Arial" w:hAnsi="Arial"/>
                <w:sz w:val="13"/>
                <w:szCs w:val="13"/>
                <w:b w:val="1"/>
                <w:bCs w:val="1"/>
                <w:color w:val="auto"/>
              </w:rPr>
              <w:t>Coupon</w:t>
            </w:r>
          </w:p>
        </w:tc>
        <w:tc>
          <w:tcPr>
            <w:tcW w:w="1100" w:type="dxa"/>
            <w:vAlign w:val="bottom"/>
            <w:gridSpan w:val="2"/>
          </w:tcPr>
          <w:p>
            <w:pPr>
              <w:jc w:val="center"/>
              <w:ind w:right="400"/>
              <w:spacing w:after="0" w:line="176" w:lineRule="exact"/>
              <w:rPr>
                <w:sz w:val="20"/>
                <w:szCs w:val="20"/>
                <w:color w:val="auto"/>
              </w:rPr>
            </w:pPr>
            <w:r>
              <w:rPr>
                <w:rFonts w:ascii="Arial" w:cs="Arial" w:eastAsia="Arial" w:hAnsi="Arial"/>
                <w:sz w:val="12"/>
                <w:szCs w:val="12"/>
                <w:b w:val="1"/>
                <w:bCs w:val="1"/>
                <w:color w:val="auto"/>
                <w:w w:val="97"/>
              </w:rPr>
              <w:t xml:space="preserve">Index </w:t>
            </w:r>
            <w:r>
              <w:rPr>
                <w:rFonts w:ascii="Arial" w:cs="Arial" w:eastAsia="Arial" w:hAnsi="Arial"/>
                <w:sz w:val="20"/>
                <w:szCs w:val="20"/>
                <w:b w:val="1"/>
                <w:bCs w:val="1"/>
                <w:color w:val="auto"/>
                <w:w w:val="97"/>
                <w:vertAlign w:val="superscript"/>
              </w:rPr>
              <w:t>(4)</w:t>
            </w:r>
          </w:p>
        </w:tc>
        <w:tc>
          <w:tcPr>
            <w:tcW w:w="7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Cost</w:t>
            </w: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94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3"/>
                <w:szCs w:val="13"/>
                <w:color w:val="auto"/>
              </w:rPr>
              <w:t>Kadmon Holdings, LLC, Class A</w:t>
            </w:r>
          </w:p>
        </w:tc>
        <w:tc>
          <w:tcPr>
            <w:tcW w:w="2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ind w:left="200"/>
              <w:spacing w:after="0" w:line="131"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CEEFF"/>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3"/>
                <w:szCs w:val="13"/>
                <w:color w:val="auto"/>
                <w:w w:val="93"/>
              </w:rPr>
              <w:t>Healthcare, Education</w:t>
            </w:r>
          </w:p>
        </w:tc>
        <w:tc>
          <w:tcPr>
            <w:tcW w:w="1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ind w:left="280"/>
              <w:spacing w:after="0" w:line="131" w:lineRule="exact"/>
              <w:rPr>
                <w:sz w:val="20"/>
                <w:szCs w:val="20"/>
                <w:color w:val="auto"/>
              </w:rPr>
            </w:pPr>
            <w:r>
              <w:rPr>
                <w:rFonts w:ascii="Arial" w:cs="Arial" w:eastAsia="Arial" w:hAnsi="Arial"/>
                <w:sz w:val="13"/>
                <w:szCs w:val="13"/>
                <w:color w:val="auto"/>
              </w:rPr>
              <w:t>—</w:t>
            </w:r>
          </w:p>
        </w:tc>
        <w:tc>
          <w:tcPr>
            <w:tcW w:w="4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ind w:left="500"/>
              <w:spacing w:after="0" w:line="131" w:lineRule="exact"/>
              <w:rPr>
                <w:sz w:val="20"/>
                <w:szCs w:val="20"/>
                <w:color w:val="auto"/>
              </w:rPr>
            </w:pPr>
            <w:r>
              <w:rPr>
                <w:rFonts w:ascii="Arial" w:cs="Arial" w:eastAsia="Arial" w:hAnsi="Arial"/>
                <w:sz w:val="13"/>
                <w:szCs w:val="13"/>
                <w:color w:val="auto"/>
              </w:rPr>
              <w:t>—</w:t>
            </w:r>
          </w:p>
        </w:tc>
        <w:tc>
          <w:tcPr>
            <w:tcW w:w="4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1,079,920</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w w:val="99"/>
              </w:rPr>
              <w:t>$  1,236,832</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  12,013,688</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1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(Kadmon Pharmaceuticals, LLC)</w:t>
            </w: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2"/>
              </w:rPr>
              <w:t>and Childcare</w:t>
            </w:r>
          </w:p>
        </w:tc>
        <w:tc>
          <w:tcPr>
            <w:tcW w:w="4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140" w:type="dxa"/>
            <w:vAlign w:val="bottom"/>
            <w:gridSpan w:val="2"/>
          </w:tcPr>
          <w:p>
            <w:pPr>
              <w:spacing w:after="0" w:line="138" w:lineRule="exact"/>
              <w:rPr>
                <w:sz w:val="20"/>
                <w:szCs w:val="20"/>
                <w:color w:val="auto"/>
              </w:rPr>
            </w:pPr>
            <w:r>
              <w:rPr>
                <w:rFonts w:ascii="Arial" w:cs="Arial" w:eastAsia="Arial" w:hAnsi="Arial"/>
                <w:sz w:val="13"/>
                <w:szCs w:val="13"/>
                <w:color w:val="auto"/>
              </w:rPr>
              <w:t>Kadmon Holdings, LLC, Class D</w:t>
            </w:r>
          </w:p>
        </w:tc>
        <w:tc>
          <w:tcPr>
            <w:tcW w:w="800" w:type="dxa"/>
            <w:vAlign w:val="bottom"/>
            <w:gridSpan w:val="2"/>
          </w:tcPr>
          <w:p>
            <w:pPr>
              <w:ind w:left="200"/>
              <w:spacing w:after="0" w:line="138" w:lineRule="exact"/>
              <w:rPr>
                <w:sz w:val="20"/>
                <w:szCs w:val="20"/>
                <w:color w:val="auto"/>
              </w:rPr>
            </w:pPr>
            <w:r>
              <w:rPr>
                <w:rFonts w:ascii="Arial" w:cs="Arial" w:eastAsia="Arial" w:hAnsi="Arial"/>
                <w:sz w:val="13"/>
                <w:szCs w:val="13"/>
                <w:color w:val="auto"/>
              </w:rPr>
              <w:t>—</w:t>
            </w:r>
          </w:p>
        </w:tc>
        <w:tc>
          <w:tcPr>
            <w:tcW w:w="1480" w:type="dxa"/>
            <w:vAlign w:val="bottom"/>
            <w:gridSpan w:val="2"/>
          </w:tcPr>
          <w:p>
            <w:pPr>
              <w:jc w:val="center"/>
              <w:ind w:right="160"/>
              <w:spacing w:after="0" w:line="138" w:lineRule="exact"/>
              <w:rPr>
                <w:sz w:val="20"/>
                <w:szCs w:val="20"/>
                <w:color w:val="auto"/>
              </w:rPr>
            </w:pPr>
            <w:r>
              <w:rPr>
                <w:rFonts w:ascii="Arial" w:cs="Arial" w:eastAsia="Arial" w:hAnsi="Arial"/>
                <w:sz w:val="13"/>
                <w:szCs w:val="13"/>
                <w:color w:val="auto"/>
                <w:w w:val="93"/>
              </w:rPr>
              <w:t>Healthcare, Education</w:t>
            </w:r>
          </w:p>
        </w:tc>
        <w:tc>
          <w:tcPr>
            <w:tcW w:w="940" w:type="dxa"/>
            <w:vAlign w:val="bottom"/>
            <w:gridSpan w:val="2"/>
          </w:tcPr>
          <w:p>
            <w:pPr>
              <w:ind w:left="280"/>
              <w:spacing w:after="0" w:line="138" w:lineRule="exact"/>
              <w:rPr>
                <w:sz w:val="20"/>
                <w:szCs w:val="20"/>
                <w:color w:val="auto"/>
              </w:rPr>
            </w:pPr>
            <w:r>
              <w:rPr>
                <w:rFonts w:ascii="Arial" w:cs="Arial" w:eastAsia="Arial" w:hAnsi="Arial"/>
                <w:sz w:val="13"/>
                <w:szCs w:val="13"/>
                <w:color w:val="auto"/>
              </w:rPr>
              <w:t>—</w:t>
            </w:r>
          </w:p>
        </w:tc>
        <w:tc>
          <w:tcPr>
            <w:tcW w:w="1100" w:type="dxa"/>
            <w:vAlign w:val="bottom"/>
            <w:gridSpan w:val="2"/>
          </w:tcPr>
          <w:p>
            <w:pPr>
              <w:ind w:left="500"/>
              <w:spacing w:after="0" w:line="138"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line="138" w:lineRule="exact"/>
              <w:rPr>
                <w:sz w:val="20"/>
                <w:szCs w:val="20"/>
                <w:color w:val="auto"/>
              </w:rPr>
            </w:pPr>
            <w:r>
              <w:rPr>
                <w:rFonts w:ascii="Arial" w:cs="Arial" w:eastAsia="Arial" w:hAnsi="Arial"/>
                <w:sz w:val="13"/>
                <w:szCs w:val="13"/>
                <w:color w:val="auto"/>
              </w:rPr>
              <w:t>1,079,920</w:t>
            </w:r>
          </w:p>
        </w:tc>
        <w:tc>
          <w:tcPr>
            <w:tcW w:w="1000" w:type="dxa"/>
            <w:vAlign w:val="bottom"/>
            <w:gridSpan w:val="3"/>
          </w:tcPr>
          <w:p>
            <w:pPr>
              <w:jc w:val="right"/>
              <w:ind w:right="140"/>
              <w:spacing w:after="0" w:line="138" w:lineRule="exact"/>
              <w:rPr>
                <w:sz w:val="20"/>
                <w:szCs w:val="20"/>
                <w:color w:val="auto"/>
              </w:rPr>
            </w:pPr>
            <w:r>
              <w:rPr>
                <w:rFonts w:ascii="Arial" w:cs="Arial" w:eastAsia="Arial" w:hAnsi="Arial"/>
                <w:sz w:val="13"/>
                <w:szCs w:val="13"/>
                <w:color w:val="auto"/>
              </w:rPr>
              <w:t>1,028,807</w:t>
            </w:r>
          </w:p>
        </w:tc>
        <w:tc>
          <w:tcPr>
            <w:tcW w:w="9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1,028,807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140" w:type="dxa"/>
            <w:vAlign w:val="bottom"/>
            <w:gridSpan w:val="2"/>
          </w:tcPr>
          <w:p>
            <w:pPr>
              <w:ind w:left="220"/>
              <w:spacing w:after="0"/>
              <w:rPr>
                <w:sz w:val="20"/>
                <w:szCs w:val="20"/>
                <w:color w:val="auto"/>
              </w:rPr>
            </w:pPr>
            <w:r>
              <w:rPr>
                <w:rFonts w:ascii="Arial" w:cs="Arial" w:eastAsia="Arial" w:hAnsi="Arial"/>
                <w:sz w:val="13"/>
                <w:szCs w:val="13"/>
                <w:color w:val="auto"/>
              </w:rPr>
              <w:t>(Kadmon Pharmaceuticals, LLC)</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color w:val="auto"/>
                <w:w w:val="92"/>
              </w:rPr>
              <w:t>and Childcare</w:t>
            </w: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Learning Care Group (US) Inc. (Warrants)</w:t>
            </w:r>
          </w:p>
        </w:tc>
        <w:tc>
          <w:tcPr>
            <w:tcW w:w="620" w:type="dxa"/>
            <w:vAlign w:val="bottom"/>
            <w:shd w:val="clear" w:color="auto" w:fill="CCEEFF"/>
          </w:tcPr>
          <w:p>
            <w:pPr>
              <w:spacing w:after="0"/>
              <w:rPr>
                <w:sz w:val="20"/>
                <w:szCs w:val="20"/>
                <w:color w:val="auto"/>
              </w:rPr>
            </w:pPr>
            <w:r>
              <w:rPr>
                <w:rFonts w:ascii="Arial" w:cs="Arial" w:eastAsia="Arial" w:hAnsi="Arial"/>
                <w:sz w:val="13"/>
                <w:szCs w:val="13"/>
                <w:color w:val="auto"/>
                <w:w w:val="92"/>
              </w:rPr>
              <w:t>04/27/2020</w:t>
            </w:r>
          </w:p>
        </w:tc>
        <w:tc>
          <w:tcPr>
            <w:tcW w:w="1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3"/>
              </w:rPr>
              <w:t>Education</w:t>
            </w:r>
          </w:p>
        </w:tc>
        <w:tc>
          <w:tcPr>
            <w:tcW w:w="94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1,267</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779,920</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4140" w:type="dxa"/>
            <w:vAlign w:val="bottom"/>
            <w:gridSpan w:val="2"/>
          </w:tcPr>
          <w:p>
            <w:pPr>
              <w:spacing w:after="0" w:line="138" w:lineRule="exact"/>
              <w:rPr>
                <w:sz w:val="20"/>
                <w:szCs w:val="20"/>
                <w:color w:val="auto"/>
              </w:rPr>
            </w:pPr>
            <w:r>
              <w:rPr>
                <w:rFonts w:ascii="Arial" w:cs="Arial" w:eastAsia="Arial" w:hAnsi="Arial"/>
                <w:sz w:val="13"/>
                <w:szCs w:val="13"/>
                <w:color w:val="auto"/>
              </w:rPr>
              <w:t>Magnum Hunter Resources Corporation</w:t>
            </w:r>
          </w:p>
        </w:tc>
        <w:tc>
          <w:tcPr>
            <w:tcW w:w="800" w:type="dxa"/>
            <w:vAlign w:val="bottom"/>
            <w:gridSpan w:val="2"/>
          </w:tcPr>
          <w:p>
            <w:pPr>
              <w:ind w:left="200"/>
              <w:spacing w:after="0" w:line="138" w:lineRule="exact"/>
              <w:rPr>
                <w:sz w:val="20"/>
                <w:szCs w:val="20"/>
                <w:color w:val="auto"/>
              </w:rPr>
            </w:pPr>
            <w:r>
              <w:rPr>
                <w:rFonts w:ascii="Arial" w:cs="Arial" w:eastAsia="Arial" w:hAnsi="Arial"/>
                <w:sz w:val="13"/>
                <w:szCs w:val="13"/>
                <w:color w:val="auto"/>
              </w:rPr>
              <w:t>—</w:t>
            </w:r>
          </w:p>
        </w:tc>
        <w:tc>
          <w:tcPr>
            <w:tcW w:w="1480" w:type="dxa"/>
            <w:vAlign w:val="bottom"/>
            <w:gridSpan w:val="2"/>
          </w:tcPr>
          <w:p>
            <w:pPr>
              <w:jc w:val="center"/>
              <w:ind w:right="180"/>
              <w:spacing w:after="0" w:line="138" w:lineRule="exact"/>
              <w:rPr>
                <w:sz w:val="20"/>
                <w:szCs w:val="20"/>
                <w:color w:val="auto"/>
              </w:rPr>
            </w:pPr>
            <w:r>
              <w:rPr>
                <w:rFonts w:ascii="Arial" w:cs="Arial" w:eastAsia="Arial" w:hAnsi="Arial"/>
                <w:sz w:val="13"/>
                <w:szCs w:val="13"/>
                <w:color w:val="auto"/>
                <w:w w:val="96"/>
              </w:rPr>
              <w:t>Oil and Gas</w:t>
            </w:r>
          </w:p>
        </w:tc>
        <w:tc>
          <w:tcPr>
            <w:tcW w:w="940" w:type="dxa"/>
            <w:vAlign w:val="bottom"/>
            <w:gridSpan w:val="2"/>
          </w:tcPr>
          <w:p>
            <w:pPr>
              <w:ind w:left="280"/>
              <w:spacing w:after="0" w:line="138" w:lineRule="exact"/>
              <w:rPr>
                <w:sz w:val="20"/>
                <w:szCs w:val="20"/>
                <w:color w:val="auto"/>
              </w:rPr>
            </w:pPr>
            <w:r>
              <w:rPr>
                <w:rFonts w:ascii="Arial" w:cs="Arial" w:eastAsia="Arial" w:hAnsi="Arial"/>
                <w:sz w:val="13"/>
                <w:szCs w:val="13"/>
                <w:color w:val="auto"/>
              </w:rPr>
              <w:t>—</w:t>
            </w:r>
          </w:p>
        </w:tc>
        <w:tc>
          <w:tcPr>
            <w:tcW w:w="1100" w:type="dxa"/>
            <w:vAlign w:val="bottom"/>
            <w:gridSpan w:val="2"/>
          </w:tcPr>
          <w:p>
            <w:pPr>
              <w:ind w:left="500"/>
              <w:spacing w:after="0" w:line="138"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line="138" w:lineRule="exact"/>
              <w:rPr>
                <w:sz w:val="20"/>
                <w:szCs w:val="20"/>
                <w:color w:val="auto"/>
              </w:rPr>
            </w:pPr>
            <w:r>
              <w:rPr>
                <w:rFonts w:ascii="Arial" w:cs="Arial" w:eastAsia="Arial" w:hAnsi="Arial"/>
                <w:sz w:val="13"/>
                <w:szCs w:val="13"/>
                <w:color w:val="auto"/>
              </w:rPr>
              <w:t>1,221,932</w:t>
            </w:r>
          </w:p>
        </w:tc>
        <w:tc>
          <w:tcPr>
            <w:tcW w:w="1000" w:type="dxa"/>
            <w:vAlign w:val="bottom"/>
            <w:gridSpan w:val="3"/>
          </w:tcPr>
          <w:p>
            <w:pPr>
              <w:jc w:val="right"/>
              <w:ind w:right="140"/>
              <w:spacing w:after="0" w:line="138" w:lineRule="exact"/>
              <w:rPr>
                <w:sz w:val="20"/>
                <w:szCs w:val="20"/>
                <w:color w:val="auto"/>
              </w:rPr>
            </w:pPr>
            <w:r>
              <w:rPr>
                <w:rFonts w:ascii="Arial" w:cs="Arial" w:eastAsia="Arial" w:hAnsi="Arial"/>
                <w:sz w:val="13"/>
                <w:szCs w:val="13"/>
                <w:color w:val="auto"/>
              </w:rPr>
              <w:t>3,239,999</w:t>
            </w:r>
          </w:p>
        </w:tc>
        <w:tc>
          <w:tcPr>
            <w:tcW w:w="9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5,425,378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140" w:type="dxa"/>
            <w:vAlign w:val="bottom"/>
            <w:gridSpan w:val="2"/>
          </w:tcPr>
          <w:p>
            <w:pPr>
              <w:ind w:left="220"/>
              <w:spacing w:after="0"/>
              <w:rPr>
                <w:sz w:val="20"/>
                <w:szCs w:val="20"/>
                <w:color w:val="auto"/>
              </w:rPr>
            </w:pPr>
            <w:r>
              <w:rPr>
                <w:rFonts w:ascii="Arial" w:cs="Arial" w:eastAsia="Arial" w:hAnsi="Arial"/>
                <w:sz w:val="13"/>
                <w:szCs w:val="13"/>
                <w:color w:val="auto"/>
              </w:rPr>
              <w:t>(Eureka Hunter Pipeline, LLC)</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1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Magnum Hunter Resources Corporation</w:t>
            </w:r>
          </w:p>
        </w:tc>
        <w:tc>
          <w:tcPr>
            <w:tcW w:w="6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w w:val="92"/>
              </w:rPr>
              <w:t>10/14/2013</w:t>
            </w:r>
          </w:p>
        </w:tc>
        <w:tc>
          <w:tcPr>
            <w:tcW w:w="180" w:type="dxa"/>
            <w:vAlign w:val="bottom"/>
            <w:shd w:val="clear" w:color="auto" w:fill="CCEEFF"/>
          </w:tcPr>
          <w:p>
            <w:pPr>
              <w:spacing w:after="0"/>
              <w:rPr>
                <w:sz w:val="11"/>
                <w:szCs w:val="11"/>
                <w:color w:val="auto"/>
              </w:rPr>
            </w:pPr>
          </w:p>
        </w:tc>
        <w:tc>
          <w:tcPr>
            <w:tcW w:w="1480" w:type="dxa"/>
            <w:vAlign w:val="bottom"/>
            <w:gridSpan w:val="2"/>
            <w:shd w:val="clear" w:color="auto" w:fill="CCEEFF"/>
          </w:tcPr>
          <w:p>
            <w:pPr>
              <w:jc w:val="center"/>
              <w:ind w:right="180"/>
              <w:spacing w:after="0" w:line="138" w:lineRule="exact"/>
              <w:rPr>
                <w:sz w:val="20"/>
                <w:szCs w:val="20"/>
                <w:color w:val="auto"/>
              </w:rPr>
            </w:pPr>
            <w:r>
              <w:rPr>
                <w:rFonts w:ascii="Arial" w:cs="Arial" w:eastAsia="Arial" w:hAnsi="Arial"/>
                <w:sz w:val="13"/>
                <w:szCs w:val="13"/>
                <w:color w:val="auto"/>
                <w:w w:val="96"/>
              </w:rPr>
              <w:t>Oil and Gas</w:t>
            </w:r>
          </w:p>
        </w:tc>
        <w:tc>
          <w:tcPr>
            <w:tcW w:w="94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ind w:left="500"/>
              <w:spacing w:after="0" w:line="138"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122,193</w:t>
            </w:r>
          </w:p>
        </w:tc>
        <w:tc>
          <w:tcPr>
            <w:tcW w:w="100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105,697</w:t>
            </w:r>
          </w:p>
        </w:tc>
        <w:tc>
          <w:tcPr>
            <w:tcW w:w="9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31,778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1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(Warrants) (Eureka Hunter Pipeline, LLC)</w:t>
            </w: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140" w:type="dxa"/>
            <w:vAlign w:val="bottom"/>
            <w:gridSpan w:val="2"/>
          </w:tcPr>
          <w:p>
            <w:pPr>
              <w:spacing w:after="0" w:line="138" w:lineRule="exact"/>
              <w:rPr>
                <w:sz w:val="20"/>
                <w:szCs w:val="20"/>
                <w:color w:val="auto"/>
              </w:rPr>
            </w:pPr>
            <w:r>
              <w:rPr>
                <w:rFonts w:ascii="Arial" w:cs="Arial" w:eastAsia="Arial" w:hAnsi="Arial"/>
                <w:sz w:val="13"/>
                <w:szCs w:val="13"/>
                <w:color w:val="auto"/>
              </w:rPr>
              <w:t>MidOcean JF Holdings Corp.</w:t>
            </w:r>
          </w:p>
        </w:tc>
        <w:tc>
          <w:tcPr>
            <w:tcW w:w="800" w:type="dxa"/>
            <w:vAlign w:val="bottom"/>
            <w:gridSpan w:val="2"/>
          </w:tcPr>
          <w:p>
            <w:pPr>
              <w:ind w:left="200"/>
              <w:spacing w:after="0" w:line="138" w:lineRule="exact"/>
              <w:rPr>
                <w:sz w:val="20"/>
                <w:szCs w:val="20"/>
                <w:color w:val="auto"/>
              </w:rPr>
            </w:pPr>
            <w:r>
              <w:rPr>
                <w:rFonts w:ascii="Arial" w:cs="Arial" w:eastAsia="Arial" w:hAnsi="Arial"/>
                <w:sz w:val="13"/>
                <w:szCs w:val="13"/>
                <w:color w:val="auto"/>
              </w:rPr>
              <w:t>—</w:t>
            </w:r>
          </w:p>
        </w:tc>
        <w:tc>
          <w:tcPr>
            <w:tcW w:w="1480" w:type="dxa"/>
            <w:vAlign w:val="bottom"/>
            <w:gridSpan w:val="2"/>
          </w:tcPr>
          <w:p>
            <w:pPr>
              <w:jc w:val="center"/>
              <w:ind w:right="180"/>
              <w:spacing w:after="0" w:line="138" w:lineRule="exact"/>
              <w:rPr>
                <w:sz w:val="20"/>
                <w:szCs w:val="20"/>
                <w:color w:val="auto"/>
              </w:rPr>
            </w:pPr>
            <w:r>
              <w:rPr>
                <w:rFonts w:ascii="Arial" w:cs="Arial" w:eastAsia="Arial" w:hAnsi="Arial"/>
                <w:sz w:val="13"/>
                <w:szCs w:val="13"/>
                <w:color w:val="auto"/>
              </w:rPr>
              <w:t>Distribution</w:t>
            </w:r>
          </w:p>
        </w:tc>
        <w:tc>
          <w:tcPr>
            <w:tcW w:w="940" w:type="dxa"/>
            <w:vAlign w:val="bottom"/>
            <w:gridSpan w:val="2"/>
          </w:tcPr>
          <w:p>
            <w:pPr>
              <w:ind w:left="280"/>
              <w:spacing w:after="0" w:line="138" w:lineRule="exact"/>
              <w:rPr>
                <w:sz w:val="20"/>
                <w:szCs w:val="20"/>
                <w:color w:val="auto"/>
              </w:rPr>
            </w:pPr>
            <w:r>
              <w:rPr>
                <w:rFonts w:ascii="Arial" w:cs="Arial" w:eastAsia="Arial" w:hAnsi="Arial"/>
                <w:sz w:val="13"/>
                <w:szCs w:val="13"/>
                <w:color w:val="auto"/>
              </w:rPr>
              <w:t>—</w:t>
            </w:r>
          </w:p>
        </w:tc>
        <w:tc>
          <w:tcPr>
            <w:tcW w:w="1100" w:type="dxa"/>
            <w:vAlign w:val="bottom"/>
            <w:gridSpan w:val="2"/>
          </w:tcPr>
          <w:p>
            <w:pPr>
              <w:ind w:left="500"/>
              <w:spacing w:after="0" w:line="138"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line="138" w:lineRule="exact"/>
              <w:rPr>
                <w:sz w:val="20"/>
                <w:szCs w:val="20"/>
                <w:color w:val="auto"/>
              </w:rPr>
            </w:pPr>
            <w:r>
              <w:rPr>
                <w:rFonts w:ascii="Arial" w:cs="Arial" w:eastAsia="Arial" w:hAnsi="Arial"/>
                <w:sz w:val="13"/>
                <w:szCs w:val="13"/>
                <w:color w:val="auto"/>
              </w:rPr>
              <w:t>1,700</w:t>
            </w:r>
          </w:p>
        </w:tc>
        <w:tc>
          <w:tcPr>
            <w:tcW w:w="1000" w:type="dxa"/>
            <w:vAlign w:val="bottom"/>
            <w:gridSpan w:val="3"/>
          </w:tcPr>
          <w:p>
            <w:pPr>
              <w:jc w:val="right"/>
              <w:ind w:right="140"/>
              <w:spacing w:after="0" w:line="138" w:lineRule="exact"/>
              <w:rPr>
                <w:sz w:val="20"/>
                <w:szCs w:val="20"/>
                <w:color w:val="auto"/>
              </w:rPr>
            </w:pPr>
            <w:r>
              <w:rPr>
                <w:rFonts w:ascii="Arial" w:cs="Arial" w:eastAsia="Arial" w:hAnsi="Arial"/>
                <w:sz w:val="13"/>
                <w:szCs w:val="13"/>
                <w:color w:val="auto"/>
              </w:rPr>
              <w:t>1,700,000</w:t>
            </w:r>
          </w:p>
        </w:tc>
        <w:tc>
          <w:tcPr>
            <w:tcW w:w="9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1,641,575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140" w:type="dxa"/>
            <w:vAlign w:val="bottom"/>
            <w:gridSpan w:val="2"/>
          </w:tcPr>
          <w:p>
            <w:pPr>
              <w:ind w:left="220"/>
              <w:spacing w:after="0"/>
              <w:rPr>
                <w:sz w:val="20"/>
                <w:szCs w:val="20"/>
                <w:color w:val="auto"/>
              </w:rPr>
            </w:pPr>
            <w:r>
              <w:rPr>
                <w:rFonts w:ascii="Arial" w:cs="Arial" w:eastAsia="Arial" w:hAnsi="Arial"/>
                <w:sz w:val="13"/>
                <w:szCs w:val="13"/>
                <w:color w:val="auto"/>
              </w:rPr>
              <w:t>(JF Acquisition, LLC)</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1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MidOcean PPL Holdings, Inc.</w:t>
            </w:r>
          </w:p>
        </w:tc>
        <w:tc>
          <w:tcPr>
            <w:tcW w:w="80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center"/>
              <w:ind w:right="180"/>
              <w:spacing w:after="0" w:line="138" w:lineRule="exact"/>
              <w:rPr>
                <w:sz w:val="20"/>
                <w:szCs w:val="20"/>
                <w:color w:val="auto"/>
              </w:rPr>
            </w:pPr>
            <w:r>
              <w:rPr>
                <w:rFonts w:ascii="Arial" w:cs="Arial" w:eastAsia="Arial" w:hAnsi="Arial"/>
                <w:sz w:val="13"/>
                <w:szCs w:val="13"/>
                <w:color w:val="auto"/>
                <w:w w:val="89"/>
              </w:rPr>
              <w:t>Personal, Food and</w:t>
            </w:r>
          </w:p>
        </w:tc>
        <w:tc>
          <w:tcPr>
            <w:tcW w:w="94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ind w:left="500"/>
              <w:spacing w:after="0" w:line="138"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3,000</w:t>
            </w:r>
          </w:p>
        </w:tc>
        <w:tc>
          <w:tcPr>
            <w:tcW w:w="100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3,000,000</w:t>
            </w:r>
          </w:p>
        </w:tc>
        <w:tc>
          <w:tcPr>
            <w:tcW w:w="9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4,377,360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1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(Pre-Paid Legal Services, Inc.)</w:t>
            </w: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2"/>
              </w:rPr>
              <w:t>Miscellaneous Services</w:t>
            </w:r>
          </w:p>
        </w:tc>
        <w:tc>
          <w:tcPr>
            <w:tcW w:w="4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140" w:type="dxa"/>
            <w:vAlign w:val="bottom"/>
            <w:gridSpan w:val="2"/>
          </w:tcPr>
          <w:p>
            <w:pPr>
              <w:spacing w:after="0" w:line="138" w:lineRule="exact"/>
              <w:rPr>
                <w:sz w:val="20"/>
                <w:szCs w:val="20"/>
                <w:color w:val="auto"/>
              </w:rPr>
            </w:pPr>
            <w:r>
              <w:rPr>
                <w:rFonts w:ascii="Arial" w:cs="Arial" w:eastAsia="Arial" w:hAnsi="Arial"/>
                <w:sz w:val="13"/>
                <w:szCs w:val="13"/>
                <w:color w:val="auto"/>
              </w:rPr>
              <w:t>Paradigm Acquisition Corp.</w:t>
            </w:r>
          </w:p>
        </w:tc>
        <w:tc>
          <w:tcPr>
            <w:tcW w:w="800" w:type="dxa"/>
            <w:vAlign w:val="bottom"/>
            <w:gridSpan w:val="2"/>
          </w:tcPr>
          <w:p>
            <w:pPr>
              <w:ind w:left="200"/>
              <w:spacing w:after="0" w:line="138" w:lineRule="exact"/>
              <w:rPr>
                <w:sz w:val="20"/>
                <w:szCs w:val="20"/>
                <w:color w:val="auto"/>
              </w:rPr>
            </w:pPr>
            <w:r>
              <w:rPr>
                <w:rFonts w:ascii="Arial" w:cs="Arial" w:eastAsia="Arial" w:hAnsi="Arial"/>
                <w:sz w:val="13"/>
                <w:szCs w:val="13"/>
                <w:color w:val="auto"/>
              </w:rPr>
              <w:t>—</w:t>
            </w:r>
          </w:p>
        </w:tc>
        <w:tc>
          <w:tcPr>
            <w:tcW w:w="1480" w:type="dxa"/>
            <w:vAlign w:val="bottom"/>
            <w:gridSpan w:val="2"/>
          </w:tcPr>
          <w:p>
            <w:pPr>
              <w:jc w:val="center"/>
              <w:ind w:right="160"/>
              <w:spacing w:after="0" w:line="138" w:lineRule="exact"/>
              <w:rPr>
                <w:sz w:val="20"/>
                <w:szCs w:val="20"/>
                <w:color w:val="auto"/>
              </w:rPr>
            </w:pPr>
            <w:r>
              <w:rPr>
                <w:rFonts w:ascii="Arial" w:cs="Arial" w:eastAsia="Arial" w:hAnsi="Arial"/>
                <w:sz w:val="13"/>
                <w:szCs w:val="13"/>
                <w:color w:val="auto"/>
                <w:w w:val="93"/>
              </w:rPr>
              <w:t>Healthcare, Education</w:t>
            </w:r>
          </w:p>
        </w:tc>
        <w:tc>
          <w:tcPr>
            <w:tcW w:w="940" w:type="dxa"/>
            <w:vAlign w:val="bottom"/>
            <w:gridSpan w:val="2"/>
          </w:tcPr>
          <w:p>
            <w:pPr>
              <w:ind w:left="280"/>
              <w:spacing w:after="0" w:line="138" w:lineRule="exact"/>
              <w:rPr>
                <w:sz w:val="20"/>
                <w:szCs w:val="20"/>
                <w:color w:val="auto"/>
              </w:rPr>
            </w:pPr>
            <w:r>
              <w:rPr>
                <w:rFonts w:ascii="Arial" w:cs="Arial" w:eastAsia="Arial" w:hAnsi="Arial"/>
                <w:sz w:val="13"/>
                <w:szCs w:val="13"/>
                <w:color w:val="auto"/>
              </w:rPr>
              <w:t>—</w:t>
            </w:r>
          </w:p>
        </w:tc>
        <w:tc>
          <w:tcPr>
            <w:tcW w:w="1100" w:type="dxa"/>
            <w:vAlign w:val="bottom"/>
            <w:gridSpan w:val="2"/>
          </w:tcPr>
          <w:p>
            <w:pPr>
              <w:ind w:left="500"/>
              <w:spacing w:after="0" w:line="138"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line="138" w:lineRule="exact"/>
              <w:rPr>
                <w:sz w:val="20"/>
                <w:szCs w:val="20"/>
                <w:color w:val="auto"/>
              </w:rPr>
            </w:pPr>
            <w:r>
              <w:rPr>
                <w:rFonts w:ascii="Arial" w:cs="Arial" w:eastAsia="Arial" w:hAnsi="Arial"/>
                <w:sz w:val="13"/>
                <w:szCs w:val="13"/>
                <w:color w:val="auto"/>
              </w:rPr>
              <w:t>20,000</w:t>
            </w:r>
          </w:p>
        </w:tc>
        <w:tc>
          <w:tcPr>
            <w:tcW w:w="1000" w:type="dxa"/>
            <w:vAlign w:val="bottom"/>
            <w:gridSpan w:val="3"/>
          </w:tcPr>
          <w:p>
            <w:pPr>
              <w:jc w:val="right"/>
              <w:ind w:right="140"/>
              <w:spacing w:after="0" w:line="138" w:lineRule="exact"/>
              <w:rPr>
                <w:sz w:val="20"/>
                <w:szCs w:val="20"/>
                <w:color w:val="auto"/>
              </w:rPr>
            </w:pPr>
            <w:r>
              <w:rPr>
                <w:rFonts w:ascii="Arial" w:cs="Arial" w:eastAsia="Arial" w:hAnsi="Arial"/>
                <w:sz w:val="13"/>
                <w:szCs w:val="13"/>
                <w:color w:val="auto"/>
              </w:rPr>
              <w:t>2,000,000</w:t>
            </w:r>
          </w:p>
        </w:tc>
        <w:tc>
          <w:tcPr>
            <w:tcW w:w="9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2,124,491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140" w:type="dxa"/>
            <w:vAlign w:val="bottom"/>
            <w:gridSpan w:val="2"/>
          </w:tcPr>
          <w:p>
            <w:pPr>
              <w:ind w:left="220"/>
              <w:spacing w:after="0"/>
              <w:rPr>
                <w:sz w:val="20"/>
                <w:szCs w:val="20"/>
                <w:color w:val="auto"/>
              </w:rPr>
            </w:pPr>
            <w:r>
              <w:rPr>
                <w:rFonts w:ascii="Arial" w:cs="Arial" w:eastAsia="Arial" w:hAnsi="Arial"/>
                <w:sz w:val="13"/>
                <w:szCs w:val="13"/>
                <w:color w:val="auto"/>
              </w:rPr>
              <w:t>(Paradigm Management Services, LLC)</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color w:val="auto"/>
                <w:w w:val="92"/>
              </w:rPr>
              <w:t>and Childcare</w:t>
            </w: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1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PAS Tech Holdings, Inc.</w:t>
            </w:r>
          </w:p>
        </w:tc>
        <w:tc>
          <w:tcPr>
            <w:tcW w:w="80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center"/>
              <w:ind w:right="180"/>
              <w:spacing w:after="0" w:line="138" w:lineRule="exact"/>
              <w:rPr>
                <w:sz w:val="20"/>
                <w:szCs w:val="20"/>
                <w:color w:val="auto"/>
              </w:rPr>
            </w:pPr>
            <w:r>
              <w:rPr>
                <w:rFonts w:ascii="Arial" w:cs="Arial" w:eastAsia="Arial" w:hAnsi="Arial"/>
                <w:sz w:val="13"/>
                <w:szCs w:val="13"/>
                <w:color w:val="auto"/>
                <w:w w:val="90"/>
              </w:rPr>
              <w:t>Aerospace and Defense</w:t>
            </w:r>
          </w:p>
        </w:tc>
        <w:tc>
          <w:tcPr>
            <w:tcW w:w="94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ind w:left="500"/>
              <w:spacing w:after="0" w:line="138"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20,000</w:t>
            </w:r>
          </w:p>
        </w:tc>
        <w:tc>
          <w:tcPr>
            <w:tcW w:w="100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20,000</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62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9"/>
        </w:trPr>
        <w:tc>
          <w:tcPr>
            <w:tcW w:w="41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(PAS Technologies, Inc.)</w:t>
            </w: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140" w:type="dxa"/>
            <w:vAlign w:val="bottom"/>
            <w:gridSpan w:val="2"/>
          </w:tcPr>
          <w:p>
            <w:pPr>
              <w:spacing w:after="0" w:line="138" w:lineRule="exact"/>
              <w:rPr>
                <w:sz w:val="20"/>
                <w:szCs w:val="20"/>
                <w:color w:val="auto"/>
              </w:rPr>
            </w:pPr>
            <w:r>
              <w:rPr>
                <w:rFonts w:ascii="Arial" w:cs="Arial" w:eastAsia="Arial" w:hAnsi="Arial"/>
                <w:sz w:val="13"/>
                <w:szCs w:val="13"/>
                <w:color w:val="auto"/>
              </w:rPr>
              <w:t>QMG HoldCo, LLC, Class A</w:t>
            </w:r>
          </w:p>
        </w:tc>
        <w:tc>
          <w:tcPr>
            <w:tcW w:w="800" w:type="dxa"/>
            <w:vAlign w:val="bottom"/>
            <w:gridSpan w:val="2"/>
          </w:tcPr>
          <w:p>
            <w:pPr>
              <w:ind w:left="200"/>
              <w:spacing w:after="0" w:line="138" w:lineRule="exact"/>
              <w:rPr>
                <w:sz w:val="20"/>
                <w:szCs w:val="20"/>
                <w:color w:val="auto"/>
              </w:rPr>
            </w:pPr>
            <w:r>
              <w:rPr>
                <w:rFonts w:ascii="Arial" w:cs="Arial" w:eastAsia="Arial" w:hAnsi="Arial"/>
                <w:sz w:val="13"/>
                <w:szCs w:val="13"/>
                <w:color w:val="auto"/>
              </w:rPr>
              <w:t>—</w:t>
            </w:r>
          </w:p>
        </w:tc>
        <w:tc>
          <w:tcPr>
            <w:tcW w:w="1480" w:type="dxa"/>
            <w:vAlign w:val="bottom"/>
            <w:gridSpan w:val="2"/>
          </w:tcPr>
          <w:p>
            <w:pPr>
              <w:jc w:val="center"/>
              <w:ind w:right="180"/>
              <w:spacing w:after="0" w:line="138" w:lineRule="exact"/>
              <w:rPr>
                <w:sz w:val="20"/>
                <w:szCs w:val="20"/>
                <w:color w:val="auto"/>
              </w:rPr>
            </w:pPr>
            <w:r>
              <w:rPr>
                <w:rFonts w:ascii="Arial" w:cs="Arial" w:eastAsia="Arial" w:hAnsi="Arial"/>
                <w:sz w:val="13"/>
                <w:szCs w:val="13"/>
                <w:color w:val="auto"/>
                <w:w w:val="97"/>
              </w:rPr>
              <w:t>Other Media</w:t>
            </w:r>
          </w:p>
        </w:tc>
        <w:tc>
          <w:tcPr>
            <w:tcW w:w="940" w:type="dxa"/>
            <w:vAlign w:val="bottom"/>
            <w:gridSpan w:val="2"/>
          </w:tcPr>
          <w:p>
            <w:pPr>
              <w:ind w:left="280"/>
              <w:spacing w:after="0" w:line="138" w:lineRule="exact"/>
              <w:rPr>
                <w:sz w:val="20"/>
                <w:szCs w:val="20"/>
                <w:color w:val="auto"/>
              </w:rPr>
            </w:pPr>
            <w:r>
              <w:rPr>
                <w:rFonts w:ascii="Arial" w:cs="Arial" w:eastAsia="Arial" w:hAnsi="Arial"/>
                <w:sz w:val="13"/>
                <w:szCs w:val="13"/>
                <w:color w:val="auto"/>
              </w:rPr>
              <w:t>—</w:t>
            </w:r>
          </w:p>
        </w:tc>
        <w:tc>
          <w:tcPr>
            <w:tcW w:w="1100" w:type="dxa"/>
            <w:vAlign w:val="bottom"/>
            <w:gridSpan w:val="2"/>
          </w:tcPr>
          <w:p>
            <w:pPr>
              <w:ind w:left="500"/>
              <w:spacing w:after="0" w:line="138"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line="138" w:lineRule="exact"/>
              <w:rPr>
                <w:sz w:val="20"/>
                <w:szCs w:val="20"/>
                <w:color w:val="auto"/>
              </w:rPr>
            </w:pPr>
            <w:r>
              <w:rPr>
                <w:rFonts w:ascii="Arial" w:cs="Arial" w:eastAsia="Arial" w:hAnsi="Arial"/>
                <w:sz w:val="13"/>
                <w:szCs w:val="13"/>
                <w:color w:val="auto"/>
              </w:rPr>
              <w:t>4,325</w:t>
            </w:r>
          </w:p>
        </w:tc>
        <w:tc>
          <w:tcPr>
            <w:tcW w:w="1000" w:type="dxa"/>
            <w:vAlign w:val="bottom"/>
            <w:gridSpan w:val="3"/>
          </w:tcPr>
          <w:p>
            <w:pPr>
              <w:jc w:val="right"/>
              <w:ind w:right="140"/>
              <w:spacing w:after="0" w:line="138" w:lineRule="exact"/>
              <w:rPr>
                <w:sz w:val="20"/>
                <w:szCs w:val="20"/>
                <w:color w:val="auto"/>
              </w:rPr>
            </w:pPr>
            <w:r>
              <w:rPr>
                <w:rFonts w:ascii="Arial" w:cs="Arial" w:eastAsia="Arial" w:hAnsi="Arial"/>
                <w:sz w:val="13"/>
                <w:szCs w:val="13"/>
                <w:color w:val="auto"/>
              </w:rPr>
              <w:t>1,306,166</w:t>
            </w:r>
          </w:p>
        </w:tc>
        <w:tc>
          <w:tcPr>
            <w:tcW w:w="9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1,404,661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140" w:type="dxa"/>
            <w:vAlign w:val="bottom"/>
            <w:gridSpan w:val="2"/>
          </w:tcPr>
          <w:p>
            <w:pPr>
              <w:ind w:left="220"/>
              <w:spacing w:after="0"/>
              <w:rPr>
                <w:sz w:val="20"/>
                <w:szCs w:val="20"/>
                <w:color w:val="auto"/>
              </w:rPr>
            </w:pPr>
            <w:r>
              <w:rPr>
                <w:rFonts w:ascii="Arial" w:cs="Arial" w:eastAsia="Arial" w:hAnsi="Arial"/>
                <w:sz w:val="13"/>
                <w:szCs w:val="13"/>
                <w:color w:val="auto"/>
              </w:rPr>
              <w:t>(Questex Media Group, Inc.)</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1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QMG HoldCo, LLC, Class B</w:t>
            </w:r>
          </w:p>
        </w:tc>
        <w:tc>
          <w:tcPr>
            <w:tcW w:w="80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center"/>
              <w:ind w:right="180"/>
              <w:spacing w:after="0" w:line="138" w:lineRule="exact"/>
              <w:rPr>
                <w:sz w:val="20"/>
                <w:szCs w:val="20"/>
                <w:color w:val="auto"/>
              </w:rPr>
            </w:pPr>
            <w:r>
              <w:rPr>
                <w:rFonts w:ascii="Arial" w:cs="Arial" w:eastAsia="Arial" w:hAnsi="Arial"/>
                <w:sz w:val="13"/>
                <w:szCs w:val="13"/>
                <w:color w:val="auto"/>
                <w:w w:val="97"/>
              </w:rPr>
              <w:t>Other Media</w:t>
            </w:r>
          </w:p>
        </w:tc>
        <w:tc>
          <w:tcPr>
            <w:tcW w:w="94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ind w:left="500"/>
              <w:spacing w:after="0" w:line="138"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531</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172,457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1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(Questex Media Group, Inc.)</w:t>
            </w: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140" w:type="dxa"/>
            <w:vAlign w:val="bottom"/>
            <w:gridSpan w:val="2"/>
          </w:tcPr>
          <w:p>
            <w:pPr>
              <w:spacing w:after="0" w:line="138" w:lineRule="exact"/>
              <w:rPr>
                <w:sz w:val="20"/>
                <w:szCs w:val="20"/>
                <w:color w:val="auto"/>
              </w:rPr>
            </w:pPr>
            <w:r>
              <w:rPr>
                <w:rFonts w:ascii="Arial" w:cs="Arial" w:eastAsia="Arial" w:hAnsi="Arial"/>
                <w:sz w:val="13"/>
                <w:szCs w:val="13"/>
                <w:color w:val="auto"/>
              </w:rPr>
              <w:t>SPG Boyd Holdings Corp.</w:t>
            </w:r>
          </w:p>
        </w:tc>
        <w:tc>
          <w:tcPr>
            <w:tcW w:w="800" w:type="dxa"/>
            <w:vAlign w:val="bottom"/>
            <w:gridSpan w:val="2"/>
          </w:tcPr>
          <w:p>
            <w:pPr>
              <w:ind w:left="200"/>
              <w:spacing w:after="0" w:line="138" w:lineRule="exact"/>
              <w:rPr>
                <w:sz w:val="20"/>
                <w:szCs w:val="20"/>
                <w:color w:val="auto"/>
              </w:rPr>
            </w:pPr>
            <w:r>
              <w:rPr>
                <w:rFonts w:ascii="Arial" w:cs="Arial" w:eastAsia="Arial" w:hAnsi="Arial"/>
                <w:sz w:val="13"/>
                <w:szCs w:val="13"/>
                <w:color w:val="auto"/>
              </w:rPr>
              <w:t>—</w:t>
            </w:r>
          </w:p>
        </w:tc>
        <w:tc>
          <w:tcPr>
            <w:tcW w:w="1480" w:type="dxa"/>
            <w:vAlign w:val="bottom"/>
            <w:gridSpan w:val="2"/>
          </w:tcPr>
          <w:p>
            <w:pPr>
              <w:jc w:val="center"/>
              <w:ind w:right="180"/>
              <w:spacing w:after="0" w:line="138" w:lineRule="exact"/>
              <w:rPr>
                <w:sz w:val="20"/>
                <w:szCs w:val="20"/>
                <w:color w:val="auto"/>
              </w:rPr>
            </w:pPr>
            <w:r>
              <w:rPr>
                <w:rFonts w:ascii="Arial" w:cs="Arial" w:eastAsia="Arial" w:hAnsi="Arial"/>
                <w:sz w:val="13"/>
                <w:szCs w:val="13"/>
                <w:color w:val="auto"/>
                <w:w w:val="94"/>
              </w:rPr>
              <w:t>Chemical, Plastic</w:t>
            </w:r>
          </w:p>
        </w:tc>
        <w:tc>
          <w:tcPr>
            <w:tcW w:w="940" w:type="dxa"/>
            <w:vAlign w:val="bottom"/>
            <w:gridSpan w:val="2"/>
          </w:tcPr>
          <w:p>
            <w:pPr>
              <w:ind w:left="280"/>
              <w:spacing w:after="0" w:line="138" w:lineRule="exact"/>
              <w:rPr>
                <w:sz w:val="20"/>
                <w:szCs w:val="20"/>
                <w:color w:val="auto"/>
              </w:rPr>
            </w:pPr>
            <w:r>
              <w:rPr>
                <w:rFonts w:ascii="Arial" w:cs="Arial" w:eastAsia="Arial" w:hAnsi="Arial"/>
                <w:sz w:val="13"/>
                <w:szCs w:val="13"/>
                <w:color w:val="auto"/>
              </w:rPr>
              <w:t>—</w:t>
            </w:r>
          </w:p>
        </w:tc>
        <w:tc>
          <w:tcPr>
            <w:tcW w:w="1100" w:type="dxa"/>
            <w:vAlign w:val="bottom"/>
            <w:gridSpan w:val="2"/>
          </w:tcPr>
          <w:p>
            <w:pPr>
              <w:ind w:left="500"/>
              <w:spacing w:after="0" w:line="138"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line="138" w:lineRule="exact"/>
              <w:rPr>
                <w:sz w:val="20"/>
                <w:szCs w:val="20"/>
                <w:color w:val="auto"/>
              </w:rPr>
            </w:pPr>
            <w:r>
              <w:rPr>
                <w:rFonts w:ascii="Arial" w:cs="Arial" w:eastAsia="Arial" w:hAnsi="Arial"/>
                <w:sz w:val="13"/>
                <w:szCs w:val="13"/>
                <w:color w:val="auto"/>
              </w:rPr>
              <w:t>300,000</w:t>
            </w:r>
          </w:p>
        </w:tc>
        <w:tc>
          <w:tcPr>
            <w:tcW w:w="1000" w:type="dxa"/>
            <w:vAlign w:val="bottom"/>
            <w:gridSpan w:val="3"/>
          </w:tcPr>
          <w:p>
            <w:pPr>
              <w:jc w:val="right"/>
              <w:ind w:right="140"/>
              <w:spacing w:after="0" w:line="138" w:lineRule="exact"/>
              <w:rPr>
                <w:sz w:val="20"/>
                <w:szCs w:val="20"/>
                <w:color w:val="auto"/>
              </w:rPr>
            </w:pPr>
            <w:r>
              <w:rPr>
                <w:rFonts w:ascii="Arial" w:cs="Arial" w:eastAsia="Arial" w:hAnsi="Arial"/>
                <w:sz w:val="13"/>
                <w:szCs w:val="13"/>
                <w:color w:val="auto"/>
              </w:rPr>
              <w:t>3,000,000</w:t>
            </w:r>
          </w:p>
        </w:tc>
        <w:tc>
          <w:tcPr>
            <w:tcW w:w="9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3,000,000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140" w:type="dxa"/>
            <w:vAlign w:val="bottom"/>
            <w:gridSpan w:val="2"/>
          </w:tcPr>
          <w:p>
            <w:pPr>
              <w:ind w:left="220"/>
              <w:spacing w:after="0"/>
              <w:rPr>
                <w:sz w:val="20"/>
                <w:szCs w:val="20"/>
                <w:color w:val="auto"/>
              </w:rPr>
            </w:pPr>
            <w:r>
              <w:rPr>
                <w:rFonts w:ascii="Arial" w:cs="Arial" w:eastAsia="Arial" w:hAnsi="Arial"/>
                <w:sz w:val="13"/>
                <w:szCs w:val="13"/>
                <w:color w:val="auto"/>
              </w:rPr>
              <w:t>(LTI Flexible Products, Inc.)</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color w:val="auto"/>
                <w:w w:val="91"/>
              </w:rPr>
              <w:t>and Rubber</w:t>
            </w: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1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Titan Private Holdings I, LLC – Class A</w:t>
            </w:r>
          </w:p>
        </w:tc>
        <w:tc>
          <w:tcPr>
            <w:tcW w:w="80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center"/>
              <w:ind w:right="180"/>
              <w:spacing w:after="0" w:line="138" w:lineRule="exact"/>
              <w:rPr>
                <w:sz w:val="20"/>
                <w:szCs w:val="20"/>
                <w:color w:val="auto"/>
              </w:rPr>
            </w:pPr>
            <w:r>
              <w:rPr>
                <w:rFonts w:ascii="Arial" w:cs="Arial" w:eastAsia="Arial" w:hAnsi="Arial"/>
                <w:sz w:val="13"/>
                <w:szCs w:val="13"/>
                <w:color w:val="auto"/>
                <w:w w:val="95"/>
              </w:rPr>
              <w:t>Telecommunications</w:t>
            </w:r>
          </w:p>
        </w:tc>
        <w:tc>
          <w:tcPr>
            <w:tcW w:w="94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ind w:left="500"/>
              <w:spacing w:after="0" w:line="138"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2,276,847</w:t>
            </w:r>
          </w:p>
        </w:tc>
        <w:tc>
          <w:tcPr>
            <w:tcW w:w="100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2,274,883</w:t>
            </w:r>
          </w:p>
        </w:tc>
        <w:tc>
          <w:tcPr>
            <w:tcW w:w="9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6,182,426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1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(Tekelec Global, Inc.)</w:t>
            </w: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40" w:type="dxa"/>
            <w:vAlign w:val="bottom"/>
            <w:gridSpan w:val="2"/>
          </w:tcPr>
          <w:p>
            <w:pPr>
              <w:spacing w:after="0"/>
              <w:rPr>
                <w:sz w:val="20"/>
                <w:szCs w:val="20"/>
                <w:color w:val="auto"/>
              </w:rPr>
            </w:pPr>
            <w:r>
              <w:rPr>
                <w:rFonts w:ascii="Arial" w:cs="Arial" w:eastAsia="Arial" w:hAnsi="Arial"/>
                <w:sz w:val="13"/>
                <w:szCs w:val="13"/>
                <w:color w:val="auto"/>
              </w:rPr>
              <w:t>TRAK Acquisition Corp. (Warrants)</w:t>
            </w:r>
          </w:p>
        </w:tc>
        <w:tc>
          <w:tcPr>
            <w:tcW w:w="620" w:type="dxa"/>
            <w:vAlign w:val="bottom"/>
          </w:tcPr>
          <w:p>
            <w:pPr>
              <w:spacing w:after="0"/>
              <w:rPr>
                <w:sz w:val="20"/>
                <w:szCs w:val="20"/>
                <w:color w:val="auto"/>
              </w:rPr>
            </w:pPr>
            <w:r>
              <w:rPr>
                <w:rFonts w:ascii="Arial" w:cs="Arial" w:eastAsia="Arial" w:hAnsi="Arial"/>
                <w:sz w:val="13"/>
                <w:szCs w:val="13"/>
                <w:color w:val="auto"/>
                <w:w w:val="92"/>
              </w:rPr>
              <w:t>12/29/2019</w:t>
            </w:r>
          </w:p>
        </w:tc>
        <w:tc>
          <w:tcPr>
            <w:tcW w:w="180" w:type="dxa"/>
            <w:vAlign w:val="bottom"/>
          </w:tcPr>
          <w:p>
            <w:pPr>
              <w:spacing w:after="0"/>
              <w:rPr>
                <w:sz w:val="12"/>
                <w:szCs w:val="12"/>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color w:val="auto"/>
                <w:w w:val="92"/>
              </w:rPr>
              <w:t>Business Services</w:t>
            </w:r>
          </w:p>
        </w:tc>
        <w:tc>
          <w:tcPr>
            <w:tcW w:w="94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11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3,500</w:t>
            </w:r>
          </w:p>
        </w:tc>
        <w:tc>
          <w:tcPr>
            <w:tcW w:w="1000" w:type="dxa"/>
            <w:vAlign w:val="bottom"/>
            <w:gridSpan w:val="3"/>
          </w:tcPr>
          <w:p>
            <w:pPr>
              <w:jc w:val="right"/>
              <w:ind w:right="140"/>
              <w:spacing w:after="0"/>
              <w:rPr>
                <w:sz w:val="20"/>
                <w:szCs w:val="20"/>
                <w:color w:val="auto"/>
              </w:rPr>
            </w:pPr>
            <w:r>
              <w:rPr>
                <w:rFonts w:ascii="Arial" w:cs="Arial" w:eastAsia="Arial" w:hAnsi="Arial"/>
                <w:sz w:val="13"/>
                <w:szCs w:val="13"/>
                <w:color w:val="auto"/>
              </w:rPr>
              <w:t>29,400</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1,197,412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1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Transportation 100 Holdco, L.L.C. </w:t>
            </w:r>
            <w:r>
              <w:rPr>
                <w:rFonts w:ascii="Arial" w:cs="Arial" w:eastAsia="Arial" w:hAnsi="Arial"/>
                <w:sz w:val="15"/>
                <w:szCs w:val="15"/>
                <w:color w:val="auto"/>
                <w:vertAlign w:val="superscript"/>
              </w:rPr>
              <w:t>(13)</w:t>
            </w:r>
          </w:p>
        </w:tc>
        <w:tc>
          <w:tcPr>
            <w:tcW w:w="80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center"/>
              <w:ind w:right="180"/>
              <w:spacing w:after="0" w:line="138" w:lineRule="exact"/>
              <w:rPr>
                <w:sz w:val="20"/>
                <w:szCs w:val="20"/>
                <w:color w:val="auto"/>
              </w:rPr>
            </w:pPr>
            <w:r>
              <w:rPr>
                <w:rFonts w:ascii="Arial" w:cs="Arial" w:eastAsia="Arial" w:hAnsi="Arial"/>
                <w:sz w:val="13"/>
                <w:szCs w:val="13"/>
                <w:color w:val="auto"/>
                <w:w w:val="95"/>
              </w:rPr>
              <w:t>Cargo Transport</w:t>
            </w:r>
          </w:p>
        </w:tc>
        <w:tc>
          <w:tcPr>
            <w:tcW w:w="94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ind w:left="500"/>
              <w:spacing w:after="0" w:line="138"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137,923</w:t>
            </w:r>
          </w:p>
        </w:tc>
        <w:tc>
          <w:tcPr>
            <w:tcW w:w="100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2,111,588</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62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9"/>
        </w:trPr>
        <w:tc>
          <w:tcPr>
            <w:tcW w:w="41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(Greatwide Logistics Services, L.L.C.)</w:t>
            </w: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140" w:type="dxa"/>
            <w:vAlign w:val="bottom"/>
            <w:gridSpan w:val="2"/>
          </w:tcPr>
          <w:p>
            <w:pPr>
              <w:spacing w:after="0" w:line="138" w:lineRule="exact"/>
              <w:rPr>
                <w:sz w:val="20"/>
                <w:szCs w:val="20"/>
                <w:color w:val="auto"/>
              </w:rPr>
            </w:pPr>
            <w:r>
              <w:rPr>
                <w:rFonts w:ascii="Arial" w:cs="Arial" w:eastAsia="Arial" w:hAnsi="Arial"/>
                <w:sz w:val="13"/>
                <w:szCs w:val="13"/>
                <w:color w:val="auto"/>
              </w:rPr>
              <w:t>TZ Holdings, L.P.</w:t>
            </w:r>
          </w:p>
        </w:tc>
        <w:tc>
          <w:tcPr>
            <w:tcW w:w="800" w:type="dxa"/>
            <w:vAlign w:val="bottom"/>
            <w:gridSpan w:val="2"/>
          </w:tcPr>
          <w:p>
            <w:pPr>
              <w:ind w:left="200"/>
              <w:spacing w:after="0" w:line="138" w:lineRule="exact"/>
              <w:rPr>
                <w:sz w:val="20"/>
                <w:szCs w:val="20"/>
                <w:color w:val="auto"/>
              </w:rPr>
            </w:pPr>
            <w:r>
              <w:rPr>
                <w:rFonts w:ascii="Arial" w:cs="Arial" w:eastAsia="Arial" w:hAnsi="Arial"/>
                <w:sz w:val="13"/>
                <w:szCs w:val="13"/>
                <w:color w:val="auto"/>
              </w:rPr>
              <w:t>—</w:t>
            </w:r>
          </w:p>
        </w:tc>
        <w:tc>
          <w:tcPr>
            <w:tcW w:w="1480" w:type="dxa"/>
            <w:vAlign w:val="bottom"/>
            <w:gridSpan w:val="2"/>
          </w:tcPr>
          <w:p>
            <w:pPr>
              <w:jc w:val="center"/>
              <w:ind w:right="180"/>
              <w:spacing w:after="0" w:line="138" w:lineRule="exact"/>
              <w:rPr>
                <w:sz w:val="20"/>
                <w:szCs w:val="20"/>
                <w:color w:val="auto"/>
              </w:rPr>
            </w:pPr>
            <w:r>
              <w:rPr>
                <w:rFonts w:ascii="Arial" w:cs="Arial" w:eastAsia="Arial" w:hAnsi="Arial"/>
                <w:sz w:val="13"/>
                <w:szCs w:val="13"/>
                <w:color w:val="auto"/>
                <w:w w:val="94"/>
              </w:rPr>
              <w:t>Insurance</w:t>
            </w:r>
          </w:p>
        </w:tc>
        <w:tc>
          <w:tcPr>
            <w:tcW w:w="940" w:type="dxa"/>
            <w:vAlign w:val="bottom"/>
            <w:gridSpan w:val="2"/>
          </w:tcPr>
          <w:p>
            <w:pPr>
              <w:ind w:left="280"/>
              <w:spacing w:after="0" w:line="138" w:lineRule="exact"/>
              <w:rPr>
                <w:sz w:val="20"/>
                <w:szCs w:val="20"/>
                <w:color w:val="auto"/>
              </w:rPr>
            </w:pPr>
            <w:r>
              <w:rPr>
                <w:rFonts w:ascii="Arial" w:cs="Arial" w:eastAsia="Arial" w:hAnsi="Arial"/>
                <w:sz w:val="13"/>
                <w:szCs w:val="13"/>
                <w:color w:val="auto"/>
              </w:rPr>
              <w:t>—</w:t>
            </w:r>
          </w:p>
        </w:tc>
        <w:tc>
          <w:tcPr>
            <w:tcW w:w="1100" w:type="dxa"/>
            <w:vAlign w:val="bottom"/>
            <w:gridSpan w:val="2"/>
          </w:tcPr>
          <w:p>
            <w:pPr>
              <w:ind w:left="500"/>
              <w:spacing w:after="0" w:line="138"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line="138" w:lineRule="exact"/>
              <w:rPr>
                <w:sz w:val="20"/>
                <w:szCs w:val="20"/>
                <w:color w:val="auto"/>
              </w:rPr>
            </w:pPr>
            <w:r>
              <w:rPr>
                <w:rFonts w:ascii="Arial" w:cs="Arial" w:eastAsia="Arial" w:hAnsi="Arial"/>
                <w:sz w:val="13"/>
                <w:szCs w:val="13"/>
                <w:color w:val="auto"/>
              </w:rPr>
              <w:t>2</w:t>
            </w:r>
          </w:p>
        </w:tc>
        <w:tc>
          <w:tcPr>
            <w:tcW w:w="1000" w:type="dxa"/>
            <w:vAlign w:val="bottom"/>
            <w:gridSpan w:val="3"/>
          </w:tcPr>
          <w:p>
            <w:pPr>
              <w:jc w:val="right"/>
              <w:ind w:right="140"/>
              <w:spacing w:after="0" w:line="138" w:lineRule="exact"/>
              <w:rPr>
                <w:sz w:val="20"/>
                <w:szCs w:val="20"/>
                <w:color w:val="auto"/>
              </w:rPr>
            </w:pPr>
            <w:r>
              <w:rPr>
                <w:rFonts w:ascii="Arial" w:cs="Arial" w:eastAsia="Arial" w:hAnsi="Arial"/>
                <w:sz w:val="13"/>
                <w:szCs w:val="13"/>
                <w:color w:val="auto"/>
              </w:rPr>
              <w:t>9,567</w:t>
            </w:r>
          </w:p>
        </w:tc>
        <w:tc>
          <w:tcPr>
            <w:tcW w:w="9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713,718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140" w:type="dxa"/>
            <w:vAlign w:val="bottom"/>
            <w:gridSpan w:val="2"/>
          </w:tcPr>
          <w:p>
            <w:pPr>
              <w:ind w:left="220"/>
              <w:spacing w:after="0"/>
              <w:rPr>
                <w:sz w:val="20"/>
                <w:szCs w:val="20"/>
                <w:color w:val="auto"/>
              </w:rPr>
            </w:pPr>
            <w:r>
              <w:rPr>
                <w:rFonts w:ascii="Arial" w:cs="Arial" w:eastAsia="Arial" w:hAnsi="Arial"/>
                <w:sz w:val="13"/>
                <w:szCs w:val="13"/>
                <w:color w:val="auto"/>
              </w:rPr>
              <w:t>(Trizetto Group, Inc.)</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1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Verde Parent Holdings, Inc.</w:t>
            </w:r>
          </w:p>
        </w:tc>
        <w:tc>
          <w:tcPr>
            <w:tcW w:w="80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center"/>
              <w:ind w:right="180"/>
              <w:spacing w:after="0" w:line="138" w:lineRule="exact"/>
              <w:rPr>
                <w:sz w:val="20"/>
                <w:szCs w:val="20"/>
                <w:color w:val="auto"/>
              </w:rPr>
            </w:pPr>
            <w:r>
              <w:rPr>
                <w:rFonts w:ascii="Arial" w:cs="Arial" w:eastAsia="Arial" w:hAnsi="Arial"/>
                <w:sz w:val="13"/>
                <w:szCs w:val="13"/>
                <w:color w:val="auto"/>
                <w:w w:val="89"/>
              </w:rPr>
              <w:t>Personal</w:t>
            </w:r>
          </w:p>
        </w:tc>
        <w:tc>
          <w:tcPr>
            <w:tcW w:w="94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ind w:left="500"/>
              <w:spacing w:after="0" w:line="138"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9,166</w:t>
            </w:r>
          </w:p>
        </w:tc>
        <w:tc>
          <w:tcPr>
            <w:tcW w:w="100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9,167</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62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9"/>
        </w:trPr>
        <w:tc>
          <w:tcPr>
            <w:tcW w:w="3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3"/>
              </w:rPr>
              <w:t>Transportation</w:t>
            </w:r>
          </w:p>
        </w:tc>
        <w:tc>
          <w:tcPr>
            <w:tcW w:w="4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140" w:type="dxa"/>
            <w:vAlign w:val="bottom"/>
            <w:gridSpan w:val="2"/>
          </w:tcPr>
          <w:p>
            <w:pPr>
              <w:spacing w:after="0" w:line="138" w:lineRule="exact"/>
              <w:rPr>
                <w:sz w:val="20"/>
                <w:szCs w:val="20"/>
                <w:color w:val="auto"/>
              </w:rPr>
            </w:pPr>
            <w:r>
              <w:rPr>
                <w:rFonts w:ascii="Arial" w:cs="Arial" w:eastAsia="Arial" w:hAnsi="Arial"/>
                <w:sz w:val="13"/>
                <w:szCs w:val="13"/>
                <w:color w:val="auto"/>
              </w:rPr>
              <w:t>VText Holdings, Inc.</w:t>
            </w:r>
          </w:p>
        </w:tc>
        <w:tc>
          <w:tcPr>
            <w:tcW w:w="800" w:type="dxa"/>
            <w:vAlign w:val="bottom"/>
            <w:gridSpan w:val="2"/>
          </w:tcPr>
          <w:p>
            <w:pPr>
              <w:ind w:left="200"/>
              <w:spacing w:after="0" w:line="138" w:lineRule="exact"/>
              <w:rPr>
                <w:sz w:val="20"/>
                <w:szCs w:val="20"/>
                <w:color w:val="auto"/>
              </w:rPr>
            </w:pPr>
            <w:r>
              <w:rPr>
                <w:rFonts w:ascii="Arial" w:cs="Arial" w:eastAsia="Arial" w:hAnsi="Arial"/>
                <w:sz w:val="13"/>
                <w:szCs w:val="13"/>
                <w:color w:val="auto"/>
              </w:rPr>
              <w:t>—</w:t>
            </w:r>
          </w:p>
        </w:tc>
        <w:tc>
          <w:tcPr>
            <w:tcW w:w="1480" w:type="dxa"/>
            <w:vAlign w:val="bottom"/>
            <w:gridSpan w:val="2"/>
          </w:tcPr>
          <w:p>
            <w:pPr>
              <w:jc w:val="center"/>
              <w:ind w:right="180"/>
              <w:spacing w:after="0" w:line="138" w:lineRule="exact"/>
              <w:rPr>
                <w:sz w:val="20"/>
                <w:szCs w:val="20"/>
                <w:color w:val="auto"/>
              </w:rPr>
            </w:pPr>
            <w:r>
              <w:rPr>
                <w:rFonts w:ascii="Arial" w:cs="Arial" w:eastAsia="Arial" w:hAnsi="Arial"/>
                <w:sz w:val="13"/>
                <w:szCs w:val="13"/>
                <w:color w:val="auto"/>
                <w:w w:val="92"/>
              </w:rPr>
              <w:t>Business Services</w:t>
            </w:r>
          </w:p>
        </w:tc>
        <w:tc>
          <w:tcPr>
            <w:tcW w:w="940" w:type="dxa"/>
            <w:vAlign w:val="bottom"/>
            <w:gridSpan w:val="2"/>
          </w:tcPr>
          <w:p>
            <w:pPr>
              <w:ind w:left="280"/>
              <w:spacing w:after="0" w:line="138" w:lineRule="exact"/>
              <w:rPr>
                <w:sz w:val="20"/>
                <w:szCs w:val="20"/>
                <w:color w:val="auto"/>
              </w:rPr>
            </w:pPr>
            <w:r>
              <w:rPr>
                <w:rFonts w:ascii="Arial" w:cs="Arial" w:eastAsia="Arial" w:hAnsi="Arial"/>
                <w:sz w:val="13"/>
                <w:szCs w:val="13"/>
                <w:color w:val="auto"/>
              </w:rPr>
              <w:t>—</w:t>
            </w:r>
          </w:p>
        </w:tc>
        <w:tc>
          <w:tcPr>
            <w:tcW w:w="1100" w:type="dxa"/>
            <w:vAlign w:val="bottom"/>
            <w:gridSpan w:val="2"/>
          </w:tcPr>
          <w:p>
            <w:pPr>
              <w:ind w:left="500"/>
              <w:spacing w:after="0" w:line="138"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line="138" w:lineRule="exact"/>
              <w:rPr>
                <w:sz w:val="20"/>
                <w:szCs w:val="20"/>
                <w:color w:val="auto"/>
              </w:rPr>
            </w:pPr>
            <w:r>
              <w:rPr>
                <w:rFonts w:ascii="Arial" w:cs="Arial" w:eastAsia="Arial" w:hAnsi="Arial"/>
                <w:sz w:val="13"/>
                <w:szCs w:val="13"/>
                <w:color w:val="auto"/>
              </w:rPr>
              <w:t>35,526</w:t>
            </w:r>
          </w:p>
        </w:tc>
        <w:tc>
          <w:tcPr>
            <w:tcW w:w="1000" w:type="dxa"/>
            <w:vAlign w:val="bottom"/>
            <w:gridSpan w:val="3"/>
          </w:tcPr>
          <w:p>
            <w:pPr>
              <w:jc w:val="right"/>
              <w:ind w:right="140"/>
              <w:spacing w:after="0" w:line="138" w:lineRule="exact"/>
              <w:rPr>
                <w:sz w:val="20"/>
                <w:szCs w:val="20"/>
                <w:color w:val="auto"/>
              </w:rPr>
            </w:pPr>
            <w:r>
              <w:rPr>
                <w:rFonts w:ascii="Arial" w:cs="Arial" w:eastAsia="Arial" w:hAnsi="Arial"/>
                <w:sz w:val="13"/>
                <w:szCs w:val="13"/>
                <w:color w:val="auto"/>
              </w:rPr>
              <w:t>4,050,000</w:t>
            </w:r>
          </w:p>
        </w:tc>
        <w:tc>
          <w:tcPr>
            <w:tcW w:w="9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6,941,000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140" w:type="dxa"/>
            <w:vAlign w:val="bottom"/>
            <w:gridSpan w:val="2"/>
          </w:tcPr>
          <w:p>
            <w:pPr>
              <w:ind w:left="220"/>
              <w:spacing w:after="0"/>
              <w:rPr>
                <w:sz w:val="20"/>
                <w:szCs w:val="20"/>
                <w:color w:val="auto"/>
              </w:rPr>
            </w:pPr>
            <w:r>
              <w:rPr>
                <w:rFonts w:ascii="Arial" w:cs="Arial" w:eastAsia="Arial" w:hAnsi="Arial"/>
                <w:sz w:val="13"/>
                <w:szCs w:val="13"/>
                <w:color w:val="auto"/>
              </w:rPr>
              <w:t>(Veritext Corp.)</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Common Equity/Warrants/Partnership Interests</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38,457,098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61,315,758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4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Total Investments in Non-Controlled, Non-Affiliated Portfolio Companies</w:t>
            </w: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940" w:type="dxa"/>
            <w:vAlign w:val="bottom"/>
            <w:gridSpan w:val="4"/>
            <w:vMerge w:val="continue"/>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w w:val="99"/>
              </w:rPr>
              <w:t>871,867,953</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871,892,745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40" w:type="dxa"/>
            <w:vAlign w:val="bottom"/>
            <w:gridSpan w:val="4"/>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Investments in Non-Controlled, Affiliated Portfolio Companies— 12.0% </w:t>
            </w:r>
            <w:r>
              <w:rPr>
                <w:rFonts w:ascii="Arial" w:cs="Arial" w:eastAsia="Arial" w:hAnsi="Arial"/>
                <w:sz w:val="17"/>
                <w:szCs w:val="17"/>
                <w:b w:val="1"/>
                <w:bCs w:val="1"/>
                <w:color w:val="auto"/>
                <w:vertAlign w:val="superscript"/>
              </w:rPr>
              <w:t>(1),(2)</w:t>
            </w: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40" w:type="dxa"/>
            <w:vAlign w:val="bottom"/>
            <w:gridSpan w:val="2"/>
          </w:tcPr>
          <w:p>
            <w:pPr>
              <w:spacing w:after="0"/>
              <w:rPr>
                <w:sz w:val="20"/>
                <w:szCs w:val="20"/>
                <w:color w:val="auto"/>
              </w:rPr>
            </w:pPr>
            <w:r>
              <w:rPr>
                <w:rFonts w:ascii="Arial" w:cs="Arial" w:eastAsia="Arial" w:hAnsi="Arial"/>
                <w:sz w:val="13"/>
                <w:szCs w:val="13"/>
                <w:b w:val="1"/>
                <w:bCs w:val="1"/>
                <w:color w:val="auto"/>
              </w:rPr>
              <w:t>Second Lien Secured Debt— 1.1%</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gridSpan w:val="2"/>
            <w:vMerge w:val="restart"/>
          </w:tcPr>
          <w:p>
            <w:pPr>
              <w:ind w:left="340"/>
              <w:spacing w:after="0"/>
              <w:rPr>
                <w:sz w:val="20"/>
                <w:szCs w:val="20"/>
                <w:color w:val="auto"/>
              </w:rPr>
            </w:pPr>
            <w:r>
              <w:rPr>
                <w:rFonts w:ascii="Arial" w:cs="Arial" w:eastAsia="Arial" w:hAnsi="Arial"/>
                <w:sz w:val="13"/>
                <w:szCs w:val="13"/>
                <w:color w:val="auto"/>
              </w:rPr>
              <w:t xml:space="preserve">L+625 </w:t>
            </w:r>
            <w:r>
              <w:rPr>
                <w:rFonts w:ascii="Arial" w:cs="Arial" w:eastAsia="Arial" w:hAnsi="Arial"/>
                <w:sz w:val="22"/>
                <w:szCs w:val="22"/>
                <w:color w:val="auto"/>
                <w:vertAlign w:val="superscript"/>
              </w:rPr>
              <w:t>(8)</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140" w:type="dxa"/>
            <w:vAlign w:val="bottom"/>
            <w:gridSpan w:val="2"/>
          </w:tcPr>
          <w:p>
            <w:pPr>
              <w:spacing w:after="0" w:line="138" w:lineRule="exact"/>
              <w:rPr>
                <w:sz w:val="20"/>
                <w:szCs w:val="20"/>
                <w:color w:val="auto"/>
              </w:rPr>
            </w:pPr>
            <w:r>
              <w:rPr>
                <w:rFonts w:ascii="Arial" w:cs="Arial" w:eastAsia="Arial" w:hAnsi="Arial"/>
                <w:sz w:val="13"/>
                <w:szCs w:val="13"/>
                <w:color w:val="auto"/>
              </w:rPr>
              <w:t>Performance, Inc.</w:t>
            </w:r>
          </w:p>
        </w:tc>
        <w:tc>
          <w:tcPr>
            <w:tcW w:w="620" w:type="dxa"/>
            <w:vAlign w:val="bottom"/>
          </w:tcPr>
          <w:p>
            <w:pPr>
              <w:spacing w:after="0" w:line="138" w:lineRule="exact"/>
              <w:rPr>
                <w:sz w:val="20"/>
                <w:szCs w:val="20"/>
                <w:color w:val="auto"/>
              </w:rPr>
            </w:pPr>
            <w:r>
              <w:rPr>
                <w:rFonts w:ascii="Arial" w:cs="Arial" w:eastAsia="Arial" w:hAnsi="Arial"/>
                <w:sz w:val="13"/>
                <w:szCs w:val="13"/>
                <w:color w:val="auto"/>
                <w:w w:val="92"/>
              </w:rPr>
              <w:t>01/16/2015</w:t>
            </w:r>
          </w:p>
        </w:tc>
        <w:tc>
          <w:tcPr>
            <w:tcW w:w="180" w:type="dxa"/>
            <w:vAlign w:val="bottom"/>
          </w:tcPr>
          <w:p>
            <w:pPr>
              <w:spacing w:after="0"/>
              <w:rPr>
                <w:sz w:val="11"/>
                <w:szCs w:val="11"/>
                <w:color w:val="auto"/>
              </w:rPr>
            </w:pPr>
          </w:p>
        </w:tc>
        <w:tc>
          <w:tcPr>
            <w:tcW w:w="1480" w:type="dxa"/>
            <w:vAlign w:val="bottom"/>
            <w:gridSpan w:val="2"/>
          </w:tcPr>
          <w:p>
            <w:pPr>
              <w:jc w:val="center"/>
              <w:ind w:right="180"/>
              <w:spacing w:after="0" w:line="138" w:lineRule="exact"/>
              <w:rPr>
                <w:sz w:val="20"/>
                <w:szCs w:val="20"/>
                <w:color w:val="auto"/>
              </w:rPr>
            </w:pPr>
            <w:r>
              <w:rPr>
                <w:rFonts w:ascii="Arial" w:cs="Arial" w:eastAsia="Arial" w:hAnsi="Arial"/>
                <w:sz w:val="13"/>
                <w:szCs w:val="13"/>
                <w:color w:val="auto"/>
                <w:w w:val="92"/>
              </w:rPr>
              <w:t>Leisure, Amusement</w:t>
            </w:r>
          </w:p>
        </w:tc>
        <w:tc>
          <w:tcPr>
            <w:tcW w:w="940" w:type="dxa"/>
            <w:vAlign w:val="bottom"/>
            <w:gridSpan w:val="2"/>
          </w:tcPr>
          <w:p>
            <w:pPr>
              <w:jc w:val="right"/>
              <w:ind w:right="360"/>
              <w:spacing w:after="0" w:line="138" w:lineRule="exact"/>
              <w:rPr>
                <w:sz w:val="20"/>
                <w:szCs w:val="20"/>
                <w:color w:val="auto"/>
              </w:rPr>
            </w:pPr>
            <w:r>
              <w:rPr>
                <w:rFonts w:ascii="Arial" w:cs="Arial" w:eastAsia="Arial" w:hAnsi="Arial"/>
                <w:sz w:val="13"/>
                <w:szCs w:val="13"/>
                <w:color w:val="auto"/>
              </w:rPr>
              <w:t>7.25%</w:t>
            </w:r>
          </w:p>
        </w:tc>
        <w:tc>
          <w:tcPr>
            <w:tcW w:w="1100" w:type="dxa"/>
            <w:vAlign w:val="bottom"/>
            <w:gridSpan w:val="2"/>
            <w:vMerge w:val="continue"/>
          </w:tcPr>
          <w:p>
            <w:pPr>
              <w:spacing w:after="0"/>
              <w:rPr>
                <w:sz w:val="11"/>
                <w:szCs w:val="11"/>
                <w:color w:val="auto"/>
              </w:rPr>
            </w:pPr>
          </w:p>
        </w:tc>
        <w:tc>
          <w:tcPr>
            <w:tcW w:w="780" w:type="dxa"/>
            <w:vAlign w:val="bottom"/>
            <w:gridSpan w:val="2"/>
          </w:tcPr>
          <w:p>
            <w:pPr>
              <w:jc w:val="right"/>
              <w:ind w:right="140"/>
              <w:spacing w:after="0" w:line="138" w:lineRule="exact"/>
              <w:rPr>
                <w:sz w:val="20"/>
                <w:szCs w:val="20"/>
                <w:color w:val="auto"/>
              </w:rPr>
            </w:pPr>
            <w:r>
              <w:rPr>
                <w:rFonts w:ascii="Arial" w:cs="Arial" w:eastAsia="Arial" w:hAnsi="Arial"/>
                <w:sz w:val="13"/>
                <w:szCs w:val="13"/>
                <w:color w:val="auto"/>
              </w:rPr>
              <w:t>8,000,000</w:t>
            </w:r>
          </w:p>
        </w:tc>
        <w:tc>
          <w:tcPr>
            <w:tcW w:w="1000" w:type="dxa"/>
            <w:vAlign w:val="bottom"/>
            <w:gridSpan w:val="3"/>
          </w:tcPr>
          <w:p>
            <w:pPr>
              <w:jc w:val="right"/>
              <w:ind w:right="140"/>
              <w:spacing w:after="0" w:line="138" w:lineRule="exact"/>
              <w:rPr>
                <w:sz w:val="20"/>
                <w:szCs w:val="20"/>
                <w:color w:val="auto"/>
              </w:rPr>
            </w:pPr>
            <w:r>
              <w:rPr>
                <w:rFonts w:ascii="Arial" w:cs="Arial" w:eastAsia="Arial" w:hAnsi="Arial"/>
                <w:sz w:val="13"/>
                <w:szCs w:val="13"/>
                <w:color w:val="auto"/>
              </w:rPr>
              <w:t>8,000,000</w:t>
            </w:r>
          </w:p>
        </w:tc>
        <w:tc>
          <w:tcPr>
            <w:tcW w:w="9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7,672,000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color w:val="auto"/>
                <w:w w:val="95"/>
              </w:rPr>
              <w:t>Motion Pictures and</w:t>
            </w: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color w:val="auto"/>
                <w:w w:val="96"/>
              </w:rPr>
              <w:t>Entertainment</w:t>
            </w: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40" w:type="dxa"/>
            <w:vAlign w:val="bottom"/>
            <w:gridSpan w:val="2"/>
          </w:tcPr>
          <w:p>
            <w:pPr>
              <w:spacing w:after="0"/>
              <w:rPr>
                <w:sz w:val="20"/>
                <w:szCs w:val="20"/>
                <w:color w:val="auto"/>
              </w:rPr>
            </w:pPr>
            <w:r>
              <w:rPr>
                <w:rFonts w:ascii="Arial" w:cs="Arial" w:eastAsia="Arial" w:hAnsi="Arial"/>
                <w:sz w:val="13"/>
                <w:szCs w:val="13"/>
                <w:b w:val="1"/>
                <w:bCs w:val="1"/>
                <w:color w:val="auto"/>
              </w:rPr>
              <w:t>Subordinated Debt/Corporate Notes—7.1%</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1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Performance Holdings, Inc.</w:t>
            </w:r>
          </w:p>
        </w:tc>
        <w:tc>
          <w:tcPr>
            <w:tcW w:w="6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w w:val="92"/>
              </w:rPr>
              <w:t>07/16/2015</w:t>
            </w:r>
          </w:p>
        </w:tc>
        <w:tc>
          <w:tcPr>
            <w:tcW w:w="180" w:type="dxa"/>
            <w:vAlign w:val="bottom"/>
            <w:shd w:val="clear" w:color="auto" w:fill="CCEEFF"/>
          </w:tcPr>
          <w:p>
            <w:pPr>
              <w:spacing w:after="0"/>
              <w:rPr>
                <w:sz w:val="11"/>
                <w:szCs w:val="11"/>
                <w:color w:val="auto"/>
              </w:rPr>
            </w:pPr>
          </w:p>
        </w:tc>
        <w:tc>
          <w:tcPr>
            <w:tcW w:w="1480" w:type="dxa"/>
            <w:vAlign w:val="bottom"/>
            <w:gridSpan w:val="2"/>
            <w:shd w:val="clear" w:color="auto" w:fill="CCEEFF"/>
          </w:tcPr>
          <w:p>
            <w:pPr>
              <w:jc w:val="center"/>
              <w:ind w:right="180"/>
              <w:spacing w:after="0" w:line="138" w:lineRule="exact"/>
              <w:rPr>
                <w:sz w:val="20"/>
                <w:szCs w:val="20"/>
                <w:color w:val="auto"/>
              </w:rPr>
            </w:pPr>
            <w:r>
              <w:rPr>
                <w:rFonts w:ascii="Arial" w:cs="Arial" w:eastAsia="Arial" w:hAnsi="Arial"/>
                <w:sz w:val="13"/>
                <w:szCs w:val="13"/>
                <w:color w:val="auto"/>
                <w:w w:val="92"/>
              </w:rPr>
              <w:t>Leisure, Amusement,</w:t>
            </w:r>
          </w:p>
        </w:tc>
        <w:tc>
          <w:tcPr>
            <w:tcW w:w="94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0"/>
                <w:szCs w:val="10"/>
                <w:color w:val="auto"/>
              </w:rPr>
              <w:t xml:space="preserve">15.00% </w:t>
            </w:r>
            <w:r>
              <w:rPr>
                <w:rFonts w:ascii="Arial" w:cs="Arial" w:eastAsia="Arial" w:hAnsi="Arial"/>
                <w:sz w:val="15"/>
                <w:szCs w:val="15"/>
                <w:color w:val="auto"/>
                <w:vertAlign w:val="superscript"/>
              </w:rPr>
              <w:t>(7)</w:t>
            </w:r>
          </w:p>
        </w:tc>
        <w:tc>
          <w:tcPr>
            <w:tcW w:w="1100" w:type="dxa"/>
            <w:vAlign w:val="bottom"/>
            <w:gridSpan w:val="2"/>
            <w:shd w:val="clear" w:color="auto" w:fill="CCEEFF"/>
          </w:tcPr>
          <w:p>
            <w:pPr>
              <w:ind w:left="500"/>
              <w:spacing w:after="0" w:line="138"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7,567,234</w:t>
            </w:r>
          </w:p>
        </w:tc>
        <w:tc>
          <w:tcPr>
            <w:tcW w:w="100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7,435,314</w:t>
            </w:r>
          </w:p>
        </w:tc>
        <w:tc>
          <w:tcPr>
            <w:tcW w:w="9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7,453,725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5"/>
              </w:rPr>
              <w:t>Motion Pictures and</w:t>
            </w: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6"/>
              </w:rPr>
              <w:t>Entertainment</w:t>
            </w:r>
          </w:p>
        </w:tc>
        <w:tc>
          <w:tcPr>
            <w:tcW w:w="4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140" w:type="dxa"/>
            <w:vAlign w:val="bottom"/>
            <w:gridSpan w:val="2"/>
          </w:tcPr>
          <w:p>
            <w:pPr>
              <w:spacing w:after="0"/>
              <w:rPr>
                <w:sz w:val="20"/>
                <w:szCs w:val="20"/>
                <w:color w:val="auto"/>
              </w:rPr>
            </w:pPr>
            <w:r>
              <w:rPr>
                <w:rFonts w:ascii="Arial" w:cs="Arial" w:eastAsia="Arial" w:hAnsi="Arial"/>
                <w:sz w:val="13"/>
                <w:szCs w:val="13"/>
                <w:color w:val="auto"/>
              </w:rPr>
              <w:t>Service Champ, Inc.</w:t>
            </w:r>
          </w:p>
        </w:tc>
        <w:tc>
          <w:tcPr>
            <w:tcW w:w="620" w:type="dxa"/>
            <w:vAlign w:val="bottom"/>
          </w:tcPr>
          <w:p>
            <w:pPr>
              <w:spacing w:after="0"/>
              <w:rPr>
                <w:sz w:val="20"/>
                <w:szCs w:val="20"/>
                <w:color w:val="auto"/>
              </w:rPr>
            </w:pPr>
            <w:r>
              <w:rPr>
                <w:rFonts w:ascii="Arial" w:cs="Arial" w:eastAsia="Arial" w:hAnsi="Arial"/>
                <w:sz w:val="13"/>
                <w:szCs w:val="13"/>
                <w:color w:val="auto"/>
                <w:w w:val="92"/>
              </w:rPr>
              <w:t>10/02/2017</w:t>
            </w:r>
          </w:p>
        </w:tc>
        <w:tc>
          <w:tcPr>
            <w:tcW w:w="180" w:type="dxa"/>
            <w:vAlign w:val="bottom"/>
          </w:tcPr>
          <w:p>
            <w:pPr>
              <w:spacing w:after="0"/>
              <w:rPr>
                <w:sz w:val="12"/>
                <w:szCs w:val="12"/>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color w:val="auto"/>
                <w:w w:val="97"/>
              </w:rPr>
              <w:t>Auto Sector</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12.50%</w:t>
            </w:r>
          </w:p>
        </w:tc>
        <w:tc>
          <w:tcPr>
            <w:tcW w:w="11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w w:val="95"/>
              </w:rPr>
              <w:t>24,000,000</w:t>
            </w:r>
          </w:p>
        </w:tc>
        <w:tc>
          <w:tcPr>
            <w:tcW w:w="1000" w:type="dxa"/>
            <w:vAlign w:val="bottom"/>
            <w:gridSpan w:val="3"/>
          </w:tcPr>
          <w:p>
            <w:pPr>
              <w:jc w:val="right"/>
              <w:ind w:right="140"/>
              <w:spacing w:after="0"/>
              <w:rPr>
                <w:sz w:val="20"/>
                <w:szCs w:val="20"/>
                <w:color w:val="auto"/>
              </w:rPr>
            </w:pPr>
            <w:r>
              <w:rPr>
                <w:rFonts w:ascii="Arial" w:cs="Arial" w:eastAsia="Arial" w:hAnsi="Arial"/>
                <w:sz w:val="13"/>
                <w:szCs w:val="13"/>
                <w:color w:val="auto"/>
              </w:rPr>
              <w:t>23,495,700</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24,000,000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Service Champ, Inc. </w:t>
            </w:r>
            <w:r>
              <w:rPr>
                <w:rFonts w:ascii="Arial" w:cs="Arial" w:eastAsia="Arial" w:hAnsi="Arial"/>
                <w:sz w:val="17"/>
                <w:szCs w:val="17"/>
                <w:color w:val="auto"/>
                <w:vertAlign w:val="superscript"/>
              </w:rPr>
              <w:t>(9)</w:t>
            </w:r>
          </w:p>
        </w:tc>
        <w:tc>
          <w:tcPr>
            <w:tcW w:w="620" w:type="dxa"/>
            <w:vAlign w:val="bottom"/>
            <w:shd w:val="clear" w:color="auto" w:fill="CCEEFF"/>
          </w:tcPr>
          <w:p>
            <w:pPr>
              <w:spacing w:after="0"/>
              <w:rPr>
                <w:sz w:val="20"/>
                <w:szCs w:val="20"/>
                <w:color w:val="auto"/>
              </w:rPr>
            </w:pPr>
            <w:r>
              <w:rPr>
                <w:rFonts w:ascii="Arial" w:cs="Arial" w:eastAsia="Arial" w:hAnsi="Arial"/>
                <w:sz w:val="13"/>
                <w:szCs w:val="13"/>
                <w:color w:val="auto"/>
                <w:w w:val="92"/>
              </w:rPr>
              <w:t>10/02/2013</w:t>
            </w:r>
          </w:p>
        </w:tc>
        <w:tc>
          <w:tcPr>
            <w:tcW w:w="1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7"/>
              </w:rPr>
              <w:t>Auto Sector</w:t>
            </w:r>
          </w:p>
        </w:tc>
        <w:tc>
          <w:tcPr>
            <w:tcW w:w="94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5"/>
              </w:rPr>
              <w:t>16,000,000</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15,640,000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Subordinated Debt/Corporate Notes</w:t>
            </w: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4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46,571,014</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47,453,725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Common Equity/Partnership Interest—3.8% </w:t>
            </w:r>
            <w:r>
              <w:rPr>
                <w:rFonts w:ascii="Arial" w:cs="Arial" w:eastAsia="Arial" w:hAnsi="Arial"/>
                <w:sz w:val="17"/>
                <w:szCs w:val="17"/>
                <w:b w:val="1"/>
                <w:bCs w:val="1"/>
                <w:color w:val="auto"/>
                <w:vertAlign w:val="superscript"/>
              </w:rPr>
              <w:t>(6)</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140" w:type="dxa"/>
            <w:vAlign w:val="bottom"/>
            <w:gridSpan w:val="2"/>
          </w:tcPr>
          <w:p>
            <w:pPr>
              <w:spacing w:after="0" w:line="138" w:lineRule="exact"/>
              <w:rPr>
                <w:sz w:val="20"/>
                <w:szCs w:val="20"/>
                <w:color w:val="auto"/>
              </w:rPr>
            </w:pPr>
            <w:r>
              <w:rPr>
                <w:rFonts w:ascii="Arial" w:cs="Arial" w:eastAsia="Arial" w:hAnsi="Arial"/>
                <w:sz w:val="13"/>
                <w:szCs w:val="13"/>
                <w:color w:val="auto"/>
              </w:rPr>
              <w:t>EnviroSolutions, Inc.</w:t>
            </w:r>
          </w:p>
        </w:tc>
        <w:tc>
          <w:tcPr>
            <w:tcW w:w="800" w:type="dxa"/>
            <w:vAlign w:val="bottom"/>
            <w:gridSpan w:val="2"/>
          </w:tcPr>
          <w:p>
            <w:pPr>
              <w:ind w:left="200"/>
              <w:spacing w:after="0" w:line="138" w:lineRule="exact"/>
              <w:rPr>
                <w:sz w:val="20"/>
                <w:szCs w:val="20"/>
                <w:color w:val="auto"/>
              </w:rPr>
            </w:pPr>
            <w:r>
              <w:rPr>
                <w:rFonts w:ascii="Arial" w:cs="Arial" w:eastAsia="Arial" w:hAnsi="Arial"/>
                <w:sz w:val="13"/>
                <w:szCs w:val="13"/>
                <w:color w:val="auto"/>
              </w:rPr>
              <w:t>—</w:t>
            </w:r>
          </w:p>
        </w:tc>
        <w:tc>
          <w:tcPr>
            <w:tcW w:w="1480" w:type="dxa"/>
            <w:vAlign w:val="bottom"/>
            <w:gridSpan w:val="2"/>
          </w:tcPr>
          <w:p>
            <w:pPr>
              <w:jc w:val="center"/>
              <w:ind w:right="180"/>
              <w:spacing w:after="0" w:line="138" w:lineRule="exact"/>
              <w:rPr>
                <w:sz w:val="20"/>
                <w:szCs w:val="20"/>
                <w:color w:val="auto"/>
              </w:rPr>
            </w:pPr>
            <w:r>
              <w:rPr>
                <w:rFonts w:ascii="Arial" w:cs="Arial" w:eastAsia="Arial" w:hAnsi="Arial"/>
                <w:sz w:val="13"/>
                <w:szCs w:val="13"/>
                <w:color w:val="auto"/>
                <w:w w:val="98"/>
              </w:rPr>
              <w:t>Environmental</w:t>
            </w:r>
          </w:p>
        </w:tc>
        <w:tc>
          <w:tcPr>
            <w:tcW w:w="940" w:type="dxa"/>
            <w:vAlign w:val="bottom"/>
            <w:gridSpan w:val="2"/>
          </w:tcPr>
          <w:p>
            <w:pPr>
              <w:ind w:left="280"/>
              <w:spacing w:after="0" w:line="138" w:lineRule="exact"/>
              <w:rPr>
                <w:sz w:val="20"/>
                <w:szCs w:val="20"/>
                <w:color w:val="auto"/>
              </w:rPr>
            </w:pPr>
            <w:r>
              <w:rPr>
                <w:rFonts w:ascii="Arial" w:cs="Arial" w:eastAsia="Arial" w:hAnsi="Arial"/>
                <w:sz w:val="13"/>
                <w:szCs w:val="13"/>
                <w:color w:val="auto"/>
              </w:rPr>
              <w:t>—</w:t>
            </w:r>
          </w:p>
        </w:tc>
        <w:tc>
          <w:tcPr>
            <w:tcW w:w="1100" w:type="dxa"/>
            <w:vAlign w:val="bottom"/>
            <w:gridSpan w:val="2"/>
          </w:tcPr>
          <w:p>
            <w:pPr>
              <w:ind w:left="500"/>
              <w:spacing w:after="0" w:line="138"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line="138" w:lineRule="exact"/>
              <w:rPr>
                <w:sz w:val="20"/>
                <w:szCs w:val="20"/>
                <w:color w:val="auto"/>
              </w:rPr>
            </w:pPr>
            <w:r>
              <w:rPr>
                <w:rFonts w:ascii="Arial" w:cs="Arial" w:eastAsia="Arial" w:hAnsi="Arial"/>
                <w:sz w:val="13"/>
                <w:szCs w:val="13"/>
                <w:color w:val="auto"/>
              </w:rPr>
              <w:t>125,106</w:t>
            </w:r>
          </w:p>
        </w:tc>
        <w:tc>
          <w:tcPr>
            <w:tcW w:w="1000" w:type="dxa"/>
            <w:vAlign w:val="bottom"/>
            <w:gridSpan w:val="3"/>
          </w:tcPr>
          <w:p>
            <w:pPr>
              <w:jc w:val="right"/>
              <w:ind w:right="140"/>
              <w:spacing w:after="0" w:line="138" w:lineRule="exact"/>
              <w:rPr>
                <w:sz w:val="20"/>
                <w:szCs w:val="20"/>
                <w:color w:val="auto"/>
              </w:rPr>
            </w:pPr>
            <w:r>
              <w:rPr>
                <w:rFonts w:ascii="Arial" w:cs="Arial" w:eastAsia="Arial" w:hAnsi="Arial"/>
                <w:sz w:val="13"/>
                <w:szCs w:val="13"/>
                <w:color w:val="auto"/>
              </w:rPr>
              <w:t>10,055,844</w:t>
            </w:r>
          </w:p>
        </w:tc>
        <w:tc>
          <w:tcPr>
            <w:tcW w:w="9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18,425,519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color w:val="auto"/>
                <w:w w:val="92"/>
              </w:rPr>
              <w:t>Services</w:t>
            </w: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1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NCP-Performance</w:t>
            </w:r>
          </w:p>
        </w:tc>
        <w:tc>
          <w:tcPr>
            <w:tcW w:w="80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center"/>
              <w:ind w:right="180"/>
              <w:spacing w:after="0" w:line="138" w:lineRule="exact"/>
              <w:rPr>
                <w:sz w:val="20"/>
                <w:szCs w:val="20"/>
                <w:color w:val="auto"/>
              </w:rPr>
            </w:pPr>
            <w:r>
              <w:rPr>
                <w:rFonts w:ascii="Arial" w:cs="Arial" w:eastAsia="Arial" w:hAnsi="Arial"/>
                <w:sz w:val="13"/>
                <w:szCs w:val="13"/>
                <w:color w:val="auto"/>
                <w:w w:val="92"/>
              </w:rPr>
              <w:t>Leisure, Amusement,</w:t>
            </w:r>
          </w:p>
        </w:tc>
        <w:tc>
          <w:tcPr>
            <w:tcW w:w="94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ind w:left="500"/>
              <w:spacing w:after="0" w:line="138"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375,000</w:t>
            </w:r>
          </w:p>
        </w:tc>
        <w:tc>
          <w:tcPr>
            <w:tcW w:w="100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3,750,000</w:t>
            </w:r>
          </w:p>
        </w:tc>
        <w:tc>
          <w:tcPr>
            <w:tcW w:w="9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2,902,355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(Performance Holdings, Inc.)</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5"/>
              </w:rPr>
              <w:t>Motion Pictures and</w:t>
            </w: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6"/>
              </w:rPr>
              <w:t>Entertainment</w:t>
            </w:r>
          </w:p>
        </w:tc>
        <w:tc>
          <w:tcPr>
            <w:tcW w:w="4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140" w:type="dxa"/>
            <w:vAlign w:val="bottom"/>
            <w:gridSpan w:val="2"/>
          </w:tcPr>
          <w:p>
            <w:pPr>
              <w:spacing w:after="0" w:line="138" w:lineRule="exact"/>
              <w:rPr>
                <w:sz w:val="20"/>
                <w:szCs w:val="20"/>
                <w:color w:val="auto"/>
              </w:rPr>
            </w:pPr>
            <w:r>
              <w:rPr>
                <w:rFonts w:ascii="Arial" w:cs="Arial" w:eastAsia="Arial" w:hAnsi="Arial"/>
                <w:sz w:val="13"/>
                <w:szCs w:val="13"/>
                <w:color w:val="auto"/>
              </w:rPr>
              <w:t>New Service Champ Holdings, Inc.</w:t>
            </w:r>
          </w:p>
        </w:tc>
        <w:tc>
          <w:tcPr>
            <w:tcW w:w="800" w:type="dxa"/>
            <w:vAlign w:val="bottom"/>
            <w:gridSpan w:val="2"/>
          </w:tcPr>
          <w:p>
            <w:pPr>
              <w:ind w:left="200"/>
              <w:spacing w:after="0" w:line="138" w:lineRule="exact"/>
              <w:rPr>
                <w:sz w:val="20"/>
                <w:szCs w:val="20"/>
                <w:color w:val="auto"/>
              </w:rPr>
            </w:pPr>
            <w:r>
              <w:rPr>
                <w:rFonts w:ascii="Arial" w:cs="Arial" w:eastAsia="Arial" w:hAnsi="Arial"/>
                <w:sz w:val="13"/>
                <w:szCs w:val="13"/>
                <w:color w:val="auto"/>
              </w:rPr>
              <w:t>—</w:t>
            </w:r>
          </w:p>
        </w:tc>
        <w:tc>
          <w:tcPr>
            <w:tcW w:w="1480" w:type="dxa"/>
            <w:vAlign w:val="bottom"/>
            <w:gridSpan w:val="2"/>
          </w:tcPr>
          <w:p>
            <w:pPr>
              <w:jc w:val="center"/>
              <w:ind w:right="180"/>
              <w:spacing w:after="0" w:line="138" w:lineRule="exact"/>
              <w:rPr>
                <w:sz w:val="20"/>
                <w:szCs w:val="20"/>
                <w:color w:val="auto"/>
              </w:rPr>
            </w:pPr>
            <w:r>
              <w:rPr>
                <w:rFonts w:ascii="Arial" w:cs="Arial" w:eastAsia="Arial" w:hAnsi="Arial"/>
                <w:sz w:val="13"/>
                <w:szCs w:val="13"/>
                <w:color w:val="auto"/>
                <w:w w:val="97"/>
              </w:rPr>
              <w:t>Auto Sector</w:t>
            </w:r>
          </w:p>
        </w:tc>
        <w:tc>
          <w:tcPr>
            <w:tcW w:w="940" w:type="dxa"/>
            <w:vAlign w:val="bottom"/>
            <w:gridSpan w:val="2"/>
          </w:tcPr>
          <w:p>
            <w:pPr>
              <w:ind w:left="280"/>
              <w:spacing w:after="0" w:line="138" w:lineRule="exact"/>
              <w:rPr>
                <w:sz w:val="20"/>
                <w:szCs w:val="20"/>
                <w:color w:val="auto"/>
              </w:rPr>
            </w:pPr>
            <w:r>
              <w:rPr>
                <w:rFonts w:ascii="Arial" w:cs="Arial" w:eastAsia="Arial" w:hAnsi="Arial"/>
                <w:sz w:val="13"/>
                <w:szCs w:val="13"/>
                <w:color w:val="auto"/>
              </w:rPr>
              <w:t>—</w:t>
            </w:r>
          </w:p>
        </w:tc>
        <w:tc>
          <w:tcPr>
            <w:tcW w:w="1100" w:type="dxa"/>
            <w:vAlign w:val="bottom"/>
            <w:gridSpan w:val="2"/>
          </w:tcPr>
          <w:p>
            <w:pPr>
              <w:ind w:left="500"/>
              <w:spacing w:after="0" w:line="138"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line="138" w:lineRule="exact"/>
              <w:rPr>
                <w:sz w:val="20"/>
                <w:szCs w:val="20"/>
                <w:color w:val="auto"/>
              </w:rPr>
            </w:pPr>
            <w:r>
              <w:rPr>
                <w:rFonts w:ascii="Arial" w:cs="Arial" w:eastAsia="Arial" w:hAnsi="Arial"/>
                <w:sz w:val="13"/>
                <w:szCs w:val="13"/>
                <w:color w:val="auto"/>
              </w:rPr>
              <w:t>16,800</w:t>
            </w:r>
          </w:p>
        </w:tc>
        <w:tc>
          <w:tcPr>
            <w:tcW w:w="1000" w:type="dxa"/>
            <w:vAlign w:val="bottom"/>
            <w:gridSpan w:val="3"/>
          </w:tcPr>
          <w:p>
            <w:pPr>
              <w:jc w:val="right"/>
              <w:ind w:right="140"/>
              <w:spacing w:after="0" w:line="138" w:lineRule="exact"/>
              <w:rPr>
                <w:sz w:val="20"/>
                <w:szCs w:val="20"/>
                <w:color w:val="auto"/>
              </w:rPr>
            </w:pPr>
            <w:r>
              <w:rPr>
                <w:rFonts w:ascii="Arial" w:cs="Arial" w:eastAsia="Arial" w:hAnsi="Arial"/>
                <w:sz w:val="13"/>
                <w:szCs w:val="13"/>
                <w:color w:val="auto"/>
              </w:rPr>
              <w:t>4,200,000</w:t>
            </w:r>
          </w:p>
        </w:tc>
        <w:tc>
          <w:tcPr>
            <w:tcW w:w="9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4,501,658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140" w:type="dxa"/>
            <w:vAlign w:val="bottom"/>
            <w:gridSpan w:val="2"/>
          </w:tcPr>
          <w:p>
            <w:pPr>
              <w:ind w:left="220"/>
              <w:spacing w:after="0"/>
              <w:rPr>
                <w:sz w:val="20"/>
                <w:szCs w:val="20"/>
                <w:color w:val="auto"/>
              </w:rPr>
            </w:pPr>
            <w:r>
              <w:rPr>
                <w:rFonts w:ascii="Arial" w:cs="Arial" w:eastAsia="Arial" w:hAnsi="Arial"/>
                <w:sz w:val="13"/>
                <w:szCs w:val="13"/>
                <w:color w:val="auto"/>
              </w:rPr>
              <w:t>(Service Champ, Inc.)</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Common Equity/Partnership Interest</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18,005,844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25,829,532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4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8"/>
              </w:rPr>
              <w:t>Total Investments in Non-Controlled, Affiliated Portfolio Companies</w:t>
            </w: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4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72,576,858</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80,955,257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-2099310</wp:posOffset>
            </wp:positionV>
            <wp:extent cx="7132320" cy="2825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459"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 (Continued) SEPTEMBER 30, 2012</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Basis Point</w:t>
            </w: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Spread</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right"/>
              <w:ind w:right="560"/>
              <w:spacing w:after="0" w:line="134" w:lineRule="exact"/>
              <w:rPr>
                <w:sz w:val="20"/>
                <w:szCs w:val="20"/>
                <w:color w:val="auto"/>
              </w:rPr>
            </w:pPr>
            <w:r>
              <w:rPr>
                <w:rFonts w:ascii="Arial" w:cs="Arial" w:eastAsia="Arial" w:hAnsi="Arial"/>
                <w:sz w:val="13"/>
                <w:szCs w:val="13"/>
                <w:b w:val="1"/>
                <w:bCs w:val="1"/>
                <w:color w:val="auto"/>
              </w:rPr>
              <w:t>Current</w:t>
            </w:r>
          </w:p>
        </w:tc>
        <w:tc>
          <w:tcPr>
            <w:tcW w:w="960" w:type="dxa"/>
            <w:vAlign w:val="bottom"/>
            <w:gridSpan w:val="2"/>
          </w:tcPr>
          <w:p>
            <w:pPr>
              <w:jc w:val="center"/>
              <w:ind w:right="260"/>
              <w:spacing w:after="0" w:line="134" w:lineRule="exact"/>
              <w:rPr>
                <w:sz w:val="20"/>
                <w:szCs w:val="20"/>
                <w:color w:val="auto"/>
              </w:rPr>
            </w:pPr>
            <w:r>
              <w:rPr>
                <w:rFonts w:ascii="Arial" w:cs="Arial" w:eastAsia="Arial" w:hAnsi="Arial"/>
                <w:sz w:val="13"/>
                <w:szCs w:val="13"/>
                <w:b w:val="1"/>
                <w:bCs w:val="1"/>
                <w:color w:val="auto"/>
                <w:w w:val="95"/>
              </w:rPr>
              <w:t>Above</w:t>
            </w:r>
          </w:p>
        </w:tc>
        <w:tc>
          <w:tcPr>
            <w:tcW w:w="1040" w:type="dxa"/>
            <w:vAlign w:val="bottom"/>
            <w:gridSpan w:val="2"/>
          </w:tcPr>
          <w:p>
            <w:pPr>
              <w:jc w:val="right"/>
              <w:ind w:right="600"/>
              <w:spacing w:after="0" w:line="134" w:lineRule="exact"/>
              <w:rPr>
                <w:sz w:val="20"/>
                <w:szCs w:val="20"/>
                <w:color w:val="auto"/>
              </w:rPr>
            </w:pPr>
            <w:r>
              <w:rPr>
                <w:rFonts w:ascii="Arial" w:cs="Arial" w:eastAsia="Arial" w:hAnsi="Arial"/>
                <w:sz w:val="13"/>
                <w:szCs w:val="13"/>
                <w:b w:val="1"/>
                <w:bCs w:val="1"/>
                <w:color w:val="auto"/>
              </w:rPr>
              <w:t>Par/</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22"/>
                <w:szCs w:val="22"/>
                <w:b w:val="1"/>
                <w:bCs w:val="1"/>
                <w:color w:val="auto"/>
                <w:vertAlign w:val="superscript"/>
              </w:rPr>
              <w:t>(3)</w:t>
            </w:r>
          </w:p>
        </w:tc>
        <w:tc>
          <w:tcPr>
            <w:tcW w:w="0" w:type="dxa"/>
            <w:vAlign w:val="bottom"/>
          </w:tcPr>
          <w:p>
            <w:pPr>
              <w:spacing w:after="0"/>
              <w:rPr>
                <w:sz w:val="1"/>
                <w:szCs w:val="1"/>
                <w:color w:val="auto"/>
              </w:rPr>
            </w:pPr>
          </w:p>
        </w:tc>
      </w:tr>
      <w:tr>
        <w:trPr>
          <w:trHeight w:val="176"/>
        </w:trPr>
        <w:tc>
          <w:tcPr>
            <w:tcW w:w="3840" w:type="dxa"/>
            <w:vAlign w:val="bottom"/>
          </w:tcPr>
          <w:p>
            <w:pPr>
              <w:spacing w:after="0"/>
              <w:rPr>
                <w:sz w:val="20"/>
                <w:szCs w:val="20"/>
                <w:color w:val="auto"/>
              </w:rPr>
            </w:pPr>
            <w:r>
              <w:rPr>
                <w:rFonts w:ascii="Arial" w:cs="Arial" w:eastAsia="Arial" w:hAnsi="Arial"/>
                <w:sz w:val="13"/>
                <w:szCs w:val="13"/>
                <w:b w:val="1"/>
                <w:bCs w:val="1"/>
                <w:color w:val="auto"/>
              </w:rPr>
              <w:t>Issuer Name</w:t>
            </w:r>
          </w:p>
        </w:tc>
        <w:tc>
          <w:tcPr>
            <w:tcW w:w="880" w:type="dxa"/>
            <w:vAlign w:val="bottom"/>
          </w:tcPr>
          <w:p>
            <w:pPr>
              <w:jc w:val="center"/>
              <w:ind w:left="13"/>
              <w:spacing w:after="0"/>
              <w:rPr>
                <w:sz w:val="20"/>
                <w:szCs w:val="20"/>
                <w:color w:val="auto"/>
              </w:rPr>
            </w:pPr>
            <w:r>
              <w:rPr>
                <w:rFonts w:ascii="Arial" w:cs="Arial" w:eastAsia="Arial" w:hAnsi="Arial"/>
                <w:sz w:val="13"/>
                <w:szCs w:val="13"/>
                <w:b w:val="1"/>
                <w:bCs w:val="1"/>
                <w:color w:val="auto"/>
              </w:rPr>
              <w:t>Maturity</w:t>
            </w:r>
          </w:p>
        </w:tc>
        <w:tc>
          <w:tcPr>
            <w:tcW w:w="12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Industry</w:t>
            </w:r>
          </w:p>
        </w:tc>
        <w:tc>
          <w:tcPr>
            <w:tcW w:w="112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Coupon</w:t>
            </w:r>
          </w:p>
        </w:tc>
        <w:tc>
          <w:tcPr>
            <w:tcW w:w="960" w:type="dxa"/>
            <w:vAlign w:val="bottom"/>
            <w:gridSpan w:val="2"/>
          </w:tcPr>
          <w:p>
            <w:pPr>
              <w:jc w:val="center"/>
              <w:ind w:right="260"/>
              <w:spacing w:after="0" w:line="176" w:lineRule="exact"/>
              <w:rPr>
                <w:sz w:val="20"/>
                <w:szCs w:val="20"/>
                <w:color w:val="auto"/>
              </w:rPr>
            </w:pPr>
            <w:r>
              <w:rPr>
                <w:rFonts w:ascii="Arial" w:cs="Arial" w:eastAsia="Arial" w:hAnsi="Arial"/>
                <w:sz w:val="12"/>
                <w:szCs w:val="12"/>
                <w:b w:val="1"/>
                <w:bCs w:val="1"/>
                <w:color w:val="auto"/>
                <w:w w:val="97"/>
              </w:rPr>
              <w:t xml:space="preserve">Index </w:t>
            </w:r>
            <w:r>
              <w:rPr>
                <w:rFonts w:ascii="Arial" w:cs="Arial" w:eastAsia="Arial" w:hAnsi="Arial"/>
                <w:sz w:val="20"/>
                <w:szCs w:val="20"/>
                <w:b w:val="1"/>
                <w:bCs w:val="1"/>
                <w:color w:val="auto"/>
                <w:w w:val="97"/>
                <w:vertAlign w:val="superscript"/>
              </w:rPr>
              <w:t>(4)</w:t>
            </w:r>
          </w:p>
        </w:tc>
        <w:tc>
          <w:tcPr>
            <w:tcW w:w="104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5"/>
                <w:szCs w:val="15"/>
                <w:color w:val="auto"/>
              </w:rPr>
            </w:pPr>
          </w:p>
        </w:tc>
        <w:tc>
          <w:tcPr>
            <w:tcW w:w="1180" w:type="dxa"/>
            <w:vAlign w:val="bottom"/>
            <w:gridSpan w:val="2"/>
          </w:tcPr>
          <w:p>
            <w:pPr>
              <w:ind w:left="220"/>
              <w:spacing w:after="0"/>
              <w:rPr>
                <w:sz w:val="20"/>
                <w:szCs w:val="20"/>
                <w:color w:val="auto"/>
              </w:rPr>
            </w:pPr>
            <w:r>
              <w:rPr>
                <w:rFonts w:ascii="Arial" w:cs="Arial" w:eastAsia="Arial" w:hAnsi="Arial"/>
                <w:sz w:val="13"/>
                <w:szCs w:val="13"/>
                <w:b w:val="1"/>
                <w:bCs w:val="1"/>
                <w:color w:val="auto"/>
              </w:rPr>
              <w:t>Cost</w:t>
            </w:r>
          </w:p>
        </w:tc>
        <w:tc>
          <w:tcPr>
            <w:tcW w:w="8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2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0"/>
                <w:szCs w:val="10"/>
                <w:b w:val="1"/>
                <w:bCs w:val="1"/>
                <w:color w:val="auto"/>
              </w:rPr>
              <w:t xml:space="preserve">Investments in Controlled, Affiliated Portfolio Companies—5.6% </w:t>
            </w:r>
            <w:r>
              <w:rPr>
                <w:rFonts w:ascii="Arial" w:cs="Arial" w:eastAsia="Arial" w:hAnsi="Arial"/>
                <w:sz w:val="16"/>
                <w:szCs w:val="16"/>
                <w:b w:val="1"/>
                <w:bCs w:val="1"/>
                <w:color w:val="auto"/>
                <w:vertAlign w:val="superscript"/>
              </w:rPr>
              <w:t>(1),(2)</w:t>
            </w:r>
          </w:p>
        </w:tc>
        <w:tc>
          <w:tcPr>
            <w:tcW w:w="10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20"/>
                <w:szCs w:val="20"/>
                <w:color w:val="auto"/>
              </w:rPr>
            </w:pPr>
            <w:r>
              <w:rPr>
                <w:rFonts w:ascii="Arial" w:cs="Arial" w:eastAsia="Arial" w:hAnsi="Arial"/>
                <w:sz w:val="13"/>
                <w:szCs w:val="13"/>
                <w:b w:val="1"/>
                <w:bCs w:val="1"/>
                <w:color w:val="auto"/>
              </w:rPr>
              <w:t>First Lien Secured Debt—1.9%</w:t>
            </w:r>
          </w:p>
        </w:tc>
        <w:tc>
          <w:tcPr>
            <w:tcW w:w="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shd w:val="clear" w:color="auto" w:fill="CCEEFF"/>
          </w:tcPr>
          <w:p>
            <w:pPr>
              <w:spacing w:after="0"/>
              <w:rPr>
                <w:sz w:val="20"/>
                <w:szCs w:val="20"/>
                <w:color w:val="auto"/>
              </w:rPr>
            </w:pPr>
            <w:r>
              <w:rPr>
                <w:rFonts w:ascii="Arial" w:cs="Arial" w:eastAsia="Arial" w:hAnsi="Arial"/>
                <w:sz w:val="13"/>
                <w:szCs w:val="13"/>
                <w:color w:val="auto"/>
              </w:rPr>
              <w:t>SuttonPark Holdings, Inc.</w:t>
            </w:r>
          </w:p>
        </w:tc>
        <w:tc>
          <w:tcPr>
            <w:tcW w:w="8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06/30/2020</w:t>
            </w: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0"/>
              </w:rPr>
              <w:t>Business Services</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1"/>
                <w:szCs w:val="11"/>
                <w:color w:val="auto"/>
              </w:rPr>
              <w:t xml:space="preserve">14.00% </w:t>
            </w:r>
            <w:r>
              <w:rPr>
                <w:rFonts w:ascii="Arial" w:cs="Arial" w:eastAsia="Arial" w:hAnsi="Arial"/>
                <w:sz w:val="17"/>
                <w:szCs w:val="17"/>
                <w:color w:val="auto"/>
                <w:vertAlign w:val="superscript"/>
              </w:rPr>
              <w:t>(7)</w:t>
            </w: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5"/>
              </w:rPr>
              <w:t>10,800,000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10,800,000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line="149" w:lineRule="exact"/>
              <w:rPr>
                <w:sz w:val="20"/>
                <w:szCs w:val="20"/>
                <w:color w:val="auto"/>
              </w:rPr>
            </w:pPr>
            <w:r>
              <w:rPr>
                <w:rFonts w:ascii="Arial" w:cs="Arial" w:eastAsia="Arial" w:hAnsi="Arial"/>
                <w:sz w:val="11"/>
                <w:szCs w:val="11"/>
                <w:color w:val="auto"/>
              </w:rPr>
              <w:t xml:space="preserve">UP Support Services, Inc. </w:t>
            </w:r>
            <w:r>
              <w:rPr>
                <w:rFonts w:ascii="Arial" w:cs="Arial" w:eastAsia="Arial" w:hAnsi="Arial"/>
                <w:sz w:val="17"/>
                <w:szCs w:val="17"/>
                <w:color w:val="auto"/>
                <w:vertAlign w:val="superscript"/>
              </w:rPr>
              <w:t>(9)</w:t>
            </w:r>
          </w:p>
        </w:tc>
        <w:tc>
          <w:tcPr>
            <w:tcW w:w="880" w:type="dxa"/>
            <w:vAlign w:val="bottom"/>
          </w:tcPr>
          <w:p>
            <w:pPr>
              <w:jc w:val="center"/>
              <w:spacing w:after="0"/>
              <w:rPr>
                <w:sz w:val="20"/>
                <w:szCs w:val="20"/>
                <w:color w:val="auto"/>
              </w:rPr>
            </w:pPr>
            <w:r>
              <w:rPr>
                <w:rFonts w:ascii="Arial" w:cs="Arial" w:eastAsia="Arial" w:hAnsi="Arial"/>
                <w:sz w:val="13"/>
                <w:szCs w:val="13"/>
                <w:color w:val="auto"/>
                <w:w w:val="95"/>
              </w:rPr>
              <w:t>12/31/2015</w:t>
            </w:r>
          </w:p>
        </w:tc>
        <w:tc>
          <w:tcPr>
            <w:tcW w:w="1260" w:type="dxa"/>
            <w:vAlign w:val="bottom"/>
            <w:gridSpan w:val="2"/>
          </w:tcPr>
          <w:p>
            <w:pPr>
              <w:jc w:val="center"/>
              <w:ind w:right="100"/>
              <w:spacing w:after="0"/>
              <w:rPr>
                <w:sz w:val="20"/>
                <w:szCs w:val="20"/>
                <w:color w:val="auto"/>
              </w:rPr>
            </w:pPr>
            <w:r>
              <w:rPr>
                <w:rFonts w:ascii="Arial" w:cs="Arial" w:eastAsia="Arial" w:hAnsi="Arial"/>
                <w:sz w:val="13"/>
                <w:szCs w:val="13"/>
                <w:color w:val="auto"/>
                <w:w w:val="93"/>
              </w:rPr>
              <w:t>Oil and Gas</w:t>
            </w:r>
          </w:p>
        </w:tc>
        <w:tc>
          <w:tcPr>
            <w:tcW w:w="1120" w:type="dxa"/>
            <w:vAlign w:val="bottom"/>
            <w:gridSpan w:val="2"/>
          </w:tcPr>
          <w:p>
            <w:pPr>
              <w:jc w:val="right"/>
              <w:ind w:right="540"/>
              <w:spacing w:after="0"/>
              <w:rPr>
                <w:sz w:val="20"/>
                <w:szCs w:val="20"/>
                <w:color w:val="auto"/>
              </w:rPr>
            </w:pPr>
            <w:r>
              <w:rPr>
                <w:rFonts w:ascii="Arial" w:cs="Arial" w:eastAsia="Arial" w:hAnsi="Arial"/>
                <w:sz w:val="13"/>
                <w:szCs w:val="13"/>
                <w:color w:val="auto"/>
              </w:rPr>
              <w:t>—</w:t>
            </w:r>
          </w:p>
        </w:tc>
        <w:tc>
          <w:tcPr>
            <w:tcW w:w="96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743,187</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668,632</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743,187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UP Support Services, Inc. </w:t>
            </w:r>
            <w:r>
              <w:rPr>
                <w:rFonts w:ascii="Arial" w:cs="Arial" w:eastAsia="Arial" w:hAnsi="Arial"/>
                <w:sz w:val="17"/>
                <w:szCs w:val="17"/>
                <w:color w:val="auto"/>
                <w:vertAlign w:val="superscript"/>
              </w:rPr>
              <w:t>(9)</w:t>
            </w:r>
          </w:p>
        </w:tc>
        <w:tc>
          <w:tcPr>
            <w:tcW w:w="8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12/31/2015</w:t>
            </w: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3"/>
              </w:rPr>
              <w:t>Oil and Gas</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1,173,479</w:t>
            </w: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1,068,059</w:t>
            </w:r>
          </w:p>
        </w:tc>
        <w:tc>
          <w:tcPr>
            <w:tcW w:w="4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1,173,479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840" w:type="dxa"/>
            <w:vAlign w:val="bottom"/>
          </w:tcPr>
          <w:p>
            <w:pPr>
              <w:spacing w:after="0"/>
              <w:rPr>
                <w:sz w:val="20"/>
                <w:szCs w:val="20"/>
                <w:color w:val="auto"/>
              </w:rPr>
            </w:pPr>
            <w:r>
              <w:rPr>
                <w:rFonts w:ascii="Arial" w:cs="Arial" w:eastAsia="Arial" w:hAnsi="Arial"/>
                <w:sz w:val="13"/>
                <w:szCs w:val="13"/>
                <w:b w:val="1"/>
                <w:bCs w:val="1"/>
                <w:color w:val="auto"/>
              </w:rPr>
              <w:t>Total First Lien Secured Debt</w:t>
            </w: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12,536,691</w:t>
            </w: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12,716,666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Second Lien Secured Debt—2.1%</w:t>
            </w:r>
          </w:p>
        </w:tc>
        <w:tc>
          <w:tcPr>
            <w:tcW w:w="8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840" w:type="dxa"/>
            <w:vAlign w:val="bottom"/>
          </w:tcPr>
          <w:p>
            <w:pPr>
              <w:spacing w:after="0" w:line="138" w:lineRule="exact"/>
              <w:rPr>
                <w:sz w:val="20"/>
                <w:szCs w:val="20"/>
                <w:color w:val="auto"/>
              </w:rPr>
            </w:pPr>
            <w:r>
              <w:rPr>
                <w:rFonts w:ascii="Arial" w:cs="Arial" w:eastAsia="Arial" w:hAnsi="Arial"/>
                <w:sz w:val="13"/>
                <w:szCs w:val="13"/>
                <w:color w:val="auto"/>
              </w:rPr>
              <w:t>UP Support Services, Inc.</w:t>
            </w:r>
          </w:p>
        </w:tc>
        <w:tc>
          <w:tcPr>
            <w:tcW w:w="880" w:type="dxa"/>
            <w:vAlign w:val="bottom"/>
          </w:tcPr>
          <w:p>
            <w:pPr>
              <w:jc w:val="center"/>
              <w:spacing w:after="0" w:line="138" w:lineRule="exact"/>
              <w:rPr>
                <w:sz w:val="20"/>
                <w:szCs w:val="20"/>
                <w:color w:val="auto"/>
              </w:rPr>
            </w:pPr>
            <w:r>
              <w:rPr>
                <w:rFonts w:ascii="Arial" w:cs="Arial" w:eastAsia="Arial" w:hAnsi="Arial"/>
                <w:sz w:val="13"/>
                <w:szCs w:val="13"/>
                <w:color w:val="auto"/>
                <w:w w:val="95"/>
              </w:rPr>
              <w:t>12/31/2015</w:t>
            </w:r>
          </w:p>
        </w:tc>
        <w:tc>
          <w:tcPr>
            <w:tcW w:w="1260" w:type="dxa"/>
            <w:vAlign w:val="bottom"/>
            <w:gridSpan w:val="2"/>
          </w:tcPr>
          <w:p>
            <w:pPr>
              <w:jc w:val="center"/>
              <w:ind w:right="100"/>
              <w:spacing w:after="0" w:line="138" w:lineRule="exact"/>
              <w:rPr>
                <w:sz w:val="20"/>
                <w:szCs w:val="20"/>
                <w:color w:val="auto"/>
              </w:rPr>
            </w:pPr>
            <w:r>
              <w:rPr>
                <w:rFonts w:ascii="Arial" w:cs="Arial" w:eastAsia="Arial" w:hAnsi="Arial"/>
                <w:sz w:val="13"/>
                <w:szCs w:val="13"/>
                <w:color w:val="auto"/>
                <w:w w:val="93"/>
              </w:rPr>
              <w:t>Oil and Gas</w:t>
            </w:r>
          </w:p>
        </w:tc>
        <w:tc>
          <w:tcPr>
            <w:tcW w:w="1120" w:type="dxa"/>
            <w:vAlign w:val="bottom"/>
            <w:gridSpan w:val="2"/>
          </w:tcPr>
          <w:p>
            <w:pPr>
              <w:jc w:val="right"/>
              <w:ind w:right="360"/>
              <w:spacing w:after="0" w:line="138" w:lineRule="exact"/>
              <w:rPr>
                <w:sz w:val="20"/>
                <w:szCs w:val="20"/>
                <w:color w:val="auto"/>
              </w:rPr>
            </w:pPr>
            <w:r>
              <w:rPr>
                <w:rFonts w:ascii="Arial" w:cs="Arial" w:eastAsia="Arial" w:hAnsi="Arial"/>
                <w:sz w:val="13"/>
                <w:szCs w:val="13"/>
                <w:color w:val="auto"/>
              </w:rPr>
              <w:t>15.00%</w:t>
            </w:r>
          </w:p>
        </w:tc>
        <w:tc>
          <w:tcPr>
            <w:tcW w:w="960" w:type="dxa"/>
            <w:vAlign w:val="bottom"/>
            <w:gridSpan w:val="2"/>
          </w:tcPr>
          <w:p>
            <w:pPr>
              <w:ind w:left="500"/>
              <w:spacing w:after="0" w:line="138"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400"/>
              <w:spacing w:after="0" w:line="138" w:lineRule="exact"/>
              <w:rPr>
                <w:sz w:val="20"/>
                <w:szCs w:val="20"/>
                <w:color w:val="auto"/>
              </w:rPr>
            </w:pPr>
            <w:r>
              <w:rPr>
                <w:rFonts w:ascii="Arial" w:cs="Arial" w:eastAsia="Arial" w:hAnsi="Arial"/>
                <w:sz w:val="13"/>
                <w:szCs w:val="13"/>
                <w:color w:val="auto"/>
                <w:w w:val="95"/>
              </w:rPr>
              <w:t>14,300,282</w:t>
            </w:r>
          </w:p>
        </w:tc>
        <w:tc>
          <w:tcPr>
            <w:tcW w:w="80" w:type="dxa"/>
            <w:vAlign w:val="bottom"/>
          </w:tcPr>
          <w:p>
            <w:pPr>
              <w:spacing w:after="0"/>
              <w:rPr>
                <w:sz w:val="11"/>
                <w:szCs w:val="11"/>
                <w:color w:val="auto"/>
              </w:rPr>
            </w:pPr>
          </w:p>
        </w:tc>
        <w:tc>
          <w:tcPr>
            <w:tcW w:w="1180" w:type="dxa"/>
            <w:vAlign w:val="bottom"/>
            <w:gridSpan w:val="2"/>
          </w:tcPr>
          <w:p>
            <w:pPr>
              <w:jc w:val="right"/>
              <w:ind w:right="400"/>
              <w:spacing w:after="0" w:line="138" w:lineRule="exact"/>
              <w:rPr>
                <w:sz w:val="20"/>
                <w:szCs w:val="20"/>
                <w:color w:val="auto"/>
              </w:rPr>
            </w:pPr>
            <w:r>
              <w:rPr>
                <w:rFonts w:ascii="Arial" w:cs="Arial" w:eastAsia="Arial" w:hAnsi="Arial"/>
                <w:sz w:val="13"/>
                <w:szCs w:val="13"/>
                <w:color w:val="auto"/>
              </w:rPr>
              <w:t>11,809,647</w:t>
            </w:r>
          </w:p>
        </w:tc>
        <w:tc>
          <w:tcPr>
            <w:tcW w:w="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14,300,282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3"/>
                <w:szCs w:val="13"/>
                <w:color w:val="auto"/>
              </w:rPr>
              <w:t>(PIK 15.00%)</w:t>
            </w: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8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Subordinated Debt/Corporate Notes—0.3%</w:t>
            </w:r>
          </w:p>
        </w:tc>
        <w:tc>
          <w:tcPr>
            <w:tcW w:w="8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840" w:type="dxa"/>
            <w:vAlign w:val="bottom"/>
          </w:tcPr>
          <w:p>
            <w:pPr>
              <w:spacing w:after="0"/>
              <w:rPr>
                <w:sz w:val="20"/>
                <w:szCs w:val="20"/>
                <w:color w:val="auto"/>
              </w:rPr>
            </w:pPr>
            <w:r>
              <w:rPr>
                <w:rFonts w:ascii="Arial" w:cs="Arial" w:eastAsia="Arial" w:hAnsi="Arial"/>
                <w:sz w:val="13"/>
                <w:szCs w:val="13"/>
                <w:color w:val="auto"/>
              </w:rPr>
              <w:t>SuttonPark Holdings, Inc.</w:t>
            </w:r>
          </w:p>
        </w:tc>
        <w:tc>
          <w:tcPr>
            <w:tcW w:w="880" w:type="dxa"/>
            <w:vAlign w:val="bottom"/>
          </w:tcPr>
          <w:p>
            <w:pPr>
              <w:jc w:val="center"/>
              <w:spacing w:after="0"/>
              <w:rPr>
                <w:sz w:val="20"/>
                <w:szCs w:val="20"/>
                <w:color w:val="auto"/>
              </w:rPr>
            </w:pPr>
            <w:r>
              <w:rPr>
                <w:rFonts w:ascii="Arial" w:cs="Arial" w:eastAsia="Arial" w:hAnsi="Arial"/>
                <w:sz w:val="13"/>
                <w:szCs w:val="13"/>
                <w:color w:val="auto"/>
                <w:w w:val="95"/>
              </w:rPr>
              <w:t>06/30/2020</w:t>
            </w:r>
          </w:p>
        </w:tc>
        <w:tc>
          <w:tcPr>
            <w:tcW w:w="1260" w:type="dxa"/>
            <w:vAlign w:val="bottom"/>
            <w:gridSpan w:val="2"/>
          </w:tcPr>
          <w:p>
            <w:pPr>
              <w:jc w:val="center"/>
              <w:ind w:right="100"/>
              <w:spacing w:after="0"/>
              <w:rPr>
                <w:sz w:val="20"/>
                <w:szCs w:val="20"/>
                <w:color w:val="auto"/>
              </w:rPr>
            </w:pPr>
            <w:r>
              <w:rPr>
                <w:rFonts w:ascii="Arial" w:cs="Arial" w:eastAsia="Arial" w:hAnsi="Arial"/>
                <w:sz w:val="13"/>
                <w:szCs w:val="13"/>
                <w:color w:val="auto"/>
                <w:w w:val="90"/>
              </w:rPr>
              <w:t>Business Services</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1"/>
                <w:szCs w:val="11"/>
                <w:color w:val="auto"/>
              </w:rPr>
              <w:t xml:space="preserve">14.00% </w:t>
            </w:r>
            <w:r>
              <w:rPr>
                <w:rFonts w:ascii="Arial" w:cs="Arial" w:eastAsia="Arial" w:hAnsi="Arial"/>
                <w:sz w:val="17"/>
                <w:szCs w:val="17"/>
                <w:color w:val="auto"/>
                <w:vertAlign w:val="superscript"/>
              </w:rPr>
              <w:t>(7)</w:t>
            </w:r>
          </w:p>
        </w:tc>
        <w:tc>
          <w:tcPr>
            <w:tcW w:w="96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2,700,000</w:t>
            </w: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2,700,000</w:t>
            </w:r>
          </w:p>
        </w:tc>
        <w:tc>
          <w:tcPr>
            <w:tcW w:w="4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2,158,053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4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Preferred Equity—1.3%</w:t>
            </w:r>
            <w:r>
              <w:rPr>
                <w:rFonts w:ascii="Arial" w:cs="Arial" w:eastAsia="Arial" w:hAnsi="Arial"/>
                <w:sz w:val="17"/>
                <w:szCs w:val="17"/>
                <w:b w:val="1"/>
                <w:bCs w:val="1"/>
                <w:color w:val="auto"/>
                <w:vertAlign w:val="superscript"/>
              </w:rPr>
              <w:t>(6)</w:t>
            </w:r>
          </w:p>
        </w:tc>
        <w:tc>
          <w:tcPr>
            <w:tcW w:w="8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20"/>
                <w:szCs w:val="20"/>
                <w:color w:val="auto"/>
              </w:rPr>
            </w:pPr>
            <w:r>
              <w:rPr>
                <w:rFonts w:ascii="Arial" w:cs="Arial" w:eastAsia="Arial" w:hAnsi="Arial"/>
                <w:sz w:val="13"/>
                <w:szCs w:val="13"/>
                <w:color w:val="auto"/>
              </w:rPr>
              <w:t>SuttonPark Holdings, Inc.</w:t>
            </w:r>
          </w:p>
        </w:tc>
        <w:tc>
          <w:tcPr>
            <w:tcW w:w="880" w:type="dxa"/>
            <w:vAlign w:val="bottom"/>
          </w:tcPr>
          <w:p>
            <w:pPr>
              <w:ind w:left="380"/>
              <w:spacing w:after="0"/>
              <w:rPr>
                <w:sz w:val="20"/>
                <w:szCs w:val="20"/>
                <w:color w:val="auto"/>
              </w:rPr>
            </w:pPr>
            <w:r>
              <w:rPr>
                <w:rFonts w:ascii="Arial" w:cs="Arial" w:eastAsia="Arial" w:hAnsi="Arial"/>
                <w:sz w:val="13"/>
                <w:szCs w:val="13"/>
                <w:color w:val="auto"/>
              </w:rPr>
              <w:t>—</w:t>
            </w:r>
          </w:p>
        </w:tc>
        <w:tc>
          <w:tcPr>
            <w:tcW w:w="1260" w:type="dxa"/>
            <w:vAlign w:val="bottom"/>
            <w:gridSpan w:val="2"/>
          </w:tcPr>
          <w:p>
            <w:pPr>
              <w:jc w:val="center"/>
              <w:ind w:right="100"/>
              <w:spacing w:after="0"/>
              <w:rPr>
                <w:sz w:val="20"/>
                <w:szCs w:val="20"/>
                <w:color w:val="auto"/>
              </w:rPr>
            </w:pPr>
            <w:r>
              <w:rPr>
                <w:rFonts w:ascii="Arial" w:cs="Arial" w:eastAsia="Arial" w:hAnsi="Arial"/>
                <w:sz w:val="13"/>
                <w:szCs w:val="13"/>
                <w:color w:val="auto"/>
                <w:w w:val="90"/>
              </w:rPr>
              <w:t>Business Services</w:t>
            </w:r>
          </w:p>
        </w:tc>
        <w:tc>
          <w:tcPr>
            <w:tcW w:w="1120" w:type="dxa"/>
            <w:vAlign w:val="bottom"/>
            <w:gridSpan w:val="2"/>
          </w:tcPr>
          <w:p>
            <w:pPr>
              <w:jc w:val="right"/>
              <w:ind w:right="360"/>
              <w:spacing w:after="0"/>
              <w:rPr>
                <w:sz w:val="20"/>
                <w:szCs w:val="20"/>
                <w:color w:val="auto"/>
              </w:rPr>
            </w:pPr>
            <w:r>
              <w:rPr>
                <w:rFonts w:ascii="Arial" w:cs="Arial" w:eastAsia="Arial" w:hAnsi="Arial"/>
                <w:sz w:val="13"/>
                <w:szCs w:val="13"/>
                <w:color w:val="auto"/>
              </w:rPr>
              <w:t>14.00%</w:t>
            </w:r>
          </w:p>
        </w:tc>
        <w:tc>
          <w:tcPr>
            <w:tcW w:w="96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2,000</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2,000,000</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216,947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shd w:val="clear" w:color="auto" w:fill="CCEEFF"/>
          </w:tcPr>
          <w:p>
            <w:pPr>
              <w:spacing w:after="0"/>
              <w:rPr>
                <w:sz w:val="20"/>
                <w:szCs w:val="20"/>
                <w:color w:val="auto"/>
              </w:rPr>
            </w:pPr>
            <w:r>
              <w:rPr>
                <w:rFonts w:ascii="Arial" w:cs="Arial" w:eastAsia="Arial" w:hAnsi="Arial"/>
                <w:sz w:val="13"/>
                <w:szCs w:val="13"/>
                <w:color w:val="auto"/>
              </w:rPr>
              <w:t>Universal Pegasus International Holdings, Inc.</w:t>
            </w:r>
          </w:p>
        </w:tc>
        <w:tc>
          <w:tcPr>
            <w:tcW w:w="8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3"/>
              </w:rPr>
              <w:t>Oil and Gas</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8.00%</w:t>
            </w: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411,988</w:t>
            </w: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35,120,613</w:t>
            </w:r>
          </w:p>
        </w:tc>
        <w:tc>
          <w:tcPr>
            <w:tcW w:w="4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8,239,760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840" w:type="dxa"/>
            <w:vAlign w:val="bottom"/>
          </w:tcPr>
          <w:p>
            <w:pPr>
              <w:spacing w:after="0"/>
              <w:rPr>
                <w:sz w:val="20"/>
                <w:szCs w:val="20"/>
                <w:color w:val="auto"/>
              </w:rPr>
            </w:pPr>
            <w:r>
              <w:rPr>
                <w:rFonts w:ascii="Arial" w:cs="Arial" w:eastAsia="Arial" w:hAnsi="Arial"/>
                <w:sz w:val="13"/>
                <w:szCs w:val="13"/>
                <w:b w:val="1"/>
                <w:bCs w:val="1"/>
                <w:color w:val="auto"/>
              </w:rPr>
              <w:t>Total Preferred Equity</w:t>
            </w: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37,120,613</w:t>
            </w: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8,456,707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4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Common Equity— 0.0% </w:t>
            </w:r>
            <w:r>
              <w:rPr>
                <w:rFonts w:ascii="Arial" w:cs="Arial" w:eastAsia="Arial" w:hAnsi="Arial"/>
                <w:sz w:val="17"/>
                <w:szCs w:val="17"/>
                <w:b w:val="1"/>
                <w:bCs w:val="1"/>
                <w:color w:val="auto"/>
                <w:vertAlign w:val="superscript"/>
              </w:rPr>
              <w:t>(6)</w:t>
            </w:r>
          </w:p>
        </w:tc>
        <w:tc>
          <w:tcPr>
            <w:tcW w:w="8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840" w:type="dxa"/>
            <w:vAlign w:val="bottom"/>
          </w:tcPr>
          <w:p>
            <w:pPr>
              <w:spacing w:after="0"/>
              <w:rPr>
                <w:sz w:val="20"/>
                <w:szCs w:val="20"/>
                <w:color w:val="auto"/>
              </w:rPr>
            </w:pPr>
            <w:r>
              <w:rPr>
                <w:rFonts w:ascii="Arial" w:cs="Arial" w:eastAsia="Arial" w:hAnsi="Arial"/>
                <w:sz w:val="13"/>
                <w:szCs w:val="13"/>
                <w:color w:val="auto"/>
              </w:rPr>
              <w:t>SuttonPark Holdings, Inc.</w:t>
            </w:r>
          </w:p>
        </w:tc>
        <w:tc>
          <w:tcPr>
            <w:tcW w:w="880" w:type="dxa"/>
            <w:vAlign w:val="bottom"/>
          </w:tcPr>
          <w:p>
            <w:pPr>
              <w:ind w:left="380"/>
              <w:spacing w:after="0"/>
              <w:rPr>
                <w:sz w:val="20"/>
                <w:szCs w:val="20"/>
                <w:color w:val="auto"/>
              </w:rPr>
            </w:pPr>
            <w:r>
              <w:rPr>
                <w:rFonts w:ascii="Arial" w:cs="Arial" w:eastAsia="Arial" w:hAnsi="Arial"/>
                <w:sz w:val="13"/>
                <w:szCs w:val="13"/>
                <w:color w:val="auto"/>
              </w:rPr>
              <w:t>—</w:t>
            </w:r>
          </w:p>
        </w:tc>
        <w:tc>
          <w:tcPr>
            <w:tcW w:w="1260" w:type="dxa"/>
            <w:vAlign w:val="bottom"/>
            <w:gridSpan w:val="2"/>
          </w:tcPr>
          <w:p>
            <w:pPr>
              <w:jc w:val="center"/>
              <w:ind w:right="100"/>
              <w:spacing w:after="0"/>
              <w:rPr>
                <w:sz w:val="20"/>
                <w:szCs w:val="20"/>
                <w:color w:val="auto"/>
              </w:rPr>
            </w:pPr>
            <w:r>
              <w:rPr>
                <w:rFonts w:ascii="Arial" w:cs="Arial" w:eastAsia="Arial" w:hAnsi="Arial"/>
                <w:sz w:val="13"/>
                <w:szCs w:val="13"/>
                <w:color w:val="auto"/>
                <w:w w:val="90"/>
              </w:rPr>
              <w:t>Business Services</w:t>
            </w:r>
          </w:p>
        </w:tc>
        <w:tc>
          <w:tcPr>
            <w:tcW w:w="1120" w:type="dxa"/>
            <w:vAlign w:val="bottom"/>
            <w:gridSpan w:val="2"/>
          </w:tcPr>
          <w:p>
            <w:pPr>
              <w:jc w:val="right"/>
              <w:ind w:right="540"/>
              <w:spacing w:after="0"/>
              <w:rPr>
                <w:sz w:val="20"/>
                <w:szCs w:val="20"/>
                <w:color w:val="auto"/>
              </w:rPr>
            </w:pPr>
            <w:r>
              <w:rPr>
                <w:rFonts w:ascii="Arial" w:cs="Arial" w:eastAsia="Arial" w:hAnsi="Arial"/>
                <w:sz w:val="13"/>
                <w:szCs w:val="13"/>
                <w:color w:val="auto"/>
              </w:rPr>
              <w:t>—</w:t>
            </w:r>
          </w:p>
        </w:tc>
        <w:tc>
          <w:tcPr>
            <w:tcW w:w="96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100</w:t>
            </w: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100</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38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w w:val="98"/>
              </w:rPr>
              <w:t>Total Investments in Controlled, Affiliated Portfolio Companies</w:t>
            </w:r>
          </w:p>
        </w:tc>
        <w:tc>
          <w:tcPr>
            <w:tcW w:w="8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64,167,051</w:t>
            </w:r>
          </w:p>
        </w:tc>
        <w:tc>
          <w:tcPr>
            <w:tcW w:w="4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37,631,708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840" w:type="dxa"/>
            <w:vAlign w:val="bottom"/>
          </w:tcPr>
          <w:p>
            <w:pPr>
              <w:spacing w:after="0"/>
              <w:rPr>
                <w:sz w:val="20"/>
                <w:szCs w:val="20"/>
                <w:color w:val="auto"/>
              </w:rPr>
            </w:pPr>
            <w:r>
              <w:rPr>
                <w:rFonts w:ascii="Arial" w:cs="Arial" w:eastAsia="Arial" w:hAnsi="Arial"/>
                <w:sz w:val="13"/>
                <w:szCs w:val="13"/>
                <w:b w:val="1"/>
                <w:bCs w:val="1"/>
                <w:color w:val="auto"/>
              </w:rPr>
              <w:t>Total Investments—147.9%</w:t>
            </w:r>
          </w:p>
        </w:tc>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w w:val="91"/>
              </w:rPr>
              <w:t>1,008,611,862</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w w:val="99"/>
              </w:rPr>
              <w:t>990,479,710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Equivalents—1.1%</w:t>
            </w:r>
          </w:p>
        </w:tc>
        <w:tc>
          <w:tcPr>
            <w:tcW w:w="8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7,559,453</w:t>
            </w:r>
          </w:p>
        </w:tc>
        <w:tc>
          <w:tcPr>
            <w:tcW w:w="4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7,559,453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840" w:type="dxa"/>
            <w:vAlign w:val="bottom"/>
          </w:tcPr>
          <w:p>
            <w:pPr>
              <w:spacing w:after="0"/>
              <w:rPr>
                <w:sz w:val="20"/>
                <w:szCs w:val="20"/>
                <w:color w:val="auto"/>
              </w:rPr>
            </w:pPr>
            <w:r>
              <w:rPr>
                <w:rFonts w:ascii="Arial" w:cs="Arial" w:eastAsia="Arial" w:hAnsi="Arial"/>
                <w:sz w:val="13"/>
                <w:szCs w:val="13"/>
                <w:b w:val="1"/>
                <w:bCs w:val="1"/>
                <w:color w:val="auto"/>
              </w:rPr>
              <w:t>Total Investments and Cash Equivalents—149.0%</w:t>
            </w:r>
          </w:p>
        </w:tc>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u w:val="single" w:color="auto"/>
                <w:color w:val="auto"/>
                <w:w w:val="82"/>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1"/>
              </w:rPr>
              <w:t>1,016,171,315</w:t>
            </w:r>
          </w:p>
        </w:tc>
        <w:tc>
          <w:tcPr>
            <w:tcW w:w="400" w:type="dxa"/>
            <w:vAlign w:val="bottom"/>
          </w:tcPr>
          <w:p>
            <w:pPr>
              <w:spacing w:after="0"/>
              <w:rPr>
                <w:sz w:val="13"/>
                <w:szCs w:val="13"/>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9"/>
              </w:rPr>
              <w:t>998,039,163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84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Liabilities in Excess of Other Assets—(49.0%)</w:t>
            </w:r>
          </w:p>
        </w:tc>
        <w:tc>
          <w:tcPr>
            <w:tcW w:w="8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3"/>
                <w:szCs w:val="13"/>
                <w:color w:val="auto"/>
                <w:w w:val="93"/>
              </w:rPr>
              <w:t>(328,322,116)</w:t>
            </w:r>
          </w:p>
        </w:tc>
        <w:tc>
          <w:tcPr>
            <w:tcW w:w="0" w:type="dxa"/>
            <w:vAlign w:val="bottom"/>
          </w:tcPr>
          <w:p>
            <w:pPr>
              <w:spacing w:after="0"/>
              <w:rPr>
                <w:sz w:val="1"/>
                <w:szCs w:val="1"/>
                <w:color w:val="auto"/>
              </w:rPr>
            </w:pPr>
          </w:p>
        </w:tc>
      </w:tr>
      <w:tr>
        <w:trPr>
          <w:trHeight w:val="156"/>
        </w:trPr>
        <w:tc>
          <w:tcPr>
            <w:tcW w:w="3840" w:type="dxa"/>
            <w:vAlign w:val="bottom"/>
          </w:tcPr>
          <w:p>
            <w:pPr>
              <w:spacing w:after="0"/>
              <w:rPr>
                <w:sz w:val="20"/>
                <w:szCs w:val="20"/>
                <w:color w:val="auto"/>
              </w:rPr>
            </w:pPr>
            <w:r>
              <w:rPr>
                <w:rFonts w:ascii="Arial" w:cs="Arial" w:eastAsia="Arial" w:hAnsi="Arial"/>
                <w:sz w:val="13"/>
                <w:szCs w:val="13"/>
                <w:b w:val="1"/>
                <w:bCs w:val="1"/>
                <w:color w:val="auto"/>
              </w:rPr>
              <w:t>Net Assets—100.0%</w:t>
            </w:r>
          </w:p>
        </w:tc>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9"/>
              </w:rPr>
              <w:t>669,717,047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12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31" w:lineRule="exact"/>
        <w:rPr>
          <w:sz w:val="20"/>
          <w:szCs w:val="20"/>
          <w:color w:val="auto"/>
        </w:rPr>
      </w:pPr>
    </w:p>
    <w:p>
      <w:pPr>
        <w:ind w:left="340" w:right="540" w:hanging="332"/>
        <w:spacing w:after="0" w:line="268"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320" w:hanging="332"/>
        <w:spacing w:after="0" w:line="238" w:lineRule="auto"/>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Valued based on our accounting policy (see Note 2).</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floating rate instruments that accrue interest at a predetermined spread relative to an index, typically the applicable LIBOR or “L”, or Prime or “P”, rate.</w:t>
      </w:r>
    </w:p>
    <w:p>
      <w:pPr>
        <w:ind w:left="340" w:right="580" w:hanging="332"/>
        <w:spacing w:after="0" w:line="238" w:lineRule="auto"/>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Non-income producing securities.</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Coupon is payable in cash and/or PIK.</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Coupon is subject to a LIBOR or Prime rate floor.</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the purchase of a security with delayed settlement (unfunded investments). This security does not have a basis point spread above an index.</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U.S.</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Investment is held through PNNT CI (Galls) Prime Investment Holdings, LLC, a consolidated subsidiary.</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Investment is held through PNNT Acentia LLC, a consolidated subsidiary.</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Investment is held through PNNT Transportation 100 Holdco, LLC, a consolidated subsidiary.</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140" w:firstLine="449"/>
        <w:spacing w:after="0" w:line="256" w:lineRule="auto"/>
        <w:rPr>
          <w:sz w:val="20"/>
          <w:szCs w:val="20"/>
          <w:color w:val="auto"/>
        </w:rPr>
      </w:pPr>
      <w:r>
        <w:rPr>
          <w:rFonts w:ascii="Arial" w:cs="Arial" w:eastAsia="Arial" w:hAnsi="Arial"/>
          <w:sz w:val="18"/>
          <w:szCs w:val="18"/>
          <w:color w:val="auto"/>
        </w:rPr>
        <w:t>PennantPark Investment Corporation was organized as a Maryland corporation in January 2007. PennantPark Investment is a closed-end, externally managed, non-diversified investment company that has elected to be treated as a BDC. PennantPark Investment’s objective is to generate both current income and capital appreciation through debt and equity investments. We invest primarily in U.S. middle-market companies in the form of senior secured loans, mezzanine debt and, to a lesser extent, equity investments.</w:t>
      </w:r>
    </w:p>
    <w:p>
      <w:pPr>
        <w:spacing w:after="0" w:line="143"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On April 24, 2007, we closed our initial public offering and our common stock trades on the NASDAQ Global Select Market under the symbol “PNNT.” We completed our initial public offering of common stock in 2007 and issued 21.0 million shares raising $294.1 million in net proceeds. Since our initial public offering, we have sold 44.3 million shares of common stock through follow-on public offerings, resulting in net proceeds of $448.8 million. On October 25, 2012, we sold an additional 700,000 shares of common stock at a public offering price of $10.82 per share generating gross proceeds of $7.6 million and net proceeds of $7.3 million after underwriting discounts and offering expenses payable by us from the underwriters’ partial exercise of the over-allotment option granted in connection with the offering.</w:t>
      </w:r>
    </w:p>
    <w:p>
      <w:pPr>
        <w:spacing w:after="0" w:line="144" w:lineRule="exact"/>
        <w:rPr>
          <w:sz w:val="20"/>
          <w:szCs w:val="20"/>
          <w:color w:val="auto"/>
        </w:rPr>
      </w:pPr>
    </w:p>
    <w:p>
      <w:pPr>
        <w:ind w:right="100" w:firstLine="449"/>
        <w:spacing w:after="0" w:line="291" w:lineRule="auto"/>
        <w:rPr>
          <w:sz w:val="20"/>
          <w:szCs w:val="20"/>
          <w:color w:val="auto"/>
        </w:rPr>
      </w:pPr>
      <w:r>
        <w:rPr>
          <w:rFonts w:ascii="Arial" w:cs="Arial" w:eastAsia="Arial" w:hAnsi="Arial"/>
          <w:sz w:val="16"/>
          <w:szCs w:val="16"/>
          <w:color w:val="auto"/>
        </w:rPr>
        <w:t>We have entered into an investment management agreement, or the Investment Management Agreement, with the Investment Adviser, an external adviser that manages our day-to-day operations. We have also entered into an administration agreement, or the Administration Agreement, with the Administrator, which provides the administrative services necessary for us to operate. PennantPark Investment, through the Investment Adviser, manages day-to-day operations of and provides investment advisory services to each of our SBIC Funds under separate investment management agreements. PennantPark Investment, through the Administrator, also provides similar services to each of our SBIC Funds and our controlled affiliate SuttonPark Holdings, Inc. and its subsidiaries, or SPH, under separate administration agreements. See Note 3.</w:t>
      </w:r>
    </w:p>
    <w:p>
      <w:pPr>
        <w:spacing w:after="0" w:line="120" w:lineRule="exact"/>
        <w:rPr>
          <w:sz w:val="20"/>
          <w:szCs w:val="20"/>
          <w:color w:val="auto"/>
        </w:rPr>
      </w:pPr>
    </w:p>
    <w:p>
      <w:pPr>
        <w:ind w:right="60" w:firstLine="449"/>
        <w:spacing w:after="0" w:line="253" w:lineRule="auto"/>
        <w:rPr>
          <w:sz w:val="20"/>
          <w:szCs w:val="20"/>
          <w:color w:val="auto"/>
        </w:rPr>
      </w:pPr>
      <w:r>
        <w:rPr>
          <w:rFonts w:ascii="Arial" w:cs="Arial" w:eastAsia="Arial" w:hAnsi="Arial"/>
          <w:sz w:val="18"/>
          <w:szCs w:val="18"/>
          <w:color w:val="auto"/>
        </w:rPr>
        <w:t>SBIC LP and its general partner, PennantPark SBIC GP, LLC, were organized in Delaware as a limited partnership and a limited liability company, respectively, in May 2010 and began operations in June 2010. SBIC II and its general partner, PennantPark SBIC GP II, LLC, were organized in Delaware as a limited partnership and a limited liability company, respectively, in July 2012 and began operations in December 2012. SBIC LP received a license from the SBA to operate as an SBIC effective July 30, 2010 under Section 301(c) of the Small Business Investment Act of 1958, as amended, or the 1958 Act. Our SBIC Funds are consolidated wholly owned subsidiaries of PennantPark Investment. Our SBIC Funds’ objectives are to generate both current income and capital appreciation through debt and equity investments generally, investing with us in SBA-eligible businesses that meet the investment criteria used by PennantPark Investment.</w:t>
      </w:r>
    </w:p>
    <w:p>
      <w:pPr>
        <w:spacing w:after="0" w:line="147" w:lineRule="exact"/>
        <w:rPr>
          <w:sz w:val="20"/>
          <w:szCs w:val="20"/>
          <w:color w:val="auto"/>
        </w:rPr>
      </w:pPr>
    </w:p>
    <w:p>
      <w:pPr>
        <w:ind w:right="120" w:firstLine="449"/>
        <w:spacing w:after="0" w:line="306" w:lineRule="auto"/>
        <w:rPr>
          <w:sz w:val="20"/>
          <w:szCs w:val="20"/>
          <w:color w:val="auto"/>
        </w:rPr>
      </w:pPr>
      <w:r>
        <w:rPr>
          <w:rFonts w:ascii="Arial" w:cs="Arial" w:eastAsia="Arial" w:hAnsi="Arial"/>
          <w:sz w:val="16"/>
          <w:szCs w:val="16"/>
          <w:color w:val="auto"/>
        </w:rPr>
        <w:t>We have formed and expect to continue to form certain taxable subsidiaries, or the Taxable Subsidiaries, which are taxed as corporations for federal income tax purposes. These Taxable Subsidiaries allow us to hold equity securities of portfolio companies organized as pass-through entities while continuing to satisfy the requirements of regulated investment companies, or RICs, under the Internal Revenue Code of 1986, as amended, or the Code.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Actual results could differ from these estimates. We may reclassify certain prior period amounts to conform to the current period presentation. We have eliminated all intercompany balances and transactions, if any. References to the Accounting Standards Codification, or ASC, serve as a single source of accounting literature. Subsequent events are evaluated and disclosed as appropriate for events occurring through the date the Consolidated Financial Statements are issued.</w:t>
      </w:r>
    </w:p>
    <w:p>
      <w:pPr>
        <w:spacing w:after="0" w:line="120"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45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90"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44" w:lineRule="exact"/>
        <w:rPr>
          <w:sz w:val="20"/>
          <w:szCs w:val="20"/>
          <w:color w:val="auto"/>
        </w:rPr>
      </w:pPr>
    </w:p>
    <w:p>
      <w:pPr>
        <w:ind w:right="40" w:firstLine="449"/>
        <w:spacing w:after="0" w:line="288" w:lineRule="auto"/>
        <w:rPr>
          <w:sz w:val="20"/>
          <w:szCs w:val="20"/>
          <w:color w:val="auto"/>
        </w:rPr>
      </w:pPr>
      <w:r>
        <w:rPr>
          <w:rFonts w:ascii="Arial" w:cs="Arial" w:eastAsia="Arial" w:hAnsi="Arial"/>
          <w:sz w:val="16"/>
          <w:szCs w:val="16"/>
          <w:color w:val="auto"/>
        </w:rPr>
        <w:t>We expect that there will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19" w:lineRule="exact"/>
        <w:rPr>
          <w:sz w:val="20"/>
          <w:szCs w:val="20"/>
          <w:color w:val="auto"/>
        </w:rPr>
      </w:pPr>
    </w:p>
    <w:p>
      <w:pPr>
        <w:ind w:right="260" w:firstLine="449"/>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280" w:hanging="447"/>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hanging="447"/>
        <w:spacing w:after="0" w:line="256"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61" w:lineRule="exact"/>
        <w:rPr>
          <w:rFonts w:ascii="Arial" w:cs="Arial" w:eastAsia="Arial" w:hAnsi="Arial"/>
          <w:sz w:val="18"/>
          <w:szCs w:val="18"/>
          <w:color w:val="auto"/>
        </w:rPr>
      </w:pPr>
    </w:p>
    <w:p>
      <w:pPr>
        <w:ind w:left="900" w:right="20" w:hanging="447"/>
        <w:spacing w:after="0" w:line="331" w:lineRule="auto"/>
        <w:tabs>
          <w:tab w:leader="none" w:pos="900" w:val="left"/>
        </w:tabs>
        <w:numPr>
          <w:ilvl w:val="1"/>
          <w:numId w:val="5"/>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those of the independent valuation firms and responds and supplements the valuation recommendations of the independent valuation firms to reflect any comments; and</w:t>
      </w:r>
    </w:p>
    <w:p>
      <w:pPr>
        <w:spacing w:after="0" w:line="5" w:lineRule="exact"/>
        <w:rPr>
          <w:rFonts w:ascii="Arial" w:cs="Arial" w:eastAsia="Arial" w:hAnsi="Arial"/>
          <w:sz w:val="16"/>
          <w:szCs w:val="16"/>
          <w:color w:val="auto"/>
        </w:rPr>
      </w:pPr>
    </w:p>
    <w:p>
      <w:pPr>
        <w:ind w:left="900" w:right="80" w:hanging="447"/>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212" w:lineRule="exact"/>
        <w:rPr>
          <w:rFonts w:ascii="Arial" w:cs="Arial" w:eastAsia="Arial" w:hAnsi="Arial"/>
          <w:sz w:val="18"/>
          <w:szCs w:val="18"/>
          <w:color w:val="auto"/>
        </w:rPr>
      </w:pPr>
    </w:p>
    <w:p>
      <w:pPr>
        <w:ind w:left="480" w:hanging="248"/>
        <w:spacing w:after="0"/>
        <w:tabs>
          <w:tab w:leader="none" w:pos="48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Security Transactions, Revenue Recognition, and Realized / Unrealized Gains or Losses</w:t>
      </w:r>
    </w:p>
    <w:p>
      <w:pPr>
        <w:spacing w:after="0" w:line="90" w:lineRule="exact"/>
        <w:rPr>
          <w:sz w:val="20"/>
          <w:szCs w:val="20"/>
          <w:color w:val="auto"/>
        </w:rPr>
      </w:pPr>
    </w:p>
    <w:p>
      <w:pPr>
        <w:ind w:right="100" w:firstLine="449"/>
        <w:spacing w:after="0" w:line="294" w:lineRule="auto"/>
        <w:rPr>
          <w:sz w:val="20"/>
          <w:szCs w:val="20"/>
          <w:color w:val="auto"/>
        </w:rPr>
      </w:pPr>
      <w:r>
        <w:rPr>
          <w:rFonts w:ascii="Arial" w:cs="Arial" w:eastAsia="Arial" w:hAnsi="Arial"/>
          <w:sz w:val="16"/>
          <w:szCs w:val="16"/>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values of our portfolio investments and our Credit Facility during the reporting period, including any reversal of previously recorded unrealized appreciation or depreciation, when gains or losses are realized.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are capitalized and we then accrete or amortize such amounts using the effective interest method as interest income or interest expense as it relates to our deferred financing costs. We record prepayment penalties on loans and debt investments as income. Dividend income, if any, is recognized on an accrual basis on the ex-dividend date to the extent that we expect to collect such amounts.</w:t>
      </w:r>
    </w:p>
    <w:p>
      <w:pPr>
        <w:spacing w:after="0" w:line="118" w:lineRule="exact"/>
        <w:rPr>
          <w:sz w:val="20"/>
          <w:szCs w:val="20"/>
          <w:color w:val="auto"/>
        </w:rPr>
      </w:pPr>
    </w:p>
    <w:p>
      <w:pPr>
        <w:ind w:right="40" w:firstLine="449"/>
        <w:spacing w:after="0" w:line="298"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there is reasonable doubt that principal or interest will be collected. Accrued interest is generally reversed when a loan is placed on non- 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Income Taxes</w:t>
      </w:r>
    </w:p>
    <w:p>
      <w:pPr>
        <w:spacing w:after="0" w:line="90"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We have complied with the requirements of Subchapter M of the Code and expect to be subject to tax as a RIC. As a result, we account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PennantPark Investment’s qualification and election to be subject to tax as a RIC, we do not anticipate paying any material level of federal income taxes in the future. Although we are not subject to tax as a RIC, we have elected to retain a portion of our calendar year income and recorded an excise tax of $0.1 million for both the three months ended December 31, 2012 and 2011.</w:t>
      </w:r>
    </w:p>
    <w:p>
      <w:pPr>
        <w:spacing w:after="0" w:line="120"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PennantPark Investment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tax returns for each of our federal tax years since 2009 remain subject to examination by the Internal Revenue Service and the state department of revenue.</w:t>
      </w:r>
    </w:p>
    <w:p>
      <w:pPr>
        <w:spacing w:after="0" w:line="147" w:lineRule="exact"/>
        <w:rPr>
          <w:sz w:val="20"/>
          <w:szCs w:val="20"/>
          <w:color w:val="auto"/>
        </w:rPr>
      </w:pPr>
    </w:p>
    <w:p>
      <w:pPr>
        <w:ind w:firstLine="449"/>
        <w:spacing w:after="0" w:line="294" w:lineRule="auto"/>
        <w:rPr>
          <w:sz w:val="20"/>
          <w:szCs w:val="20"/>
          <w:color w:val="auto"/>
        </w:rPr>
      </w:pPr>
      <w:r>
        <w:rPr>
          <w:rFonts w:ascii="Arial" w:cs="Arial" w:eastAsia="Arial" w:hAnsi="Arial"/>
          <w:sz w:val="16"/>
          <w:szCs w:val="16"/>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 We do not consolidate the Taxable Subsidiaries for income tax purposes, but we do consolidate the results of these Taxable Subsidiaries for financial reporting purposes.</w:t>
      </w:r>
    </w:p>
    <w:p>
      <w:pPr>
        <w:spacing w:after="0" w:line="1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Dividends, Distributions, and Capital Transactions</w:t>
      </w:r>
    </w:p>
    <w:p>
      <w:pPr>
        <w:spacing w:after="0" w:line="90"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Dividends and distributions to common stockholders are recorded on the ex-dividend date. The amount to be paid, if any, as a dividend or distributions determined by the board of directors each quarter and is generally based upon the earnings estimated by management. Net realized capital gains, if any, are distributed at least annually.</w:t>
      </w:r>
    </w:p>
    <w:p>
      <w:pPr>
        <w:spacing w:after="0" w:line="140" w:lineRule="exact"/>
        <w:rPr>
          <w:sz w:val="20"/>
          <w:szCs w:val="20"/>
          <w:color w:val="auto"/>
        </w:rPr>
      </w:pPr>
    </w:p>
    <w:p>
      <w:pPr>
        <w:ind w:firstLine="449"/>
        <w:spacing w:after="0" w:line="268"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Consolidation</w:t>
      </w:r>
    </w:p>
    <w:p>
      <w:pPr>
        <w:spacing w:after="0" w:line="90" w:lineRule="exact"/>
        <w:rPr>
          <w:sz w:val="20"/>
          <w:szCs w:val="20"/>
          <w:color w:val="auto"/>
        </w:rPr>
      </w:pPr>
    </w:p>
    <w:p>
      <w:pPr>
        <w:ind w:right="20" w:firstLine="449"/>
        <w:spacing w:after="0" w:line="306" w:lineRule="auto"/>
        <w:rPr>
          <w:sz w:val="20"/>
          <w:szCs w:val="20"/>
          <w:color w:val="auto"/>
        </w:rPr>
      </w:pPr>
      <w:r>
        <w:rPr>
          <w:rFonts w:ascii="Arial" w:cs="Arial" w:eastAsia="Arial" w:hAnsi="Arial"/>
          <w:sz w:val="16"/>
          <w:szCs w:val="16"/>
          <w:color w:val="auto"/>
        </w:rPr>
        <w:t>As permitted under Regulation S-X and as explained by ASC 946-810-45,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Subsidiaries in our Consolidated Financial Statements.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right="180" w:firstLine="449"/>
        <w:spacing w:after="0" w:line="291" w:lineRule="auto"/>
        <w:rPr>
          <w:sz w:val="20"/>
          <w:szCs w:val="20"/>
          <w:color w:val="auto"/>
        </w:rPr>
      </w:pPr>
      <w:r>
        <w:rPr>
          <w:rFonts w:ascii="Arial" w:cs="Arial" w:eastAsia="Arial" w:hAnsi="Arial"/>
          <w:sz w:val="16"/>
          <w:szCs w:val="16"/>
          <w:color w:val="auto"/>
        </w:rPr>
        <w:t>PennantPark Investment’s Investment Management Agreement with the Investment Adviser was re-approved by our board of directors, including a majority of our directors who are not interested persons of PennantPark Investment, in February 2013. Under the Investment Management Agreement the Investment Adviser, subject to the overall supervision of PennantPark Investment’s board of directors, manages the day-to-day operations of and provides investment advisory services to, PennantPark Investment. Our SBIC Funds’ investment management agreements do not affect the management or incentive fees that we pay to the Investment Adviser on a consolidated basis. For providing these services, the Investment Adviser receives a fee from us, consisting of two components—a base management fee and an incentive fee.</w:t>
      </w:r>
    </w:p>
    <w:p>
      <w:pPr>
        <w:spacing w:after="0" w:line="120" w:lineRule="exact"/>
        <w:rPr>
          <w:sz w:val="20"/>
          <w:szCs w:val="20"/>
          <w:color w:val="auto"/>
        </w:rPr>
      </w:pPr>
    </w:p>
    <w:p>
      <w:pPr>
        <w:ind w:right="80" w:firstLine="449"/>
        <w:spacing w:after="0" w:line="288" w:lineRule="auto"/>
        <w:rPr>
          <w:sz w:val="20"/>
          <w:szCs w:val="20"/>
          <w:color w:val="auto"/>
        </w:rPr>
      </w:pPr>
      <w:r>
        <w:rPr>
          <w:rFonts w:ascii="Arial" w:cs="Arial" w:eastAsia="Arial" w:hAnsi="Arial"/>
          <w:sz w:val="16"/>
          <w:szCs w:val="16"/>
          <w:color w:val="auto"/>
        </w:rPr>
        <w:t>The base management fee is calculated at an annual rate of 2.00% of our “average adjusted gross assets” (net of U.S. Treasury Bills and/or temporary draws under any credit facility, repurchase agreements or other balance sheet transactions undertaken at the end of a fiscal quarter for purposes of preserving investment flexibility for the next quarter, if any). The base management fee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months ended December 31, 2012 and 2011, the Investment Adviser earned a base management fee of $5.1 million and $4.0 million, respectively, from us.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OID, debt instruments with PIK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2.1875% in any calendar quarter (8.75% annualized), and (3) 20% of the amount of our Pre-Incentive Fee Net Investment Income, if any, that exceeds 2.1875% in any calendar quarter. These calculations are adjusted for any share issuances or repurchases during the relevant quarter. For the three months ended December 31, 2012 and 2011, the Investment Adviser earned a performance based incentive fee on net investment income, as calculated under the Investment Management Agreement, of $4.5 million and $3.7 million, respectively, from us.</w:t>
      </w:r>
    </w:p>
    <w:p>
      <w:pPr>
        <w:spacing w:after="0" w:line="122" w:lineRule="exact"/>
        <w:rPr>
          <w:sz w:val="20"/>
          <w:szCs w:val="20"/>
          <w:color w:val="auto"/>
        </w:rPr>
      </w:pPr>
    </w:p>
    <w:p>
      <w:pPr>
        <w:ind w:right="20" w:firstLine="449"/>
        <w:spacing w:after="0" w:line="294"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from inception. For the three months ended December 31, 2012 and 2011, the Investment Adviser did not earn a performance based incentive fee on capital gains as calculated under the Investment Management Agreement.</w:t>
      </w:r>
    </w:p>
    <w:p>
      <w:pPr>
        <w:spacing w:after="0" w:line="115"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aggregate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For the three months ended December 31, 2012 and 2011, the Investment Adviser did not earn a performance based incentive fee on capital gains as calculated under GAAP.</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459" w:right="3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The Administration Agreement with the Administrator was reapproved by our board of directors, including a majority of our directors who are not interested persons of PennantPark Investment, in February 2013. Under this agreement, the Administrator provides administrative services to us. The Administrator provides similar services to our SBIC Funds under each of their administration agreements with PennantPark Investment. For providing these services, facilities and personnel, PennantPark Investment reimburses the Administrator for its allocable portion of overhead and other expenses incurred by the Administrator in performing its obligations under the Administration Agreement, including rent, technology systems, insurance and PennantPark Investment’s allocable portion of the costs of compensation and related expenses for its Chief Compliance Officer, Chief Financial Officer and their respective staffs. The Administrator also offers, on PennantPark Investment’s behalf, managerial assistance to portfolio companies to which PennantPark Investment is required to offer such assistance. Reimbursement for certain of these costs is included in administrative services expenses in the Consolidated Statement of Operations. For the three months ended December 31, 2012 and 2011, the Investment Adviser and Administrator, collectively, were reimbursed $0.5 million and $0.7 million, respectively, from us, including expenses the Investment Adviser incurred on behalf of the Administrator, for the services described above.</w:t>
      </w:r>
    </w:p>
    <w:p>
      <w:pPr>
        <w:spacing w:after="0" w:line="122"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PennantPark Investment has entered into an administration agreement with its controlled affiliate SPH. Under the administration agreement with SPH, or the SPH 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his staff. For the three months ended December 31, 2012 and 2011, PennantPark Investment was reimbursed $0.1 million and $0.2 million, respectively, for the services described above.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Purchases of long-term investments, including PIK, for the three months ended December 31, 2012 and 2011 totaled $172.5 million and $46.1 million, respectively. Sales and repayments of long-term investments for the three months ended December 31, 2012 and 2011 totaled $110.8 million and $69.3 million, respectively.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20" w:type="dxa"/>
            <w:vAlign w:val="bottom"/>
            <w:gridSpan w:val="4"/>
          </w:tcPr>
          <w:p>
            <w:pPr>
              <w:jc w:val="right"/>
              <w:ind w:right="675"/>
              <w:spacing w:after="0"/>
              <w:rPr>
                <w:sz w:val="20"/>
                <w:szCs w:val="20"/>
                <w:color w:val="auto"/>
              </w:rPr>
            </w:pPr>
            <w:r>
              <w:rPr>
                <w:rFonts w:ascii="Arial" w:cs="Arial" w:eastAsia="Arial" w:hAnsi="Arial"/>
                <w:sz w:val="13"/>
                <w:szCs w:val="13"/>
                <w:b w:val="1"/>
                <w:bCs w:val="1"/>
                <w:color w:val="auto"/>
              </w:rPr>
              <w:t>December 31, 2012</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4"/>
          </w:tcPr>
          <w:p>
            <w:pPr>
              <w:ind w:left="580"/>
              <w:spacing w:after="0"/>
              <w:rPr>
                <w:sz w:val="20"/>
                <w:szCs w:val="20"/>
                <w:color w:val="auto"/>
              </w:rPr>
            </w:pPr>
            <w:r>
              <w:rPr>
                <w:rFonts w:ascii="Arial" w:cs="Arial" w:eastAsia="Arial" w:hAnsi="Arial"/>
                <w:sz w:val="13"/>
                <w:szCs w:val="13"/>
                <w:b w:val="1"/>
                <w:bCs w:val="1"/>
                <w:color w:val="auto"/>
              </w:rPr>
              <w:t>September 30, 2012</w:t>
            </w:r>
          </w:p>
        </w:tc>
      </w:tr>
      <w:tr>
        <w:trPr>
          <w:trHeight w:val="142"/>
        </w:trPr>
        <w:tc>
          <w:tcPr>
            <w:tcW w:w="376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Arial" w:cs="Arial" w:eastAsia="Arial" w:hAnsi="Arial"/>
                <w:sz w:val="13"/>
                <w:szCs w:val="13"/>
                <w:b w:val="1"/>
                <w:bCs w:val="1"/>
                <w:color w:val="auto"/>
              </w:rPr>
              <w:t>Cost</w:t>
            </w:r>
          </w:p>
        </w:tc>
        <w:tc>
          <w:tcPr>
            <w:tcW w:w="4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3"/>
                <w:szCs w:val="13"/>
                <w:b w:val="1"/>
                <w:bCs w:val="1"/>
                <w:color w:val="auto"/>
              </w:rPr>
              <w:t>Fair Value</w:t>
            </w:r>
          </w:p>
        </w:tc>
        <w:tc>
          <w:tcPr>
            <w:tcW w:w="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Arial" w:cs="Arial" w:eastAsia="Arial" w:hAnsi="Arial"/>
                <w:sz w:val="13"/>
                <w:szCs w:val="13"/>
                <w:b w:val="1"/>
                <w:bCs w:val="1"/>
                <w:color w:val="auto"/>
              </w:rPr>
              <w:t>Cost</w:t>
            </w:r>
          </w:p>
        </w:tc>
        <w:tc>
          <w:tcPr>
            <w:tcW w:w="380" w:type="dxa"/>
            <w:vAlign w:val="bottom"/>
            <w:tcBorders>
              <w:top w:val="single" w:sz="8" w:color="auto"/>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3"/>
                <w:szCs w:val="13"/>
                <w:b w:val="1"/>
                <w:bCs w:val="1"/>
                <w:color w:val="auto"/>
              </w:rPr>
              <w:t>Fair Value</w:t>
            </w:r>
          </w:p>
        </w:tc>
        <w:tc>
          <w:tcPr>
            <w:tcW w:w="100" w:type="dxa"/>
            <w:vAlign w:val="bottom"/>
            <w:tcBorders>
              <w:bottom w:val="single" w:sz="8" w:color="CCEEFF"/>
            </w:tcBorders>
          </w:tcPr>
          <w:p>
            <w:pPr>
              <w:spacing w:after="0"/>
              <w:rPr>
                <w:sz w:val="12"/>
                <w:szCs w:val="12"/>
                <w:color w:val="auto"/>
              </w:rPr>
            </w:pPr>
          </w:p>
        </w:tc>
      </w:tr>
      <w:tr>
        <w:trPr>
          <w:trHeight w:val="210"/>
        </w:trPr>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308,638,805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312,683,107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289,964,255</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$291,677,553</w:t>
            </w:r>
          </w:p>
        </w:tc>
        <w:tc>
          <w:tcPr>
            <w:tcW w:w="10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Second lien</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207,476,912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212,845,984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208,454,615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191,339,241</w:t>
            </w:r>
          </w:p>
        </w:tc>
        <w:tc>
          <w:tcPr>
            <w:tcW w:w="10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416,170,569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410,956,760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404,507,916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400,682,637</w:t>
            </w:r>
          </w:p>
        </w:tc>
        <w:tc>
          <w:tcPr>
            <w:tcW w:w="10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Preferred equity</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48,848,249</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20,996,373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49,222,034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19,634,989</w:t>
            </w:r>
          </w:p>
        </w:tc>
        <w:tc>
          <w:tcPr>
            <w:tcW w:w="10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Common equity</w:t>
            </w:r>
          </w:p>
        </w:tc>
        <w:tc>
          <w:tcPr>
            <w:tcW w:w="10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91,368,674</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106,925,371</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56,463,042</w:t>
            </w:r>
          </w:p>
        </w:tc>
        <w:tc>
          <w:tcPr>
            <w:tcW w:w="3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87,145,290</w:t>
            </w:r>
          </w:p>
        </w:tc>
        <w:tc>
          <w:tcPr>
            <w:tcW w:w="100" w:type="dxa"/>
            <w:vAlign w:val="bottom"/>
            <w:shd w:val="clear" w:color="auto" w:fill="CCEEFF"/>
          </w:tcPr>
          <w:p>
            <w:pPr>
              <w:spacing w:after="0"/>
              <w:rPr>
                <w:sz w:val="18"/>
                <w:szCs w:val="18"/>
                <w:color w:val="auto"/>
              </w:rPr>
            </w:pPr>
          </w:p>
        </w:tc>
      </w:tr>
      <w:tr>
        <w:trPr>
          <w:trHeight w:val="221"/>
        </w:trPr>
        <w:tc>
          <w:tcPr>
            <w:tcW w:w="3760" w:type="dxa"/>
            <w:vAlign w:val="bottom"/>
          </w:tcPr>
          <w:p>
            <w:pPr>
              <w:spacing w:after="0"/>
              <w:rPr>
                <w:sz w:val="20"/>
                <w:szCs w:val="20"/>
                <w:color w:val="auto"/>
              </w:rPr>
            </w:pPr>
            <w:r>
              <w:rPr>
                <w:rFonts w:ascii="Arial" w:cs="Arial" w:eastAsia="Arial" w:hAnsi="Arial"/>
                <w:sz w:val="18"/>
                <w:szCs w:val="18"/>
                <w:color w:val="auto"/>
              </w:rPr>
              <w:t>Total investments</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1,072,503,209</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1,064,407,595</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85"/>
              </w:rPr>
              <w:t>1,008,611,862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990,479,710</w:t>
            </w:r>
          </w:p>
        </w:tc>
        <w:tc>
          <w:tcPr>
            <w:tcW w:w="100" w:type="dxa"/>
            <w:vAlign w:val="bottom"/>
          </w:tcPr>
          <w:p>
            <w:pPr>
              <w:spacing w:after="0"/>
              <w:rPr>
                <w:sz w:val="19"/>
                <w:szCs w:val="19"/>
                <w:color w:val="auto"/>
              </w:rPr>
            </w:pPr>
          </w:p>
        </w:tc>
      </w:tr>
      <w:tr>
        <w:trPr>
          <w:trHeight w:val="218"/>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0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31,291,517</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31,291,517</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7,559,453</w:t>
            </w:r>
          </w:p>
        </w:tc>
        <w:tc>
          <w:tcPr>
            <w:tcW w:w="3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7,559,453</w:t>
            </w:r>
          </w:p>
        </w:tc>
        <w:tc>
          <w:tcPr>
            <w:tcW w:w="100" w:type="dxa"/>
            <w:vAlign w:val="bottom"/>
            <w:shd w:val="clear" w:color="auto" w:fill="CCEEFF"/>
          </w:tcPr>
          <w:p>
            <w:pPr>
              <w:spacing w:after="0"/>
              <w:rPr>
                <w:sz w:val="18"/>
                <w:szCs w:val="18"/>
                <w:color w:val="auto"/>
              </w:rPr>
            </w:pPr>
          </w:p>
        </w:tc>
      </w:tr>
      <w:tr>
        <w:trPr>
          <w:trHeight w:val="222"/>
        </w:trPr>
        <w:tc>
          <w:tcPr>
            <w:tcW w:w="3760" w:type="dxa"/>
            <w:vAlign w:val="bottom"/>
          </w:tcPr>
          <w:p>
            <w:pPr>
              <w:spacing w:after="0"/>
              <w:rPr>
                <w:sz w:val="20"/>
                <w:szCs w:val="20"/>
                <w:color w:val="auto"/>
              </w:rPr>
            </w:pPr>
            <w:r>
              <w:rPr>
                <w:rFonts w:ascii="Arial" w:cs="Arial" w:eastAsia="Arial" w:hAnsi="Arial"/>
                <w:sz w:val="18"/>
                <w:szCs w:val="18"/>
                <w:color w:val="auto"/>
              </w:rPr>
              <w:t>Total investments and cash equivalents</w:t>
            </w:r>
          </w:p>
        </w:tc>
        <w:tc>
          <w:tcPr>
            <w:tcW w:w="11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1,103,794,726</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1,095,699,112</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85"/>
              </w:rPr>
              <w:t>1,016,171,315</w:t>
            </w:r>
          </w:p>
        </w:tc>
        <w:tc>
          <w:tcPr>
            <w:tcW w:w="1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998,039,163</w:t>
            </w:r>
          </w:p>
        </w:tc>
        <w:tc>
          <w:tcPr>
            <w:tcW w:w="100" w:type="dxa"/>
            <w:vAlign w:val="bottom"/>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3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right"/>
              <w:ind w:right="536"/>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300" w:firstLine="449"/>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 as of:</w:t>
      </w:r>
    </w:p>
    <w:p>
      <w:pPr>
        <w:spacing w:after="0" w:line="168"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13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7"/>
              </w:rPr>
              <w:t>Industry Classification</w:t>
            </w:r>
          </w:p>
        </w:tc>
        <w:tc>
          <w:tcPr>
            <w:tcW w:w="3580" w:type="dxa"/>
            <w:vAlign w:val="bottom"/>
          </w:tcPr>
          <w:p>
            <w:pPr>
              <w:spacing w:after="0"/>
              <w:rPr>
                <w:sz w:val="14"/>
                <w:szCs w:val="14"/>
                <w:color w:val="auto"/>
              </w:rPr>
            </w:pPr>
          </w:p>
        </w:tc>
        <w:tc>
          <w:tcPr>
            <w:tcW w:w="2240" w:type="dxa"/>
            <w:vAlign w:val="bottom"/>
            <w:gridSpan w:val="2"/>
          </w:tcPr>
          <w:p>
            <w:pPr>
              <w:jc w:val="right"/>
              <w:ind w:right="1160"/>
              <w:spacing w:after="0"/>
              <w:rPr>
                <w:sz w:val="20"/>
                <w:szCs w:val="20"/>
                <w:color w:val="auto"/>
              </w:rPr>
            </w:pPr>
            <w:r>
              <w:rPr>
                <w:rFonts w:ascii="Arial" w:cs="Arial" w:eastAsia="Arial" w:hAnsi="Arial"/>
                <w:sz w:val="13"/>
                <w:szCs w:val="13"/>
                <w:b w:val="1"/>
                <w:bCs w:val="1"/>
                <w:color w:val="auto"/>
                <w:w w:val="90"/>
              </w:rPr>
              <w:t>December 31, 2012</w:t>
            </w:r>
          </w:p>
        </w:tc>
        <w:tc>
          <w:tcPr>
            <w:tcW w:w="1320" w:type="dxa"/>
            <w:vAlign w:val="bottom"/>
            <w:gridSpan w:val="2"/>
          </w:tcPr>
          <w:p>
            <w:pPr>
              <w:spacing w:after="0"/>
              <w:rPr>
                <w:sz w:val="20"/>
                <w:szCs w:val="20"/>
                <w:color w:val="auto"/>
              </w:rPr>
            </w:pPr>
            <w:r>
              <w:rPr>
                <w:rFonts w:ascii="Arial" w:cs="Arial" w:eastAsia="Arial" w:hAnsi="Arial"/>
                <w:sz w:val="13"/>
                <w:szCs w:val="13"/>
                <w:b w:val="1"/>
                <w:bCs w:val="1"/>
                <w:color w:val="auto"/>
              </w:rPr>
              <w:t>September 30, 2012</w:t>
            </w:r>
          </w:p>
        </w:tc>
        <w:tc>
          <w:tcPr>
            <w:tcW w:w="0" w:type="dxa"/>
            <w:vAlign w:val="bottom"/>
          </w:tcPr>
          <w:p>
            <w:pPr>
              <w:spacing w:after="0"/>
              <w:rPr>
                <w:sz w:val="1"/>
                <w:szCs w:val="1"/>
                <w:color w:val="auto"/>
              </w:rPr>
            </w:pPr>
          </w:p>
        </w:tc>
      </w:tr>
      <w:tr>
        <w:trPr>
          <w:trHeight w:val="20"/>
        </w:trPr>
        <w:tc>
          <w:tcPr>
            <w:tcW w:w="49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1080" w:type="dxa"/>
            <w:vAlign w:val="bottom"/>
            <w:shd w:val="clear" w:color="auto" w:fill="000000"/>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60" w:type="dxa"/>
            <w:vAlign w:val="bottom"/>
            <w:gridSpan w:val="2"/>
            <w:vMerge w:val="continue"/>
            <w:shd w:val="clear" w:color="auto" w:fill="CCEEFF"/>
          </w:tcPr>
          <w:p>
            <w:pPr>
              <w:spacing w:after="0"/>
              <w:rPr>
                <w:sz w:val="17"/>
                <w:szCs w:val="17"/>
                <w:color w:val="auto"/>
              </w:rPr>
            </w:pPr>
          </w:p>
        </w:tc>
        <w:tc>
          <w:tcPr>
            <w:tcW w:w="2240" w:type="dxa"/>
            <w:vAlign w:val="bottom"/>
            <w:gridSpan w:val="2"/>
            <w:shd w:val="clear" w:color="auto" w:fill="CCEEFF"/>
          </w:tcPr>
          <w:p>
            <w:pPr>
              <w:jc w:val="right"/>
              <w:ind w:right="1000"/>
              <w:spacing w:after="0" w:line="203" w:lineRule="exact"/>
              <w:rPr>
                <w:sz w:val="20"/>
                <w:szCs w:val="20"/>
                <w:color w:val="auto"/>
              </w:rPr>
            </w:pPr>
            <w:r>
              <w:rPr>
                <w:rFonts w:ascii="Arial" w:cs="Arial" w:eastAsia="Arial" w:hAnsi="Arial"/>
                <w:sz w:val="18"/>
                <w:szCs w:val="18"/>
                <w:color w:val="auto"/>
              </w:rPr>
              <w:t>8%</w:t>
            </w:r>
          </w:p>
        </w:tc>
        <w:tc>
          <w:tcPr>
            <w:tcW w:w="1320" w:type="dxa"/>
            <w:vAlign w:val="bottom"/>
            <w:gridSpan w:val="2"/>
            <w:shd w:val="clear" w:color="auto" w:fill="CCEEFF"/>
          </w:tcPr>
          <w:p>
            <w:pPr>
              <w:ind w:left="1040"/>
              <w:spacing w:after="0" w:line="203"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Electronics</w:t>
            </w:r>
          </w:p>
        </w:tc>
        <w:tc>
          <w:tcPr>
            <w:tcW w:w="2240" w:type="dxa"/>
            <w:vAlign w:val="bottom"/>
            <w:gridSpan w:val="2"/>
          </w:tcPr>
          <w:p>
            <w:pPr>
              <w:jc w:val="right"/>
              <w:ind w:right="1160"/>
              <w:spacing w:after="0"/>
              <w:rPr>
                <w:sz w:val="20"/>
                <w:szCs w:val="20"/>
                <w:color w:val="auto"/>
              </w:rPr>
            </w:pPr>
            <w:r>
              <w:rPr>
                <w:rFonts w:ascii="Arial" w:cs="Arial" w:eastAsia="Arial" w:hAnsi="Arial"/>
                <w:sz w:val="18"/>
                <w:szCs w:val="18"/>
                <w:color w:val="auto"/>
              </w:rPr>
              <w:t>7</w:t>
            </w:r>
          </w:p>
        </w:tc>
        <w:tc>
          <w:tcPr>
            <w:tcW w:w="1120" w:type="dxa"/>
            <w:vAlign w:val="bottom"/>
          </w:tcPr>
          <w:p>
            <w:pPr>
              <w:ind w:left="1040"/>
              <w:spacing w:after="0"/>
              <w:rPr>
                <w:sz w:val="20"/>
                <w:szCs w:val="20"/>
                <w:color w:val="auto"/>
              </w:rPr>
            </w:pPr>
            <w:r>
              <w:rPr>
                <w:rFonts w:ascii="Arial" w:cs="Arial" w:eastAsia="Arial" w:hAnsi="Arial"/>
                <w:sz w:val="15"/>
                <w:szCs w:val="15"/>
                <w:color w:val="auto"/>
                <w:w w:val="71"/>
              </w:rPr>
              <w:t>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Energy/Utilities</w:t>
            </w:r>
          </w:p>
        </w:tc>
        <w:tc>
          <w:tcPr>
            <w:tcW w:w="22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7</w:t>
            </w:r>
          </w:p>
        </w:tc>
        <w:tc>
          <w:tcPr>
            <w:tcW w:w="1120" w:type="dxa"/>
            <w:vAlign w:val="bottom"/>
            <w:shd w:val="clear" w:color="auto" w:fill="CCEEFF"/>
          </w:tcPr>
          <w:p>
            <w:pPr>
              <w:ind w:left="1040"/>
              <w:spacing w:after="0"/>
              <w:rPr>
                <w:sz w:val="20"/>
                <w:szCs w:val="20"/>
                <w:color w:val="auto"/>
              </w:rPr>
            </w:pPr>
            <w:r>
              <w:rPr>
                <w:rFonts w:ascii="Arial" w:cs="Arial" w:eastAsia="Arial" w:hAnsi="Arial"/>
                <w:sz w:val="15"/>
                <w:szCs w:val="15"/>
                <w:color w:val="auto"/>
                <w:w w:val="71"/>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Healthcare, Education and Childcare</w:t>
            </w:r>
          </w:p>
        </w:tc>
        <w:tc>
          <w:tcPr>
            <w:tcW w:w="2240" w:type="dxa"/>
            <w:vAlign w:val="bottom"/>
            <w:gridSpan w:val="2"/>
          </w:tcPr>
          <w:p>
            <w:pPr>
              <w:jc w:val="right"/>
              <w:ind w:right="1160"/>
              <w:spacing w:after="0"/>
              <w:rPr>
                <w:sz w:val="20"/>
                <w:szCs w:val="20"/>
                <w:color w:val="auto"/>
              </w:rPr>
            </w:pPr>
            <w:r>
              <w:rPr>
                <w:rFonts w:ascii="Arial" w:cs="Arial" w:eastAsia="Arial" w:hAnsi="Arial"/>
                <w:sz w:val="18"/>
                <w:szCs w:val="18"/>
                <w:color w:val="auto"/>
              </w:rPr>
              <w:t>7</w:t>
            </w:r>
          </w:p>
        </w:tc>
        <w:tc>
          <w:tcPr>
            <w:tcW w:w="1120" w:type="dxa"/>
            <w:vAlign w:val="bottom"/>
          </w:tcPr>
          <w:p>
            <w:pPr>
              <w:ind w:left="1040"/>
              <w:spacing w:after="0"/>
              <w:rPr>
                <w:sz w:val="20"/>
                <w:szCs w:val="20"/>
                <w:color w:val="auto"/>
              </w:rPr>
            </w:pPr>
            <w:r>
              <w:rPr>
                <w:rFonts w:ascii="Arial" w:cs="Arial" w:eastAsia="Arial" w:hAnsi="Arial"/>
                <w:sz w:val="15"/>
                <w:szCs w:val="15"/>
                <w:color w:val="auto"/>
                <w:w w:val="71"/>
              </w:rPr>
              <w:t>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22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6</w:t>
            </w:r>
          </w:p>
        </w:tc>
        <w:tc>
          <w:tcPr>
            <w:tcW w:w="1120" w:type="dxa"/>
            <w:vAlign w:val="bottom"/>
            <w:shd w:val="clear" w:color="auto" w:fill="CCEEFF"/>
          </w:tcPr>
          <w:p>
            <w:pPr>
              <w:ind w:left="1040"/>
              <w:spacing w:after="0"/>
              <w:rPr>
                <w:sz w:val="20"/>
                <w:szCs w:val="20"/>
                <w:color w:val="auto"/>
              </w:rPr>
            </w:pPr>
            <w:r>
              <w:rPr>
                <w:rFonts w:ascii="Arial" w:cs="Arial" w:eastAsia="Arial" w:hAnsi="Arial"/>
                <w:sz w:val="15"/>
                <w:szCs w:val="15"/>
                <w:color w:val="auto"/>
                <w:w w:val="71"/>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Auto Sector</w:t>
            </w:r>
          </w:p>
        </w:tc>
        <w:tc>
          <w:tcPr>
            <w:tcW w:w="2240" w:type="dxa"/>
            <w:vAlign w:val="bottom"/>
            <w:gridSpan w:val="2"/>
          </w:tcPr>
          <w:p>
            <w:pPr>
              <w:jc w:val="right"/>
              <w:ind w:right="1160"/>
              <w:spacing w:after="0"/>
              <w:rPr>
                <w:sz w:val="20"/>
                <w:szCs w:val="20"/>
                <w:color w:val="auto"/>
              </w:rPr>
            </w:pPr>
            <w:r>
              <w:rPr>
                <w:rFonts w:ascii="Arial" w:cs="Arial" w:eastAsia="Arial" w:hAnsi="Arial"/>
                <w:sz w:val="18"/>
                <w:szCs w:val="18"/>
                <w:color w:val="auto"/>
              </w:rPr>
              <w:t>5</w:t>
            </w:r>
          </w:p>
        </w:tc>
        <w:tc>
          <w:tcPr>
            <w:tcW w:w="1120" w:type="dxa"/>
            <w:vAlign w:val="bottom"/>
          </w:tcPr>
          <w:p>
            <w:pPr>
              <w:ind w:left="1040"/>
              <w:spacing w:after="0"/>
              <w:rPr>
                <w:sz w:val="20"/>
                <w:szCs w:val="20"/>
                <w:color w:val="auto"/>
              </w:rPr>
            </w:pPr>
            <w:r>
              <w:rPr>
                <w:rFonts w:ascii="Arial" w:cs="Arial" w:eastAsia="Arial" w:hAnsi="Arial"/>
                <w:sz w:val="15"/>
                <w:szCs w:val="15"/>
                <w:color w:val="auto"/>
                <w:w w:val="71"/>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Cargo Transport</w:t>
            </w:r>
          </w:p>
        </w:tc>
        <w:tc>
          <w:tcPr>
            <w:tcW w:w="22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5</w:t>
            </w:r>
          </w:p>
        </w:tc>
        <w:tc>
          <w:tcPr>
            <w:tcW w:w="1120" w:type="dxa"/>
            <w:vAlign w:val="bottom"/>
            <w:shd w:val="clear" w:color="auto" w:fill="CCEEFF"/>
          </w:tcPr>
          <w:p>
            <w:pPr>
              <w:ind w:left="1040"/>
              <w:spacing w:after="0"/>
              <w:rPr>
                <w:sz w:val="20"/>
                <w:szCs w:val="20"/>
                <w:color w:val="auto"/>
              </w:rPr>
            </w:pPr>
            <w:r>
              <w:rPr>
                <w:rFonts w:ascii="Arial" w:cs="Arial" w:eastAsia="Arial" w:hAnsi="Arial"/>
                <w:sz w:val="15"/>
                <w:szCs w:val="15"/>
                <w:color w:val="auto"/>
                <w:w w:val="71"/>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Chemical, Plastic and Rubber</w:t>
            </w:r>
          </w:p>
        </w:tc>
        <w:tc>
          <w:tcPr>
            <w:tcW w:w="2240" w:type="dxa"/>
            <w:vAlign w:val="bottom"/>
            <w:gridSpan w:val="2"/>
          </w:tcPr>
          <w:p>
            <w:pPr>
              <w:jc w:val="right"/>
              <w:ind w:right="1160"/>
              <w:spacing w:after="0"/>
              <w:rPr>
                <w:sz w:val="20"/>
                <w:szCs w:val="20"/>
                <w:color w:val="auto"/>
              </w:rPr>
            </w:pPr>
            <w:r>
              <w:rPr>
                <w:rFonts w:ascii="Arial" w:cs="Arial" w:eastAsia="Arial" w:hAnsi="Arial"/>
                <w:sz w:val="18"/>
                <w:szCs w:val="18"/>
                <w:color w:val="auto"/>
              </w:rPr>
              <w:t>5</w:t>
            </w:r>
          </w:p>
        </w:tc>
        <w:tc>
          <w:tcPr>
            <w:tcW w:w="1120" w:type="dxa"/>
            <w:vAlign w:val="bottom"/>
          </w:tcPr>
          <w:p>
            <w:pPr>
              <w:ind w:left="1040"/>
              <w:spacing w:after="0"/>
              <w:rPr>
                <w:sz w:val="20"/>
                <w:szCs w:val="20"/>
                <w:color w:val="auto"/>
              </w:rPr>
            </w:pPr>
            <w:r>
              <w:rPr>
                <w:rFonts w:ascii="Arial" w:cs="Arial" w:eastAsia="Arial" w:hAnsi="Arial"/>
                <w:sz w:val="15"/>
                <w:szCs w:val="15"/>
                <w:color w:val="auto"/>
                <w:w w:val="71"/>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22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5</w:t>
            </w:r>
          </w:p>
        </w:tc>
        <w:tc>
          <w:tcPr>
            <w:tcW w:w="1120" w:type="dxa"/>
            <w:vAlign w:val="bottom"/>
            <w:shd w:val="clear" w:color="auto" w:fill="CCEEFF"/>
          </w:tcPr>
          <w:p>
            <w:pPr>
              <w:ind w:left="1040"/>
              <w:spacing w:after="0"/>
              <w:rPr>
                <w:sz w:val="20"/>
                <w:szCs w:val="20"/>
                <w:color w:val="auto"/>
              </w:rPr>
            </w:pPr>
            <w:r>
              <w:rPr>
                <w:rFonts w:ascii="Arial" w:cs="Arial" w:eastAsia="Arial" w:hAnsi="Arial"/>
                <w:sz w:val="15"/>
                <w:szCs w:val="15"/>
                <w:color w:val="auto"/>
                <w:w w:val="71"/>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2240" w:type="dxa"/>
            <w:vAlign w:val="bottom"/>
            <w:gridSpan w:val="2"/>
          </w:tcPr>
          <w:p>
            <w:pPr>
              <w:jc w:val="right"/>
              <w:ind w:right="1160"/>
              <w:spacing w:after="0"/>
              <w:rPr>
                <w:sz w:val="20"/>
                <w:szCs w:val="20"/>
                <w:color w:val="auto"/>
              </w:rPr>
            </w:pPr>
            <w:r>
              <w:rPr>
                <w:rFonts w:ascii="Arial" w:cs="Arial" w:eastAsia="Arial" w:hAnsi="Arial"/>
                <w:sz w:val="18"/>
                <w:szCs w:val="18"/>
                <w:color w:val="auto"/>
              </w:rPr>
              <w:t>4</w:t>
            </w:r>
          </w:p>
        </w:tc>
        <w:tc>
          <w:tcPr>
            <w:tcW w:w="1120" w:type="dxa"/>
            <w:vAlign w:val="bottom"/>
          </w:tcPr>
          <w:p>
            <w:pPr>
              <w:ind w:left="1040"/>
              <w:spacing w:after="0"/>
              <w:rPr>
                <w:sz w:val="20"/>
                <w:szCs w:val="20"/>
                <w:color w:val="auto"/>
              </w:rPr>
            </w:pPr>
            <w:r>
              <w:rPr>
                <w:rFonts w:ascii="Arial" w:cs="Arial" w:eastAsia="Arial" w:hAnsi="Arial"/>
                <w:sz w:val="15"/>
                <w:szCs w:val="15"/>
                <w:color w:val="auto"/>
                <w:w w:val="71"/>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w:t>
            </w:r>
          </w:p>
        </w:tc>
        <w:tc>
          <w:tcPr>
            <w:tcW w:w="22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4</w:t>
            </w:r>
          </w:p>
        </w:tc>
        <w:tc>
          <w:tcPr>
            <w:tcW w:w="1120" w:type="dxa"/>
            <w:vAlign w:val="bottom"/>
            <w:shd w:val="clear" w:color="auto" w:fill="CCEEFF"/>
          </w:tcPr>
          <w:p>
            <w:pPr>
              <w:ind w:left="1040"/>
              <w:spacing w:after="0"/>
              <w:rPr>
                <w:sz w:val="20"/>
                <w:szCs w:val="20"/>
                <w:color w:val="auto"/>
              </w:rPr>
            </w:pPr>
            <w:r>
              <w:rPr>
                <w:rFonts w:ascii="Arial" w:cs="Arial" w:eastAsia="Arial" w:hAnsi="Arial"/>
                <w:sz w:val="15"/>
                <w:szCs w:val="15"/>
                <w:color w:val="auto"/>
                <w:w w:val="71"/>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Personal, Food and Miscellaneous Services</w:t>
            </w:r>
          </w:p>
        </w:tc>
        <w:tc>
          <w:tcPr>
            <w:tcW w:w="2240" w:type="dxa"/>
            <w:vAlign w:val="bottom"/>
            <w:gridSpan w:val="2"/>
          </w:tcPr>
          <w:p>
            <w:pPr>
              <w:jc w:val="right"/>
              <w:ind w:right="1160"/>
              <w:spacing w:after="0"/>
              <w:rPr>
                <w:sz w:val="20"/>
                <w:szCs w:val="20"/>
                <w:color w:val="auto"/>
              </w:rPr>
            </w:pPr>
            <w:r>
              <w:rPr>
                <w:rFonts w:ascii="Arial" w:cs="Arial" w:eastAsia="Arial" w:hAnsi="Arial"/>
                <w:sz w:val="18"/>
                <w:szCs w:val="18"/>
                <w:color w:val="auto"/>
              </w:rPr>
              <w:t>4</w:t>
            </w:r>
          </w:p>
        </w:tc>
        <w:tc>
          <w:tcPr>
            <w:tcW w:w="1120" w:type="dxa"/>
            <w:vAlign w:val="bottom"/>
          </w:tcPr>
          <w:p>
            <w:pPr>
              <w:ind w:left="1040"/>
              <w:spacing w:after="0"/>
              <w:rPr>
                <w:sz w:val="20"/>
                <w:szCs w:val="20"/>
                <w:color w:val="auto"/>
              </w:rPr>
            </w:pPr>
            <w:r>
              <w:rPr>
                <w:rFonts w:ascii="Arial" w:cs="Arial" w:eastAsia="Arial" w:hAnsi="Arial"/>
                <w:sz w:val="15"/>
                <w:szCs w:val="15"/>
                <w:color w:val="auto"/>
                <w:w w:val="71"/>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22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4</w:t>
            </w:r>
          </w:p>
        </w:tc>
        <w:tc>
          <w:tcPr>
            <w:tcW w:w="1120" w:type="dxa"/>
            <w:vAlign w:val="bottom"/>
            <w:shd w:val="clear" w:color="auto" w:fill="CCEEFF"/>
          </w:tcPr>
          <w:p>
            <w:pPr>
              <w:ind w:left="1040"/>
              <w:spacing w:after="0"/>
              <w:rPr>
                <w:sz w:val="20"/>
                <w:szCs w:val="20"/>
                <w:color w:val="auto"/>
              </w:rPr>
            </w:pPr>
            <w:r>
              <w:rPr>
                <w:rFonts w:ascii="Arial" w:cs="Arial" w:eastAsia="Arial" w:hAnsi="Arial"/>
                <w:sz w:val="15"/>
                <w:szCs w:val="15"/>
                <w:color w:val="auto"/>
                <w:w w:val="71"/>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Other Media</w:t>
            </w:r>
          </w:p>
        </w:tc>
        <w:tc>
          <w:tcPr>
            <w:tcW w:w="2240" w:type="dxa"/>
            <w:vAlign w:val="bottom"/>
            <w:gridSpan w:val="2"/>
          </w:tcPr>
          <w:p>
            <w:pPr>
              <w:jc w:val="right"/>
              <w:ind w:right="1160"/>
              <w:spacing w:after="0"/>
              <w:rPr>
                <w:sz w:val="20"/>
                <w:szCs w:val="20"/>
                <w:color w:val="auto"/>
              </w:rPr>
            </w:pPr>
            <w:r>
              <w:rPr>
                <w:rFonts w:ascii="Arial" w:cs="Arial" w:eastAsia="Arial" w:hAnsi="Arial"/>
                <w:sz w:val="18"/>
                <w:szCs w:val="18"/>
                <w:color w:val="auto"/>
              </w:rPr>
              <w:t>4</w:t>
            </w:r>
          </w:p>
        </w:tc>
        <w:tc>
          <w:tcPr>
            <w:tcW w:w="1120" w:type="dxa"/>
            <w:vAlign w:val="bottom"/>
          </w:tcPr>
          <w:p>
            <w:pPr>
              <w:ind w:left="1040"/>
              <w:spacing w:after="0"/>
              <w:rPr>
                <w:sz w:val="20"/>
                <w:szCs w:val="20"/>
                <w:color w:val="auto"/>
              </w:rPr>
            </w:pPr>
            <w:r>
              <w:rPr>
                <w:rFonts w:ascii="Arial" w:cs="Arial" w:eastAsia="Arial" w:hAnsi="Arial"/>
                <w:sz w:val="15"/>
                <w:szCs w:val="15"/>
                <w:color w:val="auto"/>
                <w:w w:val="71"/>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Education</w:t>
            </w:r>
          </w:p>
        </w:tc>
        <w:tc>
          <w:tcPr>
            <w:tcW w:w="22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3</w:t>
            </w:r>
          </w:p>
        </w:tc>
        <w:tc>
          <w:tcPr>
            <w:tcW w:w="1120" w:type="dxa"/>
            <w:vAlign w:val="bottom"/>
            <w:shd w:val="clear" w:color="auto" w:fill="CCEEFF"/>
          </w:tcPr>
          <w:p>
            <w:pPr>
              <w:ind w:left="1040"/>
              <w:spacing w:after="0"/>
              <w:rPr>
                <w:sz w:val="20"/>
                <w:szCs w:val="20"/>
                <w:color w:val="auto"/>
              </w:rPr>
            </w:pPr>
            <w:r>
              <w:rPr>
                <w:rFonts w:ascii="Arial" w:cs="Arial" w:eastAsia="Arial" w:hAnsi="Arial"/>
                <w:sz w:val="15"/>
                <w:szCs w:val="15"/>
                <w:color w:val="auto"/>
                <w:w w:val="71"/>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960" w:type="dxa"/>
            <w:vAlign w:val="bottom"/>
            <w:gridSpan w:val="2"/>
          </w:tcPr>
          <w:p>
            <w:pPr>
              <w:spacing w:after="0"/>
              <w:rPr>
                <w:sz w:val="20"/>
                <w:szCs w:val="20"/>
                <w:color w:val="auto"/>
              </w:rPr>
            </w:pPr>
            <w:r>
              <w:rPr>
                <w:rFonts w:ascii="Arial" w:cs="Arial" w:eastAsia="Arial" w:hAnsi="Arial"/>
                <w:sz w:val="18"/>
                <w:szCs w:val="18"/>
                <w:color w:val="auto"/>
              </w:rPr>
              <w:t>Diversified Natural Resources, Precious Metals and</w:t>
            </w: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60" w:type="dxa"/>
            <w:vAlign w:val="bottom"/>
            <w:gridSpan w:val="2"/>
          </w:tcPr>
          <w:p>
            <w:pPr>
              <w:ind w:left="220"/>
              <w:spacing w:after="0"/>
              <w:rPr>
                <w:sz w:val="20"/>
                <w:szCs w:val="20"/>
                <w:color w:val="auto"/>
              </w:rPr>
            </w:pPr>
            <w:r>
              <w:rPr>
                <w:rFonts w:ascii="Arial" w:cs="Arial" w:eastAsia="Arial" w:hAnsi="Arial"/>
                <w:sz w:val="18"/>
                <w:szCs w:val="18"/>
                <w:color w:val="auto"/>
              </w:rPr>
              <w:t>Minerals</w:t>
            </w:r>
          </w:p>
        </w:tc>
        <w:tc>
          <w:tcPr>
            <w:tcW w:w="2240" w:type="dxa"/>
            <w:vAlign w:val="bottom"/>
            <w:gridSpan w:val="2"/>
          </w:tcPr>
          <w:p>
            <w:pPr>
              <w:jc w:val="right"/>
              <w:ind w:right="1160"/>
              <w:spacing w:after="0"/>
              <w:rPr>
                <w:sz w:val="20"/>
                <w:szCs w:val="20"/>
                <w:color w:val="auto"/>
              </w:rPr>
            </w:pPr>
            <w:r>
              <w:rPr>
                <w:rFonts w:ascii="Arial" w:cs="Arial" w:eastAsia="Arial" w:hAnsi="Arial"/>
                <w:sz w:val="18"/>
                <w:szCs w:val="18"/>
                <w:color w:val="auto"/>
              </w:rPr>
              <w:t>2</w:t>
            </w:r>
          </w:p>
        </w:tc>
        <w:tc>
          <w:tcPr>
            <w:tcW w:w="1120" w:type="dxa"/>
            <w:vAlign w:val="bottom"/>
          </w:tcPr>
          <w:p>
            <w:pPr>
              <w:ind w:left="1040"/>
              <w:spacing w:after="0"/>
              <w:rPr>
                <w:sz w:val="20"/>
                <w:szCs w:val="20"/>
                <w:color w:val="auto"/>
              </w:rPr>
            </w:pPr>
            <w:r>
              <w:rPr>
                <w:rFonts w:ascii="Arial" w:cs="Arial" w:eastAsia="Arial" w:hAnsi="Arial"/>
                <w:sz w:val="15"/>
                <w:szCs w:val="15"/>
                <w:color w:val="auto"/>
                <w:w w:val="71"/>
              </w:rPr>
              <w:t>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22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2</w:t>
            </w:r>
          </w:p>
        </w:tc>
        <w:tc>
          <w:tcPr>
            <w:tcW w:w="1120" w:type="dxa"/>
            <w:vAlign w:val="bottom"/>
            <w:shd w:val="clear" w:color="auto" w:fill="CCEEFF"/>
          </w:tcPr>
          <w:p>
            <w:pPr>
              <w:ind w:left="1040"/>
              <w:spacing w:after="0"/>
              <w:rPr>
                <w:sz w:val="20"/>
                <w:szCs w:val="20"/>
                <w:color w:val="auto"/>
              </w:rPr>
            </w:pPr>
            <w:r>
              <w:rPr>
                <w:rFonts w:ascii="Arial" w:cs="Arial" w:eastAsia="Arial" w:hAnsi="Arial"/>
                <w:sz w:val="15"/>
                <w:szCs w:val="15"/>
                <w:color w:val="auto"/>
                <w:w w:val="71"/>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Beverage, Food and Tobacco</w:t>
            </w:r>
          </w:p>
        </w:tc>
        <w:tc>
          <w:tcPr>
            <w:tcW w:w="2240" w:type="dxa"/>
            <w:vAlign w:val="bottom"/>
            <w:gridSpan w:val="2"/>
          </w:tcPr>
          <w:p>
            <w:pPr>
              <w:jc w:val="right"/>
              <w:ind w:right="1160"/>
              <w:spacing w:after="0"/>
              <w:rPr>
                <w:sz w:val="20"/>
                <w:szCs w:val="20"/>
                <w:color w:val="auto"/>
              </w:rPr>
            </w:pPr>
            <w:r>
              <w:rPr>
                <w:rFonts w:ascii="Arial" w:cs="Arial" w:eastAsia="Arial" w:hAnsi="Arial"/>
                <w:sz w:val="18"/>
                <w:szCs w:val="18"/>
                <w:color w:val="auto"/>
              </w:rPr>
              <w:t>2</w:t>
            </w:r>
          </w:p>
        </w:tc>
        <w:tc>
          <w:tcPr>
            <w:tcW w:w="1120" w:type="dxa"/>
            <w:vAlign w:val="bottom"/>
          </w:tcPr>
          <w:p>
            <w:pPr>
              <w:ind w:left="1040"/>
              <w:spacing w:after="0"/>
              <w:rPr>
                <w:sz w:val="20"/>
                <w:szCs w:val="20"/>
                <w:color w:val="auto"/>
              </w:rPr>
            </w:pPr>
            <w:r>
              <w:rPr>
                <w:rFonts w:ascii="Arial" w:cs="Arial" w:eastAsia="Arial" w:hAnsi="Arial"/>
                <w:sz w:val="15"/>
                <w:szCs w:val="15"/>
                <w:color w:val="auto"/>
                <w:w w:val="71"/>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Real Estate</w:t>
            </w:r>
          </w:p>
        </w:tc>
        <w:tc>
          <w:tcPr>
            <w:tcW w:w="22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2</w:t>
            </w:r>
          </w:p>
        </w:tc>
        <w:tc>
          <w:tcPr>
            <w:tcW w:w="1120" w:type="dxa"/>
            <w:vAlign w:val="bottom"/>
            <w:shd w:val="clear" w:color="auto" w:fill="CCEEFF"/>
          </w:tcPr>
          <w:p>
            <w:pPr>
              <w:ind w:left="1040"/>
              <w:spacing w:after="0"/>
              <w:rPr>
                <w:sz w:val="20"/>
                <w:szCs w:val="20"/>
                <w:color w:val="auto"/>
              </w:rPr>
            </w:pPr>
            <w:r>
              <w:rPr>
                <w:rFonts w:ascii="Arial" w:cs="Arial" w:eastAsia="Arial" w:hAnsi="Arial"/>
                <w:sz w:val="15"/>
                <w:szCs w:val="15"/>
                <w:color w:val="auto"/>
                <w:w w:val="71"/>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Communications</w:t>
            </w:r>
          </w:p>
        </w:tc>
        <w:tc>
          <w:tcPr>
            <w:tcW w:w="2240" w:type="dxa"/>
            <w:vAlign w:val="bottom"/>
            <w:gridSpan w:val="2"/>
          </w:tcPr>
          <w:p>
            <w:pPr>
              <w:jc w:val="right"/>
              <w:ind w:right="1160"/>
              <w:spacing w:after="0"/>
              <w:rPr>
                <w:sz w:val="20"/>
                <w:szCs w:val="20"/>
                <w:color w:val="auto"/>
              </w:rPr>
            </w:pPr>
            <w:r>
              <w:rPr>
                <w:rFonts w:ascii="Arial" w:cs="Arial" w:eastAsia="Arial" w:hAnsi="Arial"/>
                <w:sz w:val="18"/>
                <w:szCs w:val="18"/>
                <w:color w:val="auto"/>
              </w:rPr>
              <w:t>2</w:t>
            </w:r>
          </w:p>
        </w:tc>
        <w:tc>
          <w:tcPr>
            <w:tcW w:w="1120" w:type="dxa"/>
            <w:vAlign w:val="bottom"/>
          </w:tcPr>
          <w:p>
            <w:pPr>
              <w:ind w:left="1040"/>
              <w:spacing w:after="0"/>
              <w:rPr>
                <w:sz w:val="20"/>
                <w:szCs w:val="20"/>
                <w:color w:val="auto"/>
              </w:rPr>
            </w:pPr>
            <w:r>
              <w:rPr>
                <w:rFonts w:ascii="Arial" w:cs="Arial" w:eastAsia="Arial" w:hAnsi="Arial"/>
                <w:sz w:val="15"/>
                <w:szCs w:val="15"/>
                <w:color w:val="auto"/>
                <w:w w:val="71"/>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Services</w:t>
            </w:r>
          </w:p>
        </w:tc>
        <w:tc>
          <w:tcPr>
            <w:tcW w:w="22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2</w:t>
            </w:r>
          </w:p>
        </w:tc>
        <w:tc>
          <w:tcPr>
            <w:tcW w:w="1120" w:type="dxa"/>
            <w:vAlign w:val="bottom"/>
            <w:shd w:val="clear" w:color="auto" w:fill="CCEEFF"/>
          </w:tcPr>
          <w:p>
            <w:pPr>
              <w:ind w:left="1040"/>
              <w:spacing w:after="0"/>
              <w:rPr>
                <w:sz w:val="20"/>
                <w:szCs w:val="20"/>
                <w:color w:val="auto"/>
              </w:rPr>
            </w:pPr>
            <w:r>
              <w:rPr>
                <w:rFonts w:ascii="Arial" w:cs="Arial" w:eastAsia="Arial" w:hAnsi="Arial"/>
                <w:sz w:val="15"/>
                <w:szCs w:val="15"/>
                <w:color w:val="auto"/>
                <w:w w:val="71"/>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2240" w:type="dxa"/>
            <w:vAlign w:val="bottom"/>
            <w:gridSpan w:val="2"/>
          </w:tcPr>
          <w:p>
            <w:pPr>
              <w:jc w:val="right"/>
              <w:ind w:right="1160"/>
              <w:spacing w:after="0"/>
              <w:rPr>
                <w:sz w:val="20"/>
                <w:szCs w:val="20"/>
                <w:color w:val="auto"/>
              </w:rPr>
            </w:pPr>
            <w:r>
              <w:rPr>
                <w:rFonts w:ascii="Arial" w:cs="Arial" w:eastAsia="Arial" w:hAnsi="Arial"/>
                <w:sz w:val="18"/>
                <w:szCs w:val="18"/>
                <w:color w:val="auto"/>
              </w:rPr>
              <w:t>2</w:t>
            </w:r>
          </w:p>
        </w:tc>
        <w:tc>
          <w:tcPr>
            <w:tcW w:w="1120" w:type="dxa"/>
            <w:vAlign w:val="bottom"/>
          </w:tcPr>
          <w:p>
            <w:pPr>
              <w:ind w:left="1040"/>
              <w:spacing w:after="0"/>
              <w:rPr>
                <w:sz w:val="20"/>
                <w:szCs w:val="20"/>
                <w:color w:val="auto"/>
              </w:rPr>
            </w:pPr>
            <w:r>
              <w:rPr>
                <w:rFonts w:ascii="Arial" w:cs="Arial" w:eastAsia="Arial" w:hAnsi="Arial"/>
                <w:sz w:val="15"/>
                <w:szCs w:val="15"/>
                <w:color w:val="auto"/>
                <w:w w:val="71"/>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Leisure, Amusement, Motion Pictures, Entertainment</w:t>
            </w:r>
          </w:p>
        </w:tc>
        <w:tc>
          <w:tcPr>
            <w:tcW w:w="22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2</w:t>
            </w:r>
          </w:p>
        </w:tc>
        <w:tc>
          <w:tcPr>
            <w:tcW w:w="1120" w:type="dxa"/>
            <w:vAlign w:val="bottom"/>
            <w:shd w:val="clear" w:color="auto" w:fill="CCEEFF"/>
          </w:tcPr>
          <w:p>
            <w:pPr>
              <w:ind w:left="1040"/>
              <w:spacing w:after="0"/>
              <w:rPr>
                <w:sz w:val="20"/>
                <w:szCs w:val="20"/>
                <w:color w:val="auto"/>
              </w:rPr>
            </w:pPr>
            <w:r>
              <w:rPr>
                <w:rFonts w:ascii="Arial" w:cs="Arial" w:eastAsia="Arial" w:hAnsi="Arial"/>
                <w:sz w:val="15"/>
                <w:szCs w:val="15"/>
                <w:color w:val="auto"/>
                <w:w w:val="71"/>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2240" w:type="dxa"/>
            <w:vAlign w:val="bottom"/>
            <w:gridSpan w:val="2"/>
          </w:tcPr>
          <w:p>
            <w:pPr>
              <w:jc w:val="right"/>
              <w:ind w:right="1160"/>
              <w:spacing w:after="0"/>
              <w:rPr>
                <w:sz w:val="20"/>
                <w:szCs w:val="20"/>
                <w:color w:val="auto"/>
              </w:rPr>
            </w:pPr>
            <w:r>
              <w:rPr>
                <w:rFonts w:ascii="Arial" w:cs="Arial" w:eastAsia="Arial" w:hAnsi="Arial"/>
                <w:sz w:val="18"/>
                <w:szCs w:val="18"/>
                <w:color w:val="auto"/>
              </w:rPr>
              <w:t>2</w:t>
            </w:r>
          </w:p>
        </w:tc>
        <w:tc>
          <w:tcPr>
            <w:tcW w:w="1120" w:type="dxa"/>
            <w:vAlign w:val="bottom"/>
          </w:tcPr>
          <w:p>
            <w:pPr>
              <w:ind w:left="1040"/>
              <w:spacing w:after="0"/>
              <w:rPr>
                <w:sz w:val="20"/>
                <w:szCs w:val="20"/>
                <w:color w:val="auto"/>
              </w:rPr>
            </w:pPr>
            <w:r>
              <w:rPr>
                <w:rFonts w:ascii="Arial" w:cs="Arial" w:eastAsia="Arial" w:hAnsi="Arial"/>
                <w:sz w:val="15"/>
                <w:szCs w:val="15"/>
                <w:color w:val="auto"/>
                <w:w w:val="71"/>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22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1</w:t>
            </w:r>
          </w:p>
        </w:tc>
        <w:tc>
          <w:tcPr>
            <w:tcW w:w="1120" w:type="dxa"/>
            <w:vAlign w:val="bottom"/>
            <w:shd w:val="clear" w:color="auto" w:fill="CCEEFF"/>
          </w:tcPr>
          <w:p>
            <w:pPr>
              <w:ind w:left="1040"/>
              <w:spacing w:after="0"/>
              <w:rPr>
                <w:sz w:val="20"/>
                <w:szCs w:val="20"/>
                <w:color w:val="auto"/>
              </w:rPr>
            </w:pPr>
            <w:r>
              <w:rPr>
                <w:rFonts w:ascii="Arial" w:cs="Arial" w:eastAsia="Arial" w:hAnsi="Arial"/>
                <w:sz w:val="15"/>
                <w:szCs w:val="15"/>
                <w:color w:val="auto"/>
                <w:w w:val="71"/>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Mining, Steel, Iron and Non-Precious Metals</w:t>
            </w:r>
          </w:p>
        </w:tc>
        <w:tc>
          <w:tcPr>
            <w:tcW w:w="2240" w:type="dxa"/>
            <w:vAlign w:val="bottom"/>
            <w:gridSpan w:val="2"/>
          </w:tcPr>
          <w:p>
            <w:pPr>
              <w:jc w:val="right"/>
              <w:ind w:right="1160"/>
              <w:spacing w:after="0"/>
              <w:rPr>
                <w:sz w:val="20"/>
                <w:szCs w:val="20"/>
                <w:color w:val="auto"/>
              </w:rPr>
            </w:pPr>
            <w:r>
              <w:rPr>
                <w:rFonts w:ascii="Arial" w:cs="Arial" w:eastAsia="Arial" w:hAnsi="Arial"/>
                <w:sz w:val="18"/>
                <w:szCs w:val="18"/>
                <w:color w:val="auto"/>
              </w:rPr>
              <w:t>1</w:t>
            </w:r>
          </w:p>
        </w:tc>
        <w:tc>
          <w:tcPr>
            <w:tcW w:w="1120" w:type="dxa"/>
            <w:vAlign w:val="bottom"/>
          </w:tcPr>
          <w:p>
            <w:pPr>
              <w:ind w:left="1040"/>
              <w:spacing w:after="0"/>
              <w:rPr>
                <w:sz w:val="20"/>
                <w:szCs w:val="20"/>
                <w:color w:val="auto"/>
              </w:rPr>
            </w:pPr>
            <w:r>
              <w:rPr>
                <w:rFonts w:ascii="Arial" w:cs="Arial" w:eastAsia="Arial" w:hAnsi="Arial"/>
                <w:sz w:val="15"/>
                <w:szCs w:val="15"/>
                <w:color w:val="auto"/>
                <w:w w:val="71"/>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w:t>
            </w:r>
          </w:p>
        </w:tc>
        <w:tc>
          <w:tcPr>
            <w:tcW w:w="22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1</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Other</w:t>
            </w:r>
          </w:p>
        </w:tc>
        <w:tc>
          <w:tcPr>
            <w:tcW w:w="2240" w:type="dxa"/>
            <w:vAlign w:val="bottom"/>
            <w:gridSpan w:val="2"/>
          </w:tcPr>
          <w:p>
            <w:pPr>
              <w:jc w:val="right"/>
              <w:ind w:right="1160"/>
              <w:spacing w:after="0"/>
              <w:rPr>
                <w:sz w:val="20"/>
                <w:szCs w:val="20"/>
                <w:color w:val="auto"/>
              </w:rPr>
            </w:pPr>
            <w:r>
              <w:rPr>
                <w:rFonts w:ascii="Arial" w:cs="Arial" w:eastAsia="Arial" w:hAnsi="Arial"/>
                <w:sz w:val="18"/>
                <w:szCs w:val="18"/>
                <w:color w:val="auto"/>
              </w:rPr>
              <w:t>1</w:t>
            </w:r>
          </w:p>
        </w:tc>
        <w:tc>
          <w:tcPr>
            <w:tcW w:w="1120" w:type="dxa"/>
            <w:vAlign w:val="bottom"/>
          </w:tcPr>
          <w:p>
            <w:pPr>
              <w:ind w:left="1040"/>
              <w:spacing w:after="0"/>
              <w:rPr>
                <w:sz w:val="20"/>
                <w:szCs w:val="20"/>
                <w:color w:val="auto"/>
              </w:rPr>
            </w:pPr>
            <w:r>
              <w:rPr>
                <w:rFonts w:ascii="Arial" w:cs="Arial" w:eastAsia="Arial" w:hAnsi="Arial"/>
                <w:sz w:val="15"/>
                <w:szCs w:val="15"/>
                <w:color w:val="auto"/>
                <w:w w:val="71"/>
              </w:rPr>
              <w:t>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100%</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96"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jc w:val="center"/>
        <w:ind w:right="40"/>
        <w:spacing w:after="0"/>
        <w:tabs>
          <w:tab w:leader="none" w:pos="2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Inputs that are quoted prices (unadjusted) in active markets for identical assets or liabilities, accessible by us at the measurement date.</w:t>
      </w:r>
    </w:p>
    <w:p>
      <w:pPr>
        <w:spacing w:after="0" w:line="117" w:lineRule="exact"/>
        <w:rPr>
          <w:sz w:val="20"/>
          <w:szCs w:val="20"/>
          <w:color w:val="auto"/>
        </w:rPr>
      </w:pPr>
    </w:p>
    <w:p>
      <w:pPr>
        <w:ind w:left="1300" w:right="500" w:hanging="836"/>
        <w:spacing w:after="0" w:line="259" w:lineRule="auto"/>
        <w:tabs>
          <w:tab w:leader="none" w:pos="1280" w:val="left"/>
        </w:tabs>
        <w:rPr>
          <w:sz w:val="20"/>
          <w:szCs w:val="20"/>
          <w:color w:val="auto"/>
        </w:rPr>
      </w:pPr>
      <w:r>
        <w:rPr>
          <w:rFonts w:ascii="Arial" w:cs="Arial" w:eastAsia="Arial" w:hAnsi="Arial"/>
          <w:sz w:val="18"/>
          <w:szCs w:val="18"/>
          <w:color w:val="auto"/>
        </w:rPr>
        <w:t>Level 2:</w:t>
        <w:tab/>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6" w:lineRule="exact"/>
        <w:rPr>
          <w:sz w:val="20"/>
          <w:szCs w:val="20"/>
          <w:color w:val="auto"/>
        </w:rPr>
      </w:pPr>
    </w:p>
    <w:p>
      <w:pPr>
        <w:ind w:left="1300" w:right="720" w:hanging="836"/>
        <w:spacing w:after="0" w:line="268" w:lineRule="auto"/>
        <w:tabs>
          <w:tab w:leader="none" w:pos="1280" w:val="left"/>
        </w:tabs>
        <w:rPr>
          <w:sz w:val="20"/>
          <w:szCs w:val="20"/>
          <w:color w:val="auto"/>
        </w:rPr>
      </w:pPr>
      <w:r>
        <w:rPr>
          <w:rFonts w:ascii="Arial" w:cs="Arial" w:eastAsia="Arial" w:hAnsi="Arial"/>
          <w:sz w:val="18"/>
          <w:szCs w:val="18"/>
          <w:color w:val="auto"/>
        </w:rPr>
        <w:t>Level 3:</w:t>
        <w:tab/>
        <w:t>Inputs that are unobservable for an asset or liability because they are based on our own assumptions about how market participants would price the asset or liability.</w:t>
      </w:r>
    </w:p>
    <w:p>
      <w:pPr>
        <w:sectPr>
          <w:pgSz w:w="11900" w:h="16838" w:orient="portrait"/>
          <w:cols w:equalWidth="0" w:num="1">
            <w:col w:w="11200"/>
          </w:cols>
          <w:pgMar w:left="320" w:top="459" w:right="379" w:bottom="1440" w:gutter="0" w:footer="0" w:header="0"/>
        </w:sectPr>
      </w:pP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00"/>
          </w:cols>
          <w:pgMar w:left="320" w:top="459" w:right="37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20" w:firstLine="449"/>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43" w:lineRule="exact"/>
        <w:rPr>
          <w:sz w:val="20"/>
          <w:szCs w:val="20"/>
          <w:color w:val="auto"/>
        </w:rPr>
      </w:pPr>
    </w:p>
    <w:p>
      <w:pPr>
        <w:ind w:right="80" w:firstLine="449"/>
        <w:spacing w:after="0" w:line="254"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44" w:lineRule="exact"/>
        <w:rPr>
          <w:sz w:val="20"/>
          <w:szCs w:val="20"/>
          <w:color w:val="auto"/>
        </w:rPr>
      </w:pPr>
    </w:p>
    <w:p>
      <w:pPr>
        <w:ind w:right="40" w:firstLine="449"/>
        <w:spacing w:after="0" w:line="294" w:lineRule="auto"/>
        <w:rPr>
          <w:sz w:val="20"/>
          <w:szCs w:val="20"/>
          <w:color w:val="auto"/>
        </w:rPr>
      </w:pPr>
      <w:r>
        <w:rPr>
          <w:rFonts w:ascii="Arial" w:cs="Arial" w:eastAsia="Arial" w:hAnsi="Arial"/>
          <w:sz w:val="16"/>
          <w:szCs w:val="16"/>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Within our fair value hierarchy table, our investments are generally categorized as first lien, second lien, subordinated debt and preferred and common equity investments.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w:t>
      </w:r>
    </w:p>
    <w:p>
      <w:pPr>
        <w:spacing w:after="0" w:line="115" w:lineRule="exact"/>
        <w:rPr>
          <w:sz w:val="20"/>
          <w:szCs w:val="20"/>
          <w:color w:val="auto"/>
        </w:rPr>
      </w:pPr>
    </w:p>
    <w:p>
      <w:pPr>
        <w:ind w:right="100" w:firstLine="449"/>
        <w:spacing w:after="0" w:line="294" w:lineRule="auto"/>
        <w:rPr>
          <w:sz w:val="20"/>
          <w:szCs w:val="20"/>
          <w:color w:val="auto"/>
        </w:rPr>
      </w:pPr>
      <w:r>
        <w:rPr>
          <w:rFonts w:ascii="Arial" w:cs="Arial" w:eastAsia="Arial" w:hAnsi="Arial"/>
          <w:sz w:val="16"/>
          <w:szCs w:val="16"/>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three months ended December 31, 2012, our ability to observe valuation inputs resulted in one reclassification of assets between Level 3 to 2 with no other reclassification between levels. During the three months ended December 31, 2011, our ability to observe valuation inputs resulted in no reclassification of assets between levels.</w:t>
      </w:r>
    </w:p>
    <w:p>
      <w:pPr>
        <w:spacing w:after="0" w:line="115"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40" w:lineRule="exact"/>
        <w:rPr>
          <w:sz w:val="20"/>
          <w:szCs w:val="20"/>
          <w:color w:val="auto"/>
        </w:rPr>
      </w:pPr>
    </w:p>
    <w:p>
      <w:pPr>
        <w:ind w:right="20" w:firstLine="449"/>
        <w:spacing w:after="0" w:line="256" w:lineRule="auto"/>
        <w:rPr>
          <w:sz w:val="20"/>
          <w:szCs w:val="20"/>
          <w:color w:val="auto"/>
        </w:rPr>
      </w:pPr>
      <w:r>
        <w:rPr>
          <w:rFonts w:ascii="Arial" w:cs="Arial" w:eastAsia="Arial" w:hAnsi="Arial"/>
          <w:sz w:val="18"/>
          <w:szCs w:val="18"/>
          <w:color w:val="auto"/>
        </w:rPr>
        <w:t>In accordance with Accounting Standards Update No. 2011-04 “Fair Value Measurement: Amendment to Achieve Common Fair Value Measurement and Disclosure Requirements in U.S. GAAP and IFRS,” and as outlined in the table below, our Level 3 investments using a market approach valuation technique are valued using the average of the bids from brokers or dealers. The bids include a disclaimer, have no corroborating evidence and may be the result of consensus pricing. We do not adjust the bids.</w:t>
      </w:r>
    </w:p>
    <w:p>
      <w:pPr>
        <w:spacing w:after="0" w:line="143" w:lineRule="exact"/>
        <w:rPr>
          <w:sz w:val="20"/>
          <w:szCs w:val="20"/>
          <w:color w:val="auto"/>
        </w:rPr>
      </w:pPr>
    </w:p>
    <w:p>
      <w:pPr>
        <w:ind w:firstLine="449"/>
        <w:spacing w:after="0" w:line="309" w:lineRule="auto"/>
        <w:rPr>
          <w:sz w:val="20"/>
          <w:szCs w:val="20"/>
          <w:color w:val="auto"/>
        </w:rPr>
      </w:pPr>
      <w:r>
        <w:rPr>
          <w:rFonts w:ascii="Arial" w:cs="Arial" w:eastAsia="Arial" w:hAnsi="Arial"/>
          <w:sz w:val="15"/>
          <w:szCs w:val="15"/>
          <w:color w:val="auto"/>
        </w:rPr>
        <w:t>The remainder of our portfolio, including our long-term Credit Facility, is classified as Level 3 and was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459"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0" w:type="dxa"/>
            <w:vAlign w:val="bottom"/>
            <w:vMerge w:val="restart"/>
          </w:tcPr>
          <w:p>
            <w:pPr>
              <w:spacing w:after="0"/>
              <w:rPr>
                <w:sz w:val="20"/>
                <w:szCs w:val="20"/>
                <w:color w:val="auto"/>
              </w:rPr>
            </w:pPr>
            <w:r>
              <w:rPr>
                <w:rFonts w:ascii="Arial" w:cs="Arial" w:eastAsia="Arial" w:hAnsi="Arial"/>
                <w:sz w:val="13"/>
                <w:szCs w:val="13"/>
                <w:b w:val="1"/>
                <w:bCs w:val="1"/>
                <w:color w:val="auto"/>
                <w:w w:val="94"/>
              </w:rPr>
              <w:t>Asset Category</w:t>
            </w:r>
          </w:p>
        </w:tc>
        <w:tc>
          <w:tcPr>
            <w:tcW w:w="374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Fair Value at</w:t>
            </w: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Arial" w:cs="Arial" w:eastAsia="Arial" w:hAnsi="Arial"/>
                <w:sz w:val="13"/>
                <w:szCs w:val="13"/>
                <w:b w:val="1"/>
                <w:bCs w:val="1"/>
                <w:color w:val="auto"/>
                <w:w w:val="94"/>
              </w:rPr>
              <w:t>Range of Input</w:t>
            </w:r>
          </w:p>
        </w:tc>
        <w:tc>
          <w:tcPr>
            <w:tcW w:w="0" w:type="dxa"/>
            <w:vAlign w:val="bottom"/>
          </w:tcPr>
          <w:p>
            <w:pPr>
              <w:spacing w:after="0"/>
              <w:rPr>
                <w:sz w:val="1"/>
                <w:szCs w:val="1"/>
                <w:color w:val="auto"/>
              </w:rPr>
            </w:pPr>
          </w:p>
        </w:tc>
      </w:tr>
      <w:tr>
        <w:trPr>
          <w:trHeight w:val="168"/>
        </w:trPr>
        <w:tc>
          <w:tcPr>
            <w:tcW w:w="920" w:type="dxa"/>
            <w:vAlign w:val="bottom"/>
            <w:tcBorders>
              <w:bottom w:val="single" w:sz="8" w:color="auto"/>
            </w:tcBorders>
            <w:vMerge w:val="continue"/>
          </w:tcPr>
          <w:p>
            <w:pPr>
              <w:spacing w:after="0"/>
              <w:rPr>
                <w:sz w:val="14"/>
                <w:szCs w:val="14"/>
                <w:color w:val="auto"/>
              </w:rPr>
            </w:pPr>
          </w:p>
        </w:tc>
        <w:tc>
          <w:tcPr>
            <w:tcW w:w="3740" w:type="dxa"/>
            <w:vAlign w:val="bottom"/>
            <w:vMerge w:val="continue"/>
          </w:tcPr>
          <w:p>
            <w:pPr>
              <w:spacing w:after="0"/>
              <w:rPr>
                <w:sz w:val="14"/>
                <w:szCs w:val="14"/>
                <w:color w:val="auto"/>
              </w:rPr>
            </w:pPr>
          </w:p>
        </w:tc>
        <w:tc>
          <w:tcPr>
            <w:tcW w:w="1280" w:type="dxa"/>
            <w:vAlign w:val="bottom"/>
            <w:gridSpan w:val="3"/>
          </w:tcPr>
          <w:p>
            <w:pPr>
              <w:spacing w:after="0" w:line="148" w:lineRule="exact"/>
              <w:rPr>
                <w:sz w:val="20"/>
                <w:szCs w:val="20"/>
                <w:color w:val="auto"/>
              </w:rPr>
            </w:pPr>
            <w:r>
              <w:rPr>
                <w:rFonts w:ascii="Arial" w:cs="Arial" w:eastAsia="Arial" w:hAnsi="Arial"/>
                <w:sz w:val="13"/>
                <w:szCs w:val="13"/>
                <w:b w:val="1"/>
                <w:bCs w:val="1"/>
                <w:color w:val="auto"/>
              </w:rPr>
              <w:t>December 31, 2012</w:t>
            </w:r>
          </w:p>
        </w:tc>
        <w:tc>
          <w:tcPr>
            <w:tcW w:w="1800" w:type="dxa"/>
            <w:vAlign w:val="bottom"/>
            <w:gridSpan w:val="2"/>
          </w:tcPr>
          <w:p>
            <w:pPr>
              <w:jc w:val="center"/>
              <w:ind w:right="100"/>
              <w:spacing w:after="0" w:line="148" w:lineRule="exact"/>
              <w:rPr>
                <w:sz w:val="20"/>
                <w:szCs w:val="20"/>
                <w:color w:val="auto"/>
              </w:rPr>
            </w:pPr>
            <w:r>
              <w:rPr>
                <w:rFonts w:ascii="Arial" w:cs="Arial" w:eastAsia="Arial" w:hAnsi="Arial"/>
                <w:sz w:val="13"/>
                <w:szCs w:val="13"/>
                <w:b w:val="1"/>
                <w:bCs w:val="1"/>
                <w:color w:val="auto"/>
                <w:w w:val="92"/>
              </w:rPr>
              <w:t>Valuation Technique</w:t>
            </w:r>
          </w:p>
        </w:tc>
        <w:tc>
          <w:tcPr>
            <w:tcW w:w="1880" w:type="dxa"/>
            <w:vAlign w:val="bottom"/>
            <w:gridSpan w:val="2"/>
          </w:tcPr>
          <w:p>
            <w:pPr>
              <w:jc w:val="center"/>
              <w:ind w:right="80"/>
              <w:spacing w:after="0" w:line="148" w:lineRule="exact"/>
              <w:rPr>
                <w:sz w:val="20"/>
                <w:szCs w:val="20"/>
                <w:color w:val="auto"/>
              </w:rPr>
            </w:pPr>
            <w:r>
              <w:rPr>
                <w:rFonts w:ascii="Arial" w:cs="Arial" w:eastAsia="Arial" w:hAnsi="Arial"/>
                <w:sz w:val="13"/>
                <w:szCs w:val="13"/>
                <w:b w:val="1"/>
                <w:bCs w:val="1"/>
                <w:color w:val="auto"/>
                <w:w w:val="95"/>
              </w:rPr>
              <w:t>Unobservable Input</w:t>
            </w:r>
          </w:p>
        </w:tc>
        <w:tc>
          <w:tcPr>
            <w:tcW w:w="16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6"/>
              </w:rPr>
              <w:t>(Weighted Average)</w:t>
            </w:r>
          </w:p>
        </w:tc>
        <w:tc>
          <w:tcPr>
            <w:tcW w:w="0" w:type="dxa"/>
            <w:vAlign w:val="bottom"/>
          </w:tcPr>
          <w:p>
            <w:pPr>
              <w:spacing w:after="0"/>
              <w:rPr>
                <w:sz w:val="1"/>
                <w:szCs w:val="1"/>
                <w:color w:val="auto"/>
              </w:rPr>
            </w:pPr>
          </w:p>
        </w:tc>
      </w:tr>
      <w:tr>
        <w:trPr>
          <w:trHeight w:val="181"/>
        </w:trPr>
        <w:tc>
          <w:tcPr>
            <w:tcW w:w="466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First lien, second lien,</w:t>
            </w:r>
          </w:p>
        </w:tc>
        <w:tc>
          <w:tcPr>
            <w:tcW w:w="1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3"/>
              </w:rPr>
              <w:t>301,182,943</w:t>
            </w:r>
          </w:p>
        </w:tc>
        <w:tc>
          <w:tcPr>
            <w:tcW w:w="20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9"/>
              </w:rPr>
              <w:t>Market Comparable</w:t>
            </w:r>
          </w:p>
        </w:tc>
        <w:tc>
          <w:tcPr>
            <w:tcW w:w="100" w:type="dxa"/>
            <w:vAlign w:val="bottom"/>
            <w:tcBorders>
              <w:top w:val="single" w:sz="8" w:color="CCEEFF"/>
            </w:tcBorders>
            <w:shd w:val="clear" w:color="auto" w:fill="CCEEFF"/>
          </w:tcPr>
          <w:p>
            <w:pPr>
              <w:spacing w:after="0"/>
              <w:rPr>
                <w:sz w:val="15"/>
                <w:szCs w:val="15"/>
                <w:color w:val="auto"/>
              </w:rPr>
            </w:pPr>
          </w:p>
        </w:tc>
        <w:tc>
          <w:tcPr>
            <w:tcW w:w="178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9"/>
              </w:rPr>
              <w:t>Broker/Dealer bid quotes</w:t>
            </w:r>
          </w:p>
        </w:tc>
        <w:tc>
          <w:tcPr>
            <w:tcW w:w="10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4"/>
              </w:rPr>
              <w:t>1 – 4</w:t>
            </w:r>
          </w:p>
        </w:tc>
        <w:tc>
          <w:tcPr>
            <w:tcW w:w="0" w:type="dxa"/>
            <w:vAlign w:val="bottom"/>
          </w:tcPr>
          <w:p>
            <w:pPr>
              <w:spacing w:after="0"/>
              <w:rPr>
                <w:sz w:val="1"/>
                <w:szCs w:val="1"/>
                <w:color w:val="auto"/>
              </w:rPr>
            </w:pPr>
          </w:p>
        </w:tc>
      </w:tr>
      <w:tr>
        <w:trPr>
          <w:trHeight w:val="238"/>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debt/corporate notes</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660" w:type="dxa"/>
            <w:vAlign w:val="bottom"/>
            <w:gridSpan w:val="2"/>
          </w:tcPr>
          <w:p>
            <w:pPr>
              <w:spacing w:after="0"/>
              <w:rPr>
                <w:sz w:val="20"/>
                <w:szCs w:val="20"/>
                <w:color w:val="auto"/>
              </w:rPr>
            </w:pPr>
            <w:r>
              <w:rPr>
                <w:rFonts w:ascii="Arial" w:cs="Arial" w:eastAsia="Arial" w:hAnsi="Arial"/>
                <w:sz w:val="18"/>
                <w:szCs w:val="18"/>
                <w:color w:val="auto"/>
              </w:rPr>
              <w:t>First lien, second lien,</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588,431,868</w:t>
            </w:r>
          </w:p>
        </w:tc>
        <w:tc>
          <w:tcPr>
            <w:tcW w:w="20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Market Comparable</w:t>
            </w:r>
          </w:p>
        </w:tc>
        <w:tc>
          <w:tcPr>
            <w:tcW w:w="188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Market Yield</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8.4% – 18.9% (13.9%)</w:t>
            </w:r>
          </w:p>
        </w:tc>
        <w:tc>
          <w:tcPr>
            <w:tcW w:w="0" w:type="dxa"/>
            <w:vAlign w:val="bottom"/>
          </w:tcPr>
          <w:p>
            <w:pPr>
              <w:spacing w:after="0"/>
              <w:rPr>
                <w:sz w:val="1"/>
                <w:szCs w:val="1"/>
                <w:color w:val="auto"/>
              </w:rPr>
            </w:pPr>
          </w:p>
        </w:tc>
      </w:tr>
      <w:tr>
        <w:trPr>
          <w:trHeight w:val="230"/>
        </w:trPr>
        <w:tc>
          <w:tcPr>
            <w:tcW w:w="4660" w:type="dxa"/>
            <w:vAlign w:val="bottom"/>
            <w:gridSpan w:val="2"/>
          </w:tcPr>
          <w:p>
            <w:pPr>
              <w:spacing w:after="0"/>
              <w:rPr>
                <w:sz w:val="20"/>
                <w:szCs w:val="20"/>
                <w:color w:val="auto"/>
              </w:rPr>
            </w:pPr>
            <w:r>
              <w:rPr>
                <w:rFonts w:ascii="Arial" w:cs="Arial" w:eastAsia="Arial" w:hAnsi="Arial"/>
                <w:sz w:val="18"/>
                <w:szCs w:val="18"/>
                <w:color w:val="auto"/>
              </w:rPr>
              <w:t>subordinated debt/corporate notes</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and common equity</w:t>
            </w: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105,538,077</w:t>
            </w:r>
          </w:p>
        </w:tc>
        <w:tc>
          <w:tcPr>
            <w:tcW w:w="2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Enterprise Market Value</w:t>
            </w: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EBITDA multiple</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5.0 – 15.9(8.8)</w:t>
            </w:r>
          </w:p>
        </w:tc>
        <w:tc>
          <w:tcPr>
            <w:tcW w:w="0" w:type="dxa"/>
            <w:vAlign w:val="bottom"/>
          </w:tcPr>
          <w:p>
            <w:pPr>
              <w:spacing w:after="0"/>
              <w:rPr>
                <w:sz w:val="1"/>
                <w:szCs w:val="1"/>
                <w:color w:val="auto"/>
              </w:rPr>
            </w:pPr>
          </w:p>
        </w:tc>
      </w:tr>
      <w:tr>
        <w:trPr>
          <w:trHeight w:val="222"/>
        </w:trPr>
        <w:tc>
          <w:tcPr>
            <w:tcW w:w="4660" w:type="dxa"/>
            <w:vAlign w:val="bottom"/>
            <w:gridSpan w:val="2"/>
          </w:tcPr>
          <w:p>
            <w:pPr>
              <w:spacing w:after="0"/>
              <w:rPr>
                <w:sz w:val="20"/>
                <w:szCs w:val="20"/>
                <w:color w:val="auto"/>
              </w:rPr>
            </w:pPr>
            <w:r>
              <w:rPr>
                <w:rFonts w:ascii="Arial" w:cs="Arial" w:eastAsia="Arial" w:hAnsi="Arial"/>
                <w:sz w:val="18"/>
                <w:szCs w:val="18"/>
                <w:color w:val="auto"/>
              </w:rPr>
              <w:t>Total Level 3 investments</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995,152,888</w:t>
            </w: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Credit Facility</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211,500,000</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Market Comparable</w:t>
            </w: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Discount rate</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3.3%</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cash equivalents, investments and Credit Facility were categorized as follows in the fair value hierarchy for ASC 820 purposes: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vMerge w:val="restart"/>
          </w:tcPr>
          <w:p>
            <w:pPr>
              <w:spacing w:after="0"/>
              <w:rPr>
                <w:sz w:val="20"/>
                <w:szCs w:val="20"/>
                <w:color w:val="auto"/>
              </w:rPr>
            </w:pPr>
            <w:r>
              <w:rPr>
                <w:rFonts w:ascii="Arial" w:cs="Arial" w:eastAsia="Arial" w:hAnsi="Arial"/>
                <w:sz w:val="13"/>
                <w:szCs w:val="13"/>
                <w:b w:val="1"/>
                <w:bCs w:val="1"/>
                <w:color w:val="auto"/>
                <w:w w:val="95"/>
              </w:rPr>
              <w:t>Description</w:t>
            </w:r>
          </w:p>
        </w:tc>
        <w:tc>
          <w:tcPr>
            <w:tcW w:w="3420" w:type="dxa"/>
            <w:vAlign w:val="bottom"/>
            <w:vMerge w:val="restart"/>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vMerge w:val="restart"/>
          </w:tcPr>
          <w:p>
            <w:pPr>
              <w:jc w:val="right"/>
              <w:ind w:right="175"/>
              <w:spacing w:after="0"/>
              <w:rPr>
                <w:sz w:val="20"/>
                <w:szCs w:val="20"/>
                <w:color w:val="auto"/>
              </w:rPr>
            </w:pPr>
            <w:r>
              <w:rPr>
                <w:rFonts w:ascii="Arial" w:cs="Arial" w:eastAsia="Arial" w:hAnsi="Arial"/>
                <w:sz w:val="13"/>
                <w:szCs w:val="13"/>
                <w:b w:val="1"/>
                <w:bCs w:val="1"/>
                <w:color w:val="auto"/>
              </w:rPr>
              <w:t>Fair Value</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40" w:type="dxa"/>
            <w:vAlign w:val="bottom"/>
            <w:gridSpan w:val="7"/>
          </w:tcPr>
          <w:p>
            <w:pPr>
              <w:ind w:left="720"/>
              <w:spacing w:after="0"/>
              <w:rPr>
                <w:sz w:val="20"/>
                <w:szCs w:val="20"/>
                <w:color w:val="auto"/>
              </w:rPr>
            </w:pPr>
            <w:r>
              <w:rPr>
                <w:rFonts w:ascii="Arial" w:cs="Arial" w:eastAsia="Arial" w:hAnsi="Arial"/>
                <w:sz w:val="13"/>
                <w:szCs w:val="13"/>
                <w:b w:val="1"/>
                <w:bCs w:val="1"/>
                <w:color w:val="auto"/>
              </w:rPr>
              <w:t>Fair Value at December 31, 2012</w:t>
            </w:r>
          </w:p>
        </w:tc>
        <w:tc>
          <w:tcPr>
            <w:tcW w:w="0" w:type="dxa"/>
            <w:vAlign w:val="bottom"/>
          </w:tcPr>
          <w:p>
            <w:pPr>
              <w:spacing w:after="0"/>
              <w:rPr>
                <w:sz w:val="1"/>
                <w:szCs w:val="1"/>
                <w:color w:val="auto"/>
              </w:rPr>
            </w:pPr>
          </w:p>
        </w:tc>
      </w:tr>
      <w:tr>
        <w:trPr>
          <w:trHeight w:val="148"/>
        </w:trPr>
        <w:tc>
          <w:tcPr>
            <w:tcW w:w="700" w:type="dxa"/>
            <w:vAlign w:val="bottom"/>
            <w:tcBorders>
              <w:bottom w:val="single" w:sz="8" w:color="auto"/>
            </w:tcBorders>
            <w:vMerge w:val="continue"/>
          </w:tcPr>
          <w:p>
            <w:pPr>
              <w:spacing w:after="0"/>
              <w:rPr>
                <w:sz w:val="12"/>
                <w:szCs w:val="12"/>
                <w:color w:val="auto"/>
              </w:rPr>
            </w:pPr>
          </w:p>
        </w:tc>
        <w:tc>
          <w:tcPr>
            <w:tcW w:w="342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57"/>
              <w:spacing w:after="0" w:line="129" w:lineRule="exact"/>
              <w:rPr>
                <w:sz w:val="20"/>
                <w:szCs w:val="20"/>
                <w:color w:val="auto"/>
              </w:rPr>
            </w:pPr>
            <w:r>
              <w:rPr>
                <w:rFonts w:ascii="Arial" w:cs="Arial" w:eastAsia="Arial" w:hAnsi="Arial"/>
                <w:sz w:val="13"/>
                <w:szCs w:val="13"/>
                <w:b w:val="1"/>
                <w:bCs w:val="1"/>
                <w:color w:val="auto"/>
              </w:rPr>
              <w:t>Level 1</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55"/>
              <w:spacing w:after="0" w:line="129" w:lineRule="exact"/>
              <w:rPr>
                <w:sz w:val="20"/>
                <w:szCs w:val="20"/>
                <w:color w:val="auto"/>
              </w:rPr>
            </w:pPr>
            <w:r>
              <w:rPr>
                <w:rFonts w:ascii="Arial" w:cs="Arial" w:eastAsia="Arial" w:hAnsi="Arial"/>
                <w:sz w:val="13"/>
                <w:szCs w:val="13"/>
                <w:b w:val="1"/>
                <w:bCs w:val="1"/>
                <w:color w:val="auto"/>
              </w:rPr>
              <w:t>Level 2</w:t>
            </w:r>
          </w:p>
        </w:tc>
        <w:tc>
          <w:tcPr>
            <w:tcW w:w="3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197"/>
              <w:spacing w:after="0" w:line="129" w:lineRule="exact"/>
              <w:rPr>
                <w:sz w:val="20"/>
                <w:szCs w:val="20"/>
                <w:color w:val="auto"/>
              </w:rPr>
            </w:pPr>
            <w:r>
              <w:rPr>
                <w:rFonts w:ascii="Arial" w:cs="Arial" w:eastAsia="Arial" w:hAnsi="Arial"/>
                <w:sz w:val="13"/>
                <w:szCs w:val="13"/>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1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Loan and debt investments</w:t>
            </w:r>
          </w:p>
        </w:tc>
        <w:tc>
          <w:tcPr>
            <w:tcW w:w="110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936,485,851</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46,871,040</w:t>
            </w:r>
          </w:p>
        </w:tc>
        <w:tc>
          <w:tcPr>
            <w:tcW w:w="3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$889,614,811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127,921,744</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22,375,095</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8,572</w:t>
            </w:r>
          </w:p>
        </w:tc>
        <w:tc>
          <w:tcPr>
            <w:tcW w:w="3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105,538,077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1,064,407,595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22,375,095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46,879,612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995,152,888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31,291,517</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31,291,517</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1,095,699,112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53,666,612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46,879,612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995,152,888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Credit Facility</w:t>
            </w: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20" w:type="dxa"/>
            <w:vAlign w:val="bottom"/>
            <w:gridSpan w:val="2"/>
            <w:vMerge w:val="continue"/>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211,500,000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211,500,000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700" w:type="dxa"/>
            <w:vAlign w:val="bottom"/>
            <w:vMerge w:val="restart"/>
          </w:tcPr>
          <w:p>
            <w:pPr>
              <w:spacing w:after="0"/>
              <w:rPr>
                <w:sz w:val="20"/>
                <w:szCs w:val="20"/>
                <w:color w:val="auto"/>
              </w:rPr>
            </w:pPr>
            <w:r>
              <w:rPr>
                <w:rFonts w:ascii="Arial" w:cs="Arial" w:eastAsia="Arial" w:hAnsi="Arial"/>
                <w:sz w:val="13"/>
                <w:szCs w:val="13"/>
                <w:b w:val="1"/>
                <w:bCs w:val="1"/>
                <w:color w:val="auto"/>
                <w:w w:val="95"/>
              </w:rPr>
              <w:t>Description</w:t>
            </w:r>
          </w:p>
        </w:tc>
        <w:tc>
          <w:tcPr>
            <w:tcW w:w="3420" w:type="dxa"/>
            <w:vAlign w:val="bottom"/>
            <w:vMerge w:val="restart"/>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vMerge w:val="restart"/>
          </w:tcPr>
          <w:p>
            <w:pPr>
              <w:jc w:val="right"/>
              <w:ind w:right="175"/>
              <w:spacing w:after="0"/>
              <w:rPr>
                <w:sz w:val="20"/>
                <w:szCs w:val="20"/>
                <w:color w:val="auto"/>
              </w:rPr>
            </w:pPr>
            <w:r>
              <w:rPr>
                <w:rFonts w:ascii="Arial" w:cs="Arial" w:eastAsia="Arial" w:hAnsi="Arial"/>
                <w:sz w:val="13"/>
                <w:szCs w:val="13"/>
                <w:b w:val="1"/>
                <w:bCs w:val="1"/>
                <w:color w:val="auto"/>
              </w:rPr>
              <w:t>Fair Value</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gridSpan w:val="7"/>
          </w:tcPr>
          <w:p>
            <w:pPr>
              <w:ind w:left="700"/>
              <w:spacing w:after="0"/>
              <w:rPr>
                <w:sz w:val="20"/>
                <w:szCs w:val="20"/>
                <w:color w:val="auto"/>
              </w:rPr>
            </w:pPr>
            <w:r>
              <w:rPr>
                <w:rFonts w:ascii="Arial" w:cs="Arial" w:eastAsia="Arial" w:hAnsi="Arial"/>
                <w:sz w:val="13"/>
                <w:szCs w:val="13"/>
                <w:b w:val="1"/>
                <w:bCs w:val="1"/>
                <w:color w:val="auto"/>
              </w:rPr>
              <w:t>Fair Value at September 30, 2012</w:t>
            </w:r>
          </w:p>
        </w:tc>
        <w:tc>
          <w:tcPr>
            <w:tcW w:w="0" w:type="dxa"/>
            <w:vAlign w:val="bottom"/>
          </w:tcPr>
          <w:p>
            <w:pPr>
              <w:spacing w:after="0"/>
              <w:rPr>
                <w:sz w:val="1"/>
                <w:szCs w:val="1"/>
                <w:color w:val="auto"/>
              </w:rPr>
            </w:pPr>
          </w:p>
        </w:tc>
      </w:tr>
      <w:tr>
        <w:trPr>
          <w:trHeight w:val="149"/>
        </w:trPr>
        <w:tc>
          <w:tcPr>
            <w:tcW w:w="700" w:type="dxa"/>
            <w:vAlign w:val="bottom"/>
            <w:tcBorders>
              <w:bottom w:val="single" w:sz="8" w:color="auto"/>
            </w:tcBorders>
            <w:vMerge w:val="continue"/>
          </w:tcPr>
          <w:p>
            <w:pPr>
              <w:spacing w:after="0"/>
              <w:rPr>
                <w:sz w:val="12"/>
                <w:szCs w:val="12"/>
                <w:color w:val="auto"/>
              </w:rPr>
            </w:pPr>
          </w:p>
        </w:tc>
        <w:tc>
          <w:tcPr>
            <w:tcW w:w="342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57"/>
              <w:spacing w:after="0" w:line="129" w:lineRule="exact"/>
              <w:rPr>
                <w:sz w:val="20"/>
                <w:szCs w:val="20"/>
                <w:color w:val="auto"/>
              </w:rPr>
            </w:pPr>
            <w:r>
              <w:rPr>
                <w:rFonts w:ascii="Arial" w:cs="Arial" w:eastAsia="Arial" w:hAnsi="Arial"/>
                <w:sz w:val="13"/>
                <w:szCs w:val="13"/>
                <w:b w:val="1"/>
                <w:bCs w:val="1"/>
                <w:color w:val="auto"/>
              </w:rPr>
              <w:t>Level 1</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55"/>
              <w:spacing w:after="0" w:line="129" w:lineRule="exact"/>
              <w:rPr>
                <w:sz w:val="20"/>
                <w:szCs w:val="20"/>
                <w:color w:val="auto"/>
              </w:rPr>
            </w:pPr>
            <w:r>
              <w:rPr>
                <w:rFonts w:ascii="Arial" w:cs="Arial" w:eastAsia="Arial" w:hAnsi="Arial"/>
                <w:sz w:val="13"/>
                <w:szCs w:val="13"/>
                <w:b w:val="1"/>
                <w:bCs w:val="1"/>
                <w:color w:val="auto"/>
              </w:rPr>
              <w:t>Level 2</w:t>
            </w:r>
          </w:p>
        </w:tc>
        <w:tc>
          <w:tcPr>
            <w:tcW w:w="3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197"/>
              <w:spacing w:after="0" w:line="129" w:lineRule="exact"/>
              <w:rPr>
                <w:sz w:val="20"/>
                <w:szCs w:val="20"/>
                <w:color w:val="auto"/>
              </w:rPr>
            </w:pPr>
            <w:r>
              <w:rPr>
                <w:rFonts w:ascii="Arial" w:cs="Arial" w:eastAsia="Arial" w:hAnsi="Arial"/>
                <w:sz w:val="13"/>
                <w:szCs w:val="13"/>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1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Loan and debt investments</w:t>
            </w:r>
          </w:p>
        </w:tc>
        <w:tc>
          <w:tcPr>
            <w:tcW w:w="110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883,669,431</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35,275,360</w:t>
            </w:r>
          </w:p>
        </w:tc>
        <w:tc>
          <w:tcPr>
            <w:tcW w:w="3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$848,424,071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106,780,279</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5,425,378</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31,778</w:t>
            </w:r>
          </w:p>
        </w:tc>
        <w:tc>
          <w:tcPr>
            <w:tcW w:w="3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101,323,123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990,449,710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5,425,378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35,307,138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949,747,194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7,559,453</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7,559,453</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998,009,163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12,984,831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35,307,138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949,747,194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Credit Facility</w:t>
            </w: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20" w:type="dxa"/>
            <w:vAlign w:val="bottom"/>
            <w:gridSpan w:val="2"/>
            <w:vMerge w:val="continue"/>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144,452,500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144,452,500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23</w:t>
            </w: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49"/>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(Level 3):</w:t>
      </w:r>
    </w:p>
    <w:p>
      <w:pPr>
        <w:spacing w:after="0" w:line="38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920" w:type="dxa"/>
            <w:vAlign w:val="bottom"/>
            <w:gridSpan w:val="12"/>
          </w:tcPr>
          <w:p>
            <w:pPr>
              <w:jc w:val="center"/>
              <w:ind w:right="340"/>
              <w:spacing w:after="0"/>
              <w:rPr>
                <w:sz w:val="20"/>
                <w:szCs w:val="20"/>
                <w:color w:val="auto"/>
              </w:rPr>
            </w:pPr>
            <w:r>
              <w:rPr>
                <w:rFonts w:ascii="Arial" w:cs="Arial" w:eastAsia="Arial" w:hAnsi="Arial"/>
                <w:sz w:val="13"/>
                <w:szCs w:val="13"/>
                <w:b w:val="1"/>
                <w:bCs w:val="1"/>
                <w:color w:val="auto"/>
                <w:w w:val="92"/>
              </w:rPr>
              <w:t>Three months ended December 31, 2012</w:t>
            </w:r>
          </w:p>
        </w:tc>
        <w:tc>
          <w:tcPr>
            <w:tcW w:w="0" w:type="dxa"/>
            <w:vAlign w:val="bottom"/>
          </w:tcPr>
          <w:p>
            <w:pPr>
              <w:spacing w:after="0"/>
              <w:rPr>
                <w:sz w:val="1"/>
                <w:szCs w:val="1"/>
                <w:color w:val="auto"/>
              </w:rPr>
            </w:pPr>
          </w:p>
        </w:tc>
      </w:tr>
      <w:tr>
        <w:trPr>
          <w:trHeight w:val="129"/>
        </w:trPr>
        <w:tc>
          <w:tcPr>
            <w:tcW w:w="60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Description</w:t>
            </w:r>
          </w:p>
        </w:tc>
        <w:tc>
          <w:tcPr>
            <w:tcW w:w="160" w:type="dxa"/>
            <w:vAlign w:val="bottom"/>
          </w:tcPr>
          <w:p>
            <w:pPr>
              <w:spacing w:after="0"/>
              <w:rPr>
                <w:sz w:val="11"/>
                <w:szCs w:val="11"/>
                <w:color w:val="auto"/>
              </w:rPr>
            </w:pPr>
          </w:p>
        </w:tc>
        <w:tc>
          <w:tcPr>
            <w:tcW w:w="1380" w:type="dxa"/>
            <w:vAlign w:val="bottom"/>
            <w:tcBorders>
              <w:top w:val="single" w:sz="8" w:color="auto"/>
            </w:tcBorders>
            <w:gridSpan w:val="4"/>
          </w:tcPr>
          <w:p>
            <w:pPr>
              <w:jc w:val="right"/>
              <w:ind w:right="420"/>
              <w:spacing w:after="0" w:line="129" w:lineRule="exact"/>
              <w:rPr>
                <w:sz w:val="20"/>
                <w:szCs w:val="20"/>
                <w:color w:val="auto"/>
              </w:rPr>
            </w:pPr>
            <w:r>
              <w:rPr>
                <w:rFonts w:ascii="Arial" w:cs="Arial" w:eastAsia="Arial" w:hAnsi="Arial"/>
                <w:sz w:val="13"/>
                <w:szCs w:val="13"/>
                <w:b w:val="1"/>
                <w:bCs w:val="1"/>
                <w:color w:val="auto"/>
              </w:rPr>
              <w:t>Loan and debt</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460"/>
              <w:spacing w:after="0" w:line="129" w:lineRule="exact"/>
              <w:rPr>
                <w:sz w:val="20"/>
                <w:szCs w:val="20"/>
                <w:color w:val="auto"/>
              </w:rPr>
            </w:pPr>
            <w:r>
              <w:rPr>
                <w:rFonts w:ascii="Arial" w:cs="Arial" w:eastAsia="Arial" w:hAnsi="Arial"/>
                <w:sz w:val="13"/>
                <w:szCs w:val="13"/>
                <w:b w:val="1"/>
                <w:bCs w:val="1"/>
                <w:color w:val="auto"/>
                <w:w w:val="95"/>
              </w:rPr>
              <w:t>Equity</w:t>
            </w: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0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4"/>
          </w:tcPr>
          <w:p>
            <w:pPr>
              <w:jc w:val="right"/>
              <w:ind w:right="520"/>
              <w:spacing w:after="0" w:line="148" w:lineRule="exact"/>
              <w:rPr>
                <w:sz w:val="20"/>
                <w:szCs w:val="20"/>
                <w:color w:val="auto"/>
              </w:rPr>
            </w:pPr>
            <w:r>
              <w:rPr>
                <w:rFonts w:ascii="Arial" w:cs="Arial" w:eastAsia="Arial" w:hAnsi="Arial"/>
                <w:sz w:val="13"/>
                <w:szCs w:val="13"/>
                <w:b w:val="1"/>
                <w:bCs w:val="1"/>
                <w:color w:val="auto"/>
              </w:rPr>
              <w:t>investments</w:t>
            </w:r>
          </w:p>
        </w:tc>
        <w:tc>
          <w:tcPr>
            <w:tcW w:w="140" w:type="dxa"/>
            <w:vAlign w:val="bottom"/>
          </w:tcPr>
          <w:p>
            <w:pPr>
              <w:spacing w:after="0"/>
              <w:rPr>
                <w:sz w:val="12"/>
                <w:szCs w:val="12"/>
                <w:color w:val="auto"/>
              </w:rPr>
            </w:pPr>
          </w:p>
        </w:tc>
        <w:tc>
          <w:tcPr>
            <w:tcW w:w="1280" w:type="dxa"/>
            <w:vAlign w:val="bottom"/>
            <w:gridSpan w:val="3"/>
          </w:tcPr>
          <w:p>
            <w:pPr>
              <w:jc w:val="center"/>
              <w:ind w:right="320"/>
              <w:spacing w:after="0" w:line="148" w:lineRule="exact"/>
              <w:rPr>
                <w:sz w:val="20"/>
                <w:szCs w:val="20"/>
                <w:color w:val="auto"/>
              </w:rPr>
            </w:pPr>
            <w:r>
              <w:rPr>
                <w:rFonts w:ascii="Arial" w:cs="Arial" w:eastAsia="Arial" w:hAnsi="Arial"/>
                <w:sz w:val="13"/>
                <w:szCs w:val="13"/>
                <w:b w:val="1"/>
                <w:bCs w:val="1"/>
                <w:color w:val="auto"/>
                <w:w w:val="89"/>
              </w:rPr>
              <w:t>investments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460"/>
              <w:spacing w:after="0" w:line="148" w:lineRule="exact"/>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2012</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$ 848,424,071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$101,323,123</w:t>
            </w:r>
          </w:p>
        </w:tc>
        <w:tc>
          <w:tcPr>
            <w:tcW w:w="30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$ 949,747,194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420"/>
              <w:spacing w:after="0"/>
              <w:rPr>
                <w:sz w:val="20"/>
                <w:szCs w:val="20"/>
                <w:color w:val="auto"/>
              </w:rPr>
            </w:pPr>
            <w:r>
              <w:rPr>
                <w:rFonts w:ascii="Arial" w:cs="Arial" w:eastAsia="Arial" w:hAnsi="Arial"/>
                <w:sz w:val="18"/>
                <w:szCs w:val="18"/>
                <w:color w:val="auto"/>
              </w:rPr>
              <w:t>Realized gains (losses)</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2,221,132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(1,350,000)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871,132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(depreciation) appreciation</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24,742,287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(19,387,772)</w:t>
            </w:r>
          </w:p>
        </w:tc>
        <w:tc>
          <w:tcPr>
            <w:tcW w:w="3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5,354,515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420"/>
              <w:spacing w:after="0"/>
              <w:rPr>
                <w:sz w:val="20"/>
                <w:szCs w:val="20"/>
                <w:color w:val="auto"/>
              </w:rPr>
            </w:pPr>
            <w:r>
              <w:rPr>
                <w:rFonts w:ascii="Arial" w:cs="Arial" w:eastAsia="Arial" w:hAnsi="Arial"/>
                <w:sz w:val="18"/>
                <w:szCs w:val="18"/>
                <w:color w:val="auto"/>
              </w:rPr>
              <w:t>Purchases, PIK, net discount accretion and non-cash exchanges</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168,081,857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25,652,726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193,734,583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and non-cash exchanges</w:t>
            </w:r>
          </w:p>
        </w:tc>
        <w:tc>
          <w:tcPr>
            <w:tcW w:w="13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(141,014,536)</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300" w:type="dxa"/>
            <w:vAlign w:val="bottom"/>
            <w:tcBorders>
              <w:left w:val="single" w:sz="8" w:color="CCEEFF"/>
            </w:tcBorders>
            <w:shd w:val="clear" w:color="auto" w:fill="CCEEFF"/>
          </w:tcPr>
          <w:p>
            <w:pPr>
              <w:spacing w:after="0"/>
              <w:rPr>
                <w:sz w:val="18"/>
                <w:szCs w:val="18"/>
                <w:color w:val="auto"/>
              </w:rPr>
            </w:pPr>
          </w:p>
        </w:tc>
        <w:tc>
          <w:tcPr>
            <w:tcW w:w="13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(141,714,536)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420"/>
              <w:spacing w:after="0"/>
              <w:rPr>
                <w:sz w:val="20"/>
                <w:szCs w:val="20"/>
                <w:color w:val="auto"/>
              </w:rPr>
            </w:pPr>
            <w:r>
              <w:rPr>
                <w:rFonts w:ascii="Arial" w:cs="Arial" w:eastAsia="Arial" w:hAnsi="Arial"/>
                <w:sz w:val="18"/>
                <w:szCs w:val="18"/>
                <w:color w:val="auto"/>
              </w:rPr>
              <w:t>Transfers out of Level 3</w:t>
            </w:r>
          </w:p>
        </w:tc>
        <w:tc>
          <w:tcPr>
            <w:tcW w:w="16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(12,840,000)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(12,840,000)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December 31, 2012</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$ 889,614,811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105,538,077</w:t>
            </w:r>
          </w:p>
        </w:tc>
        <w:tc>
          <w:tcPr>
            <w:tcW w:w="300" w:type="dxa"/>
            <w:vAlign w:val="bottom"/>
            <w:tcBorders>
              <w:left w:val="single" w:sz="8" w:color="CCEEFF"/>
            </w:tcBorders>
            <w:shd w:val="clear" w:color="auto" w:fill="CCEEFF"/>
          </w:tcPr>
          <w:p>
            <w:pPr>
              <w:spacing w:after="0"/>
              <w:rPr>
                <w:sz w:val="18"/>
                <w:szCs w:val="18"/>
                <w:color w:val="auto"/>
              </w:rPr>
            </w:pP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$ 995,152,888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gridSpan w:val="3"/>
            <w:vMerge w:val="restart"/>
          </w:tcPr>
          <w:p>
            <w:pPr>
              <w:spacing w:after="0"/>
              <w:rPr>
                <w:sz w:val="20"/>
                <w:szCs w:val="20"/>
                <w:color w:val="auto"/>
              </w:rPr>
            </w:pPr>
            <w:r>
              <w:rPr>
                <w:rFonts w:ascii="Arial" w:cs="Arial" w:eastAsia="Arial" w:hAnsi="Arial"/>
                <w:sz w:val="18"/>
                <w:szCs w:val="18"/>
                <w:color w:val="auto"/>
              </w:rPr>
              <w:t>Net change in unrealized appreciation (depreciation) reported within the net</w:t>
            </w: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04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gridSpan w:val="3"/>
          </w:tcPr>
          <w:p>
            <w:pPr>
              <w:spacing w:after="0"/>
              <w:rPr>
                <w:sz w:val="20"/>
                <w:szCs w:val="20"/>
                <w:color w:val="auto"/>
              </w:rPr>
            </w:pPr>
            <w:r>
              <w:rPr>
                <w:rFonts w:ascii="Arial" w:cs="Arial" w:eastAsia="Arial" w:hAnsi="Arial"/>
                <w:sz w:val="18"/>
                <w:szCs w:val="18"/>
                <w:color w:val="auto"/>
                <w:w w:val="93"/>
              </w:rPr>
              <w:t>change in unrealized appreciation on investments in our Consolidated Statement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40" w:type="dxa"/>
            <w:vAlign w:val="bottom"/>
            <w:gridSpan w:val="3"/>
          </w:tcPr>
          <w:p>
            <w:pPr>
              <w:spacing w:after="0"/>
              <w:rPr>
                <w:sz w:val="20"/>
                <w:szCs w:val="20"/>
                <w:color w:val="auto"/>
              </w:rPr>
            </w:pPr>
            <w:r>
              <w:rPr>
                <w:rFonts w:ascii="Arial" w:cs="Arial" w:eastAsia="Arial" w:hAnsi="Arial"/>
                <w:sz w:val="18"/>
                <w:szCs w:val="18"/>
                <w:color w:val="auto"/>
                <w:w w:val="98"/>
              </w:rPr>
              <w:t>of Operations attributable to our Level 3 assets still held at the reporting date</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  24,636,464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w w:val="99"/>
              </w:rPr>
              <w:t>$ (14,167,304)</w:t>
            </w:r>
          </w:p>
        </w:tc>
        <w:tc>
          <w:tcPr>
            <w:tcW w:w="30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10,469,160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2"/>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20" w:type="dxa"/>
            <w:vAlign w:val="bottom"/>
            <w:gridSpan w:val="12"/>
          </w:tcPr>
          <w:p>
            <w:pPr>
              <w:jc w:val="center"/>
              <w:ind w:right="140"/>
              <w:spacing w:after="0"/>
              <w:rPr>
                <w:sz w:val="20"/>
                <w:szCs w:val="20"/>
                <w:color w:val="auto"/>
              </w:rPr>
            </w:pPr>
            <w:r>
              <w:rPr>
                <w:rFonts w:ascii="Arial" w:cs="Arial" w:eastAsia="Arial" w:hAnsi="Arial"/>
                <w:sz w:val="13"/>
                <w:szCs w:val="13"/>
                <w:b w:val="1"/>
                <w:bCs w:val="1"/>
                <w:color w:val="auto"/>
                <w:w w:val="92"/>
              </w:rPr>
              <w:t>Three months ended December 31, 2011</w:t>
            </w:r>
          </w:p>
        </w:tc>
        <w:tc>
          <w:tcPr>
            <w:tcW w:w="0" w:type="dxa"/>
            <w:vAlign w:val="bottom"/>
          </w:tcPr>
          <w:p>
            <w:pPr>
              <w:spacing w:after="0"/>
              <w:rPr>
                <w:sz w:val="1"/>
                <w:szCs w:val="1"/>
                <w:color w:val="auto"/>
              </w:rPr>
            </w:pPr>
          </w:p>
        </w:tc>
      </w:tr>
      <w:tr>
        <w:trPr>
          <w:trHeight w:val="129"/>
        </w:trPr>
        <w:tc>
          <w:tcPr>
            <w:tcW w:w="60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Description</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Borders>
              <w:top w:val="single" w:sz="8" w:color="auto"/>
            </w:tcBorders>
            <w:gridSpan w:val="3"/>
          </w:tcPr>
          <w:p>
            <w:pPr>
              <w:jc w:val="right"/>
              <w:ind w:right="240"/>
              <w:spacing w:after="0" w:line="129" w:lineRule="exact"/>
              <w:rPr>
                <w:sz w:val="20"/>
                <w:szCs w:val="20"/>
                <w:color w:val="auto"/>
              </w:rPr>
            </w:pPr>
            <w:r>
              <w:rPr>
                <w:rFonts w:ascii="Arial" w:cs="Arial" w:eastAsia="Arial" w:hAnsi="Arial"/>
                <w:sz w:val="13"/>
                <w:szCs w:val="13"/>
                <w:b w:val="1"/>
                <w:bCs w:val="1"/>
                <w:color w:val="auto"/>
              </w:rPr>
              <w:t>Loan and debt</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rPr>
              <w:t>Equity</w:t>
            </w: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0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3"/>
          </w:tcPr>
          <w:p>
            <w:pPr>
              <w:jc w:val="right"/>
              <w:ind w:right="340"/>
              <w:spacing w:after="0" w:line="148" w:lineRule="exact"/>
              <w:rPr>
                <w:sz w:val="20"/>
                <w:szCs w:val="20"/>
                <w:color w:val="auto"/>
              </w:rPr>
            </w:pPr>
            <w:r>
              <w:rPr>
                <w:rFonts w:ascii="Arial" w:cs="Arial" w:eastAsia="Arial" w:hAnsi="Arial"/>
                <w:sz w:val="13"/>
                <w:szCs w:val="13"/>
                <w:b w:val="1"/>
                <w:bCs w:val="1"/>
                <w:color w:val="auto"/>
              </w:rPr>
              <w:t>investments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40"/>
              <w:spacing w:after="0" w:line="148" w:lineRule="exact"/>
              <w:rPr>
                <w:sz w:val="20"/>
                <w:szCs w:val="20"/>
                <w:color w:val="auto"/>
              </w:rPr>
            </w:pPr>
            <w:r>
              <w:rPr>
                <w:rFonts w:ascii="Arial" w:cs="Arial" w:eastAsia="Arial" w:hAnsi="Arial"/>
                <w:sz w:val="13"/>
                <w:szCs w:val="13"/>
                <w:b w:val="1"/>
                <w:bCs w:val="1"/>
                <w:color w:val="auto"/>
                <w:w w:val="89"/>
              </w:rPr>
              <w:t>investments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440"/>
              <w:spacing w:after="0" w:line="148" w:lineRule="exact"/>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2011</w:t>
            </w:r>
          </w:p>
        </w:tc>
        <w:tc>
          <w:tcPr>
            <w:tcW w:w="380" w:type="dxa"/>
            <w:vAlign w:val="bottom"/>
            <w:gridSpan w:val="2"/>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w w:val="85"/>
              </w:rPr>
              <w:t>$732,694,451</w:t>
            </w:r>
          </w:p>
        </w:tc>
        <w:tc>
          <w:tcPr>
            <w:tcW w:w="1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$52,353,328</w:t>
            </w:r>
          </w:p>
        </w:tc>
        <w:tc>
          <w:tcPr>
            <w:tcW w:w="300" w:type="dxa"/>
            <w:vAlign w:val="bottom"/>
            <w:tcBorders>
              <w:left w:val="single" w:sz="8" w:color="CCEEFF"/>
            </w:tcBorders>
            <w:shd w:val="clear" w:color="auto" w:fill="CCEEFF"/>
          </w:tcPr>
          <w:p>
            <w:pPr>
              <w:spacing w:after="0"/>
              <w:rPr>
                <w:sz w:val="17"/>
                <w:szCs w:val="17"/>
                <w:color w:val="auto"/>
              </w:rPr>
            </w:pPr>
          </w:p>
        </w:tc>
        <w:tc>
          <w:tcPr>
            <w:tcW w:w="260" w:type="dxa"/>
            <w:vAlign w:val="bottom"/>
            <w:gridSpan w:val="2"/>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$785,047,779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420"/>
              <w:spacing w:after="0"/>
              <w:rPr>
                <w:sz w:val="20"/>
                <w:szCs w:val="20"/>
                <w:color w:val="auto"/>
              </w:rPr>
            </w:pPr>
            <w:r>
              <w:rPr>
                <w:rFonts w:ascii="Arial" w:cs="Arial" w:eastAsia="Arial" w:hAnsi="Arial"/>
                <w:sz w:val="18"/>
                <w:szCs w:val="18"/>
                <w:color w:val="auto"/>
              </w:rPr>
              <w:t>Realized gains</w:t>
            </w:r>
          </w:p>
        </w:tc>
        <w:tc>
          <w:tcPr>
            <w:tcW w:w="1360" w:type="dxa"/>
            <w:vAlign w:val="bottom"/>
            <w:gridSpan w:val="4"/>
          </w:tcPr>
          <w:p>
            <w:pPr>
              <w:jc w:val="right"/>
              <w:ind w:right="20"/>
              <w:spacing w:after="0"/>
              <w:rPr>
                <w:sz w:val="20"/>
                <w:szCs w:val="20"/>
                <w:color w:val="auto"/>
              </w:rPr>
            </w:pPr>
            <w:r>
              <w:rPr>
                <w:rFonts w:ascii="Arial" w:cs="Arial" w:eastAsia="Arial" w:hAnsi="Arial"/>
                <w:sz w:val="18"/>
                <w:szCs w:val="18"/>
                <w:color w:val="auto"/>
              </w:rPr>
              <w:t>138,156</w:t>
            </w:r>
          </w:p>
        </w:tc>
        <w:tc>
          <w:tcPr>
            <w:tcW w:w="18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1,871,266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2,009,422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(depreciation) appreciation</w:t>
            </w:r>
          </w:p>
        </w:tc>
        <w:tc>
          <w:tcPr>
            <w:tcW w:w="15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(12,316,045)</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7,291,199</w:t>
            </w:r>
          </w:p>
        </w:tc>
        <w:tc>
          <w:tcPr>
            <w:tcW w:w="3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(5,024,846)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1360" w:type="dxa"/>
            <w:vAlign w:val="bottom"/>
            <w:gridSpan w:val="4"/>
          </w:tcPr>
          <w:p>
            <w:pPr>
              <w:jc w:val="right"/>
              <w:ind w:right="20"/>
              <w:spacing w:after="0"/>
              <w:rPr>
                <w:sz w:val="20"/>
                <w:szCs w:val="20"/>
                <w:color w:val="auto"/>
              </w:rPr>
            </w:pPr>
            <w:r>
              <w:rPr>
                <w:rFonts w:ascii="Arial" w:cs="Arial" w:eastAsia="Arial" w:hAnsi="Arial"/>
                <w:sz w:val="18"/>
                <w:szCs w:val="18"/>
                <w:color w:val="auto"/>
              </w:rPr>
              <w:t>38,620,573</w:t>
            </w:r>
          </w:p>
        </w:tc>
        <w:tc>
          <w:tcPr>
            <w:tcW w:w="18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3,924,515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42,545,088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w:t>
            </w:r>
          </w:p>
        </w:tc>
        <w:tc>
          <w:tcPr>
            <w:tcW w:w="15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(58,077,328)</w:t>
            </w:r>
          </w:p>
        </w:tc>
        <w:tc>
          <w:tcPr>
            <w:tcW w:w="14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(2,799,070)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(60,876,398)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420"/>
              <w:spacing w:after="0"/>
              <w:rPr>
                <w:sz w:val="20"/>
                <w:szCs w:val="20"/>
                <w:color w:val="auto"/>
              </w:rPr>
            </w:pPr>
            <w:r>
              <w:rPr>
                <w:rFonts w:ascii="Arial" w:cs="Arial" w:eastAsia="Arial" w:hAnsi="Arial"/>
                <w:sz w:val="18"/>
                <w:szCs w:val="18"/>
                <w:color w:val="auto"/>
              </w:rPr>
              <w:t>Transfers out of Level 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December 31, 2011</w:t>
            </w:r>
          </w:p>
        </w:tc>
        <w:tc>
          <w:tcPr>
            <w:tcW w:w="13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701,059,807</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62,641,238</w:t>
            </w:r>
          </w:p>
        </w:tc>
        <w:tc>
          <w:tcPr>
            <w:tcW w:w="300" w:type="dxa"/>
            <w:vAlign w:val="bottom"/>
            <w:tcBorders>
              <w:left w:val="single" w:sz="8" w:color="CCEEFF"/>
            </w:tcBorders>
            <w:shd w:val="clear" w:color="auto" w:fill="CCEEFF"/>
          </w:tcPr>
          <w:p>
            <w:pPr>
              <w:spacing w:after="0"/>
              <w:rPr>
                <w:sz w:val="18"/>
                <w:szCs w:val="18"/>
                <w:color w:val="auto"/>
              </w:rPr>
            </w:pP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763,701,045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gridSpan w:val="3"/>
            <w:vMerge w:val="restart"/>
          </w:tcPr>
          <w:p>
            <w:pPr>
              <w:spacing w:after="0"/>
              <w:rPr>
                <w:sz w:val="20"/>
                <w:szCs w:val="20"/>
                <w:color w:val="auto"/>
              </w:rPr>
            </w:pPr>
            <w:r>
              <w:rPr>
                <w:rFonts w:ascii="Arial" w:cs="Arial" w:eastAsia="Arial" w:hAnsi="Arial"/>
                <w:sz w:val="18"/>
                <w:szCs w:val="18"/>
                <w:color w:val="auto"/>
                <w:w w:val="90"/>
              </w:rPr>
              <w:t>Net change in unrealized (depreciation) appreciation reported within the net change</w:t>
            </w: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04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gridSpan w:val="3"/>
          </w:tcPr>
          <w:p>
            <w:pPr>
              <w:spacing w:after="0"/>
              <w:rPr>
                <w:sz w:val="20"/>
                <w:szCs w:val="20"/>
                <w:color w:val="auto"/>
              </w:rPr>
            </w:pPr>
            <w:r>
              <w:rPr>
                <w:rFonts w:ascii="Arial" w:cs="Arial" w:eastAsia="Arial" w:hAnsi="Arial"/>
                <w:sz w:val="18"/>
                <w:szCs w:val="18"/>
                <w:color w:val="auto"/>
              </w:rPr>
              <w:t>in unrealized appreciation on investments in our Consolidated Statement of</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40" w:type="dxa"/>
            <w:vAlign w:val="bottom"/>
            <w:gridSpan w:val="3"/>
          </w:tcPr>
          <w:p>
            <w:pPr>
              <w:spacing w:after="0"/>
              <w:rPr>
                <w:sz w:val="20"/>
                <w:szCs w:val="20"/>
                <w:color w:val="auto"/>
              </w:rPr>
            </w:pPr>
            <w:r>
              <w:rPr>
                <w:rFonts w:ascii="Arial" w:cs="Arial" w:eastAsia="Arial" w:hAnsi="Arial"/>
                <w:sz w:val="18"/>
                <w:szCs w:val="18"/>
                <w:color w:val="auto"/>
              </w:rPr>
              <w:t>Operations attributable to our Level 3 assets still held at the reporting date</w:t>
            </w:r>
          </w:p>
        </w:tc>
        <w:tc>
          <w:tcPr>
            <w:tcW w:w="1540" w:type="dxa"/>
            <w:vAlign w:val="bottom"/>
            <w:gridSpan w:val="5"/>
          </w:tcPr>
          <w:p>
            <w:pPr>
              <w:jc w:val="right"/>
              <w:ind w:right="140"/>
              <w:spacing w:after="0"/>
              <w:rPr>
                <w:sz w:val="20"/>
                <w:szCs w:val="20"/>
                <w:color w:val="auto"/>
              </w:rPr>
            </w:pPr>
            <w:r>
              <w:rPr>
                <w:rFonts w:ascii="Arial" w:cs="Arial" w:eastAsia="Arial" w:hAnsi="Arial"/>
                <w:sz w:val="18"/>
                <w:szCs w:val="18"/>
                <w:color w:val="auto"/>
              </w:rPr>
              <w:t>$  (9,350,312)</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$ 9,135,928</w:t>
            </w:r>
          </w:p>
        </w:tc>
        <w:tc>
          <w:tcPr>
            <w:tcW w:w="30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(214,384)</w:t>
            </w:r>
          </w:p>
        </w:tc>
        <w:tc>
          <w:tcPr>
            <w:tcW w:w="0" w:type="dxa"/>
            <w:vAlign w:val="bottom"/>
          </w:tcPr>
          <w:p>
            <w:pPr>
              <w:spacing w:after="0"/>
              <w:rPr>
                <w:sz w:val="1"/>
                <w:szCs w:val="1"/>
                <w:color w:val="auto"/>
              </w:rPr>
            </w:pPr>
          </w:p>
        </w:tc>
      </w:tr>
      <w:tr>
        <w:trPr>
          <w:trHeight w:val="20"/>
        </w:trPr>
        <w:tc>
          <w:tcPr>
            <w:tcW w:w="6040" w:type="dxa"/>
            <w:vAlign w:val="bottom"/>
            <w:gridSpan w:val="3"/>
            <w:vMerge w:val="restart"/>
          </w:tcPr>
          <w:p>
            <w:pPr>
              <w:ind w:left="508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04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320" w:top="459" w:right="6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49"/>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liabilities measured using significant unobservable inputs (Level 3). There were no temporary draws outstanding at December 31, 2012 or 2011.</w:t>
      </w:r>
    </w:p>
    <w:p>
      <w:pPr>
        <w:spacing w:after="0" w:line="168"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0" w:type="dxa"/>
            <w:vAlign w:val="bottom"/>
            <w:gridSpan w:val="6"/>
          </w:tcPr>
          <w:p>
            <w:pPr>
              <w:ind w:left="660"/>
              <w:spacing w:after="0"/>
              <w:rPr>
                <w:sz w:val="20"/>
                <w:szCs w:val="20"/>
                <w:color w:val="auto"/>
              </w:rPr>
            </w:pPr>
            <w:r>
              <w:rPr>
                <w:rFonts w:ascii="Arial" w:cs="Arial" w:eastAsia="Arial" w:hAnsi="Arial"/>
                <w:sz w:val="13"/>
                <w:szCs w:val="13"/>
                <w:b w:val="1"/>
                <w:bCs w:val="1"/>
                <w:color w:val="auto"/>
              </w:rPr>
              <w:t>Carrying / Fair Value</w:t>
            </w:r>
          </w:p>
        </w:tc>
        <w:tc>
          <w:tcPr>
            <w:tcW w:w="0" w:type="dxa"/>
            <w:vAlign w:val="bottom"/>
          </w:tcPr>
          <w:p>
            <w:pPr>
              <w:spacing w:after="0"/>
              <w:rPr>
                <w:sz w:val="1"/>
                <w:szCs w:val="1"/>
                <w:color w:val="auto"/>
              </w:rPr>
            </w:pPr>
          </w:p>
        </w:tc>
      </w:tr>
      <w:tr>
        <w:trPr>
          <w:trHeight w:val="142"/>
        </w:trPr>
        <w:tc>
          <w:tcPr>
            <w:tcW w:w="5580" w:type="dxa"/>
            <w:vAlign w:val="bottom"/>
            <w:vMerge w:val="restart"/>
          </w:tcPr>
          <w:p>
            <w:pPr>
              <w:spacing w:after="0"/>
              <w:rPr>
                <w:sz w:val="20"/>
                <w:szCs w:val="20"/>
                <w:color w:val="auto"/>
              </w:rPr>
            </w:pPr>
            <w:r>
              <w:rPr>
                <w:rFonts w:ascii="Arial" w:cs="Arial" w:eastAsia="Arial" w:hAnsi="Arial"/>
                <w:sz w:val="13"/>
                <w:szCs w:val="13"/>
                <w:b w:val="1"/>
                <w:bCs w:val="1"/>
                <w:color w:val="auto"/>
              </w:rPr>
              <w:t>Credit Facility</w:t>
            </w:r>
          </w:p>
        </w:tc>
        <w:tc>
          <w:tcPr>
            <w:tcW w:w="140" w:type="dxa"/>
            <w:vAlign w:val="bottom"/>
            <w:tcBorders>
              <w:top w:val="single" w:sz="8" w:color="auto"/>
              <w:bottom w:val="single" w:sz="8" w:color="auto"/>
            </w:tcBorders>
          </w:tcPr>
          <w:p>
            <w:pPr>
              <w:spacing w:after="0"/>
              <w:rPr>
                <w:sz w:val="12"/>
                <w:szCs w:val="12"/>
                <w:color w:val="auto"/>
              </w:rPr>
            </w:pPr>
          </w:p>
        </w:tc>
        <w:tc>
          <w:tcPr>
            <w:tcW w:w="2700" w:type="dxa"/>
            <w:vAlign w:val="bottom"/>
            <w:tcBorders>
              <w:top w:val="single" w:sz="8" w:color="auto"/>
              <w:bottom w:val="single" w:sz="8" w:color="auto"/>
            </w:tcBorders>
            <w:gridSpan w:val="5"/>
          </w:tcPr>
          <w:p>
            <w:pPr>
              <w:ind w:left="680"/>
              <w:spacing w:after="0" w:line="142" w:lineRule="exact"/>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80" w:type="dxa"/>
            <w:vAlign w:val="bottom"/>
            <w:vMerge w:val="continue"/>
          </w:tcPr>
          <w:p>
            <w:pPr>
              <w:spacing w:after="0"/>
              <w:rPr>
                <w:sz w:val="12"/>
                <w:szCs w:val="12"/>
                <w:color w:val="auto"/>
              </w:rPr>
            </w:pPr>
          </w:p>
        </w:tc>
        <w:tc>
          <w:tcPr>
            <w:tcW w:w="1460" w:type="dxa"/>
            <w:vAlign w:val="bottom"/>
            <w:gridSpan w:val="3"/>
          </w:tcPr>
          <w:p>
            <w:pPr>
              <w:spacing w:after="0" w:line="142" w:lineRule="exact"/>
              <w:rPr>
                <w:sz w:val="20"/>
                <w:szCs w:val="20"/>
                <w:color w:val="auto"/>
              </w:rPr>
            </w:pPr>
            <w:r>
              <w:rPr>
                <w:rFonts w:ascii="Arial" w:cs="Arial" w:eastAsia="Arial" w:hAnsi="Arial"/>
                <w:sz w:val="13"/>
                <w:szCs w:val="13"/>
                <w:b w:val="1"/>
                <w:bCs w:val="1"/>
                <w:color w:val="auto"/>
              </w:rPr>
              <w:t>December 31, 2012</w:t>
            </w:r>
          </w:p>
        </w:tc>
        <w:tc>
          <w:tcPr>
            <w:tcW w:w="280" w:type="dxa"/>
            <w:vAlign w:val="bottom"/>
          </w:tcPr>
          <w:p>
            <w:pPr>
              <w:spacing w:after="0"/>
              <w:rPr>
                <w:sz w:val="12"/>
                <w:szCs w:val="12"/>
                <w:color w:val="auto"/>
              </w:rPr>
            </w:pPr>
          </w:p>
        </w:tc>
        <w:tc>
          <w:tcPr>
            <w:tcW w:w="1100" w:type="dxa"/>
            <w:vAlign w:val="bottom"/>
            <w:gridSpan w:val="2"/>
          </w:tcPr>
          <w:p>
            <w:pPr>
              <w:ind w:left="20"/>
              <w:spacing w:after="0" w:line="142" w:lineRule="exact"/>
              <w:rPr>
                <w:sz w:val="20"/>
                <w:szCs w:val="20"/>
                <w:color w:val="auto"/>
              </w:rPr>
            </w:pPr>
            <w:r>
              <w:rPr>
                <w:rFonts w:ascii="Arial" w:cs="Arial" w:eastAsia="Arial" w:hAnsi="Arial"/>
                <w:sz w:val="13"/>
                <w:szCs w:val="13"/>
                <w:b w:val="1"/>
                <w:bCs w:val="1"/>
                <w:color w:val="auto"/>
                <w:w w:val="90"/>
              </w:rPr>
              <w:t>December 31, 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558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Beginning Balance (Cost – $109,500,000 and $240,900,000,</w:t>
            </w: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respectively)</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108,952,500</w:t>
            </w:r>
          </w:p>
        </w:tc>
        <w:tc>
          <w:tcPr>
            <w:tcW w:w="3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238,792,125</w:t>
            </w:r>
          </w:p>
        </w:tc>
        <w:tc>
          <w:tcPr>
            <w:tcW w:w="0" w:type="dxa"/>
            <w:vAlign w:val="bottom"/>
          </w:tcPr>
          <w:p>
            <w:pPr>
              <w:spacing w:after="0"/>
              <w:rPr>
                <w:sz w:val="1"/>
                <w:szCs w:val="1"/>
                <w:color w:val="auto"/>
              </w:rPr>
            </w:pP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color w:val="auto"/>
              </w:rPr>
              <w:t>Total unrealized appreciation included in earnings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547,500</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1,147,875</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Borrowings</w:t>
            </w:r>
            <w:r>
              <w:rPr>
                <w:rFonts w:ascii="Arial" w:cs="Arial" w:eastAsia="Arial" w:hAnsi="Arial"/>
                <w:sz w:val="11"/>
                <w:szCs w:val="11"/>
                <w:color w:val="auto"/>
              </w:rPr>
              <w:t>(1)</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215,800,000</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242,200,000</w:t>
            </w:r>
          </w:p>
        </w:tc>
        <w:tc>
          <w:tcPr>
            <w:tcW w:w="0" w:type="dxa"/>
            <w:vAlign w:val="bottom"/>
          </w:tcPr>
          <w:p>
            <w:pPr>
              <w:spacing w:after="0"/>
              <w:rPr>
                <w:sz w:val="1"/>
                <w:szCs w:val="1"/>
                <w:color w:val="auto"/>
              </w:rPr>
            </w:pP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color w:val="auto"/>
              </w:rPr>
              <w:t>Repayments</w:t>
            </w:r>
            <w:r>
              <w:rPr>
                <w:rFonts w:ascii="Arial" w:cs="Arial" w:eastAsia="Arial" w:hAnsi="Arial"/>
                <w:sz w:val="11"/>
                <w:szCs w:val="11"/>
                <w:color w:val="auto"/>
              </w:rPr>
              <w:t>(1)</w:t>
            </w:r>
          </w:p>
        </w:tc>
        <w:tc>
          <w:tcPr>
            <w:tcW w:w="14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(113,800,000)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(291,100,000)</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Transfers in and/or out of Level 3</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color w:val="auto"/>
              </w:rPr>
              <w:t>Ending Balance (Cost – $211,500,000 and 192,000,000, respectively)</w:t>
            </w: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8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211,500,000</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191,040,000</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1820" w:hanging="462"/>
        <w:spacing w:after="0"/>
        <w:tabs>
          <w:tab w:leader="none" w:pos="1820" w:val="left"/>
        </w:tabs>
        <w:numPr>
          <w:ilvl w:val="0"/>
          <w:numId w:val="7"/>
        </w:numPr>
        <w:rPr>
          <w:rFonts w:ascii="Arial" w:cs="Arial" w:eastAsia="Arial" w:hAnsi="Arial"/>
          <w:sz w:val="11"/>
          <w:szCs w:val="11"/>
          <w:color w:val="auto"/>
        </w:rPr>
      </w:pPr>
      <w:r>
        <w:rPr>
          <w:rFonts w:ascii="Arial" w:cs="Arial" w:eastAsia="Arial" w:hAnsi="Arial"/>
          <w:sz w:val="18"/>
          <w:szCs w:val="18"/>
          <w:color w:val="auto"/>
        </w:rPr>
        <w:t>Excludes temporary draws.</w:t>
      </w:r>
    </w:p>
    <w:p>
      <w:pPr>
        <w:spacing w:after="0" w:line="171" w:lineRule="exact"/>
        <w:rPr>
          <w:sz w:val="20"/>
          <w:szCs w:val="20"/>
          <w:color w:val="auto"/>
        </w:rPr>
      </w:pPr>
    </w:p>
    <w:p>
      <w:pPr>
        <w:ind w:right="140" w:firstLine="449"/>
        <w:spacing w:after="0" w:line="286" w:lineRule="auto"/>
        <w:rPr>
          <w:sz w:val="20"/>
          <w:szCs w:val="20"/>
          <w:color w:val="auto"/>
        </w:rPr>
      </w:pPr>
      <w:r>
        <w:rPr>
          <w:rFonts w:ascii="Arial" w:cs="Arial" w:eastAsia="Arial" w:hAnsi="Arial"/>
          <w:sz w:val="16"/>
          <w:szCs w:val="16"/>
          <w:color w:val="auto"/>
        </w:rPr>
        <w:t>We adopted ASC 825-10, which provides companies with an option to report selected financial assets and liabilities at fair value, and made an irrevocable election to apply ASC 825-10 to our Credit Facility. We elected to use the fair value option for the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on its earnings. ASC 825-10 also requires entities to display the fair value of the selected assets and liabilities on the face of the Consolidated Statement of Assets and Liabilities and changes in fair value of the Credit Facility are recorded in the Consolidated Statement of Operations. We elected not to apply ASC 825-10 to any other financial assets or liabilities, including the SBA debentures. For the three months ended December 31, 2012 and 2011, our Credit Facility had a net change in unrealized appreciation of $0.5 million and $1.1 million, respectively. As of December 31, 2012 and September 30, 2012, net unrealized depreciation on our Credit Facility totaled zero and $0.5 million, respectively. We use a nationally recognized independent valuation service to measure the fair value of our Credit Facility in a manner consistent with the valuation process that the board of directors uses to value our investments.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459"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TRANSACTIONS WITH AFFILIATED COMPANIES</w:t>
      </w:r>
    </w:p>
    <w:p>
      <w:pPr>
        <w:spacing w:after="0" w:line="96" w:lineRule="exact"/>
        <w:rPr>
          <w:sz w:val="20"/>
          <w:szCs w:val="20"/>
          <w:color w:val="auto"/>
        </w:rPr>
      </w:pPr>
    </w:p>
    <w:p>
      <w:pPr>
        <w:ind w:right="60" w:firstLine="449"/>
        <w:spacing w:after="0" w:line="256" w:lineRule="auto"/>
        <w:rPr>
          <w:sz w:val="20"/>
          <w:szCs w:val="20"/>
          <w:color w:val="auto"/>
        </w:rPr>
      </w:pPr>
      <w:r>
        <w:rPr>
          <w:rFonts w:ascii="Arial" w:cs="Arial" w:eastAsia="Arial" w:hAnsi="Arial"/>
          <w:sz w:val="18"/>
          <w:szCs w:val="18"/>
          <w:color w:val="auto"/>
        </w:rPr>
        <w:t>An affiliated company is a company in which we have ownership of 5% or more of the portfolio company’s voting securities. A controlled affiliate is a portfolio company in which we own more than 25% of its voting securities. Purchase of /Advances to and Sale of / Distributions from affiliates are included in the Consolidated Statement of Cash Flows as purchases and sales. Transactions related to our investments with both controlled and non-controlled affiliates for the three months ended December 31, 2012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ind w:right="58"/>
              <w:spacing w:after="0"/>
              <w:rPr>
                <w:sz w:val="20"/>
                <w:szCs w:val="20"/>
                <w:color w:val="auto"/>
              </w:rPr>
            </w:pPr>
            <w:r>
              <w:rPr>
                <w:rFonts w:ascii="Arial" w:cs="Arial" w:eastAsia="Arial" w:hAnsi="Arial"/>
                <w:sz w:val="13"/>
                <w:szCs w:val="13"/>
                <w:b w:val="1"/>
                <w:bCs w:val="1"/>
                <w:color w:val="auto"/>
                <w:w w:val="95"/>
              </w:rPr>
              <w:t>Fair Value at</w:t>
            </w:r>
          </w:p>
        </w:tc>
        <w:tc>
          <w:tcPr>
            <w:tcW w:w="3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3"/>
              </w:rPr>
              <w:t>Purchase of /</w:t>
            </w:r>
          </w:p>
        </w:tc>
        <w:tc>
          <w:tcPr>
            <w:tcW w:w="300" w:type="dxa"/>
            <w:vAlign w:val="bottom"/>
          </w:tcPr>
          <w:p>
            <w:pPr>
              <w:spacing w:after="0"/>
              <w:rPr>
                <w:sz w:val="13"/>
                <w:szCs w:val="13"/>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Sales of /</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5"/>
              </w:rPr>
              <w:t>Fair Value at</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40" w:type="dxa"/>
            <w:vAlign w:val="bottom"/>
            <w:vMerge w:val="restart"/>
          </w:tcPr>
          <w:p>
            <w:pPr>
              <w:spacing w:after="0"/>
              <w:rPr>
                <w:sz w:val="20"/>
                <w:szCs w:val="20"/>
                <w:color w:val="auto"/>
              </w:rPr>
            </w:pPr>
            <w:r>
              <w:rPr>
                <w:rFonts w:ascii="Arial" w:cs="Arial" w:eastAsia="Arial" w:hAnsi="Arial"/>
                <w:sz w:val="13"/>
                <w:szCs w:val="13"/>
                <w:b w:val="1"/>
                <w:bCs w:val="1"/>
                <w:color w:val="auto"/>
                <w:w w:val="98"/>
              </w:rPr>
              <w:t>Name of Investment</w:t>
            </w:r>
          </w:p>
        </w:tc>
        <w:tc>
          <w:tcPr>
            <w:tcW w:w="260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98"/>
              <w:spacing w:after="0"/>
              <w:rPr>
                <w:sz w:val="20"/>
                <w:szCs w:val="20"/>
                <w:color w:val="auto"/>
              </w:rPr>
            </w:pPr>
            <w:r>
              <w:rPr>
                <w:rFonts w:ascii="Arial" w:cs="Arial" w:eastAsia="Arial" w:hAnsi="Arial"/>
                <w:sz w:val="13"/>
                <w:szCs w:val="13"/>
                <w:b w:val="1"/>
                <w:bCs w:val="1"/>
                <w:color w:val="auto"/>
                <w:w w:val="92"/>
              </w:rPr>
              <w:t>September</w:t>
            </w:r>
          </w:p>
        </w:tc>
        <w:tc>
          <w:tcPr>
            <w:tcW w:w="30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3"/>
              </w:rPr>
              <w:t>Advances to</w:t>
            </w:r>
          </w:p>
        </w:tc>
        <w:tc>
          <w:tcPr>
            <w:tcW w:w="300" w:type="dxa"/>
            <w:vAlign w:val="bottom"/>
          </w:tcPr>
          <w:p>
            <w:pPr>
              <w:spacing w:after="0"/>
              <w:rPr>
                <w:sz w:val="12"/>
                <w:szCs w:val="12"/>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Distributions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Income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92"/>
              </w:rPr>
              <w:t>December</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240" w:type="dxa"/>
            <w:vAlign w:val="bottom"/>
            <w:tcBorders>
              <w:bottom w:val="single" w:sz="8" w:color="auto"/>
            </w:tcBorders>
            <w:vMerge w:val="continue"/>
          </w:tcPr>
          <w:p>
            <w:pPr>
              <w:spacing w:after="0"/>
              <w:rPr>
                <w:sz w:val="14"/>
                <w:szCs w:val="14"/>
                <w:color w:val="auto"/>
              </w:rPr>
            </w:pPr>
          </w:p>
        </w:tc>
        <w:tc>
          <w:tcPr>
            <w:tcW w:w="26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58"/>
              <w:spacing w:after="0" w:line="148" w:lineRule="exact"/>
              <w:rPr>
                <w:sz w:val="20"/>
                <w:szCs w:val="20"/>
                <w:color w:val="auto"/>
              </w:rPr>
            </w:pPr>
            <w:r>
              <w:rPr>
                <w:rFonts w:ascii="Arial" w:cs="Arial" w:eastAsia="Arial" w:hAnsi="Arial"/>
                <w:sz w:val="13"/>
                <w:szCs w:val="13"/>
                <w:b w:val="1"/>
                <w:bCs w:val="1"/>
                <w:color w:val="auto"/>
                <w:w w:val="90"/>
              </w:rPr>
              <w:t>30, 2012</w:t>
            </w:r>
          </w:p>
        </w:tc>
        <w:tc>
          <w:tcPr>
            <w:tcW w:w="300" w:type="dxa"/>
            <w:vAlign w:val="bottom"/>
          </w:tcPr>
          <w:p>
            <w:pPr>
              <w:spacing w:after="0"/>
              <w:rPr>
                <w:sz w:val="14"/>
                <w:szCs w:val="14"/>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4"/>
              </w:rPr>
              <w:t>Affiliates</w:t>
            </w:r>
          </w:p>
        </w:tc>
        <w:tc>
          <w:tcPr>
            <w:tcW w:w="300" w:type="dxa"/>
            <w:vAlign w:val="bottom"/>
          </w:tcPr>
          <w:p>
            <w:pPr>
              <w:spacing w:after="0"/>
              <w:rPr>
                <w:sz w:val="14"/>
                <w:szCs w:val="14"/>
                <w:color w:val="auto"/>
              </w:rPr>
            </w:pPr>
          </w:p>
        </w:tc>
        <w:tc>
          <w:tcPr>
            <w:tcW w:w="100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w w:val="93"/>
              </w:rPr>
              <w:t>from Affiliates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w w:val="91"/>
              </w:rPr>
              <w:t>Received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38"/>
              <w:spacing w:after="0" w:line="148" w:lineRule="exact"/>
              <w:rPr>
                <w:sz w:val="20"/>
                <w:szCs w:val="20"/>
                <w:color w:val="auto"/>
              </w:rPr>
            </w:pPr>
            <w:r>
              <w:rPr>
                <w:rFonts w:ascii="Arial" w:cs="Arial" w:eastAsia="Arial" w:hAnsi="Arial"/>
                <w:sz w:val="13"/>
                <w:szCs w:val="13"/>
                <w:b w:val="1"/>
                <w:bCs w:val="1"/>
                <w:color w:val="auto"/>
                <w:w w:val="90"/>
              </w:rPr>
              <w:t>31, 2012</w:t>
            </w:r>
          </w:p>
        </w:tc>
        <w:tc>
          <w:tcPr>
            <w:tcW w:w="300" w:type="dxa"/>
            <w:vAlign w:val="bottom"/>
          </w:tcPr>
          <w:p>
            <w:pPr>
              <w:spacing w:after="0"/>
              <w:rPr>
                <w:sz w:val="14"/>
                <w:szCs w:val="14"/>
                <w:color w:val="auto"/>
              </w:rPr>
            </w:pP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b w:val="1"/>
                <w:bCs w:val="1"/>
                <w:color w:val="auto"/>
              </w:rPr>
              <w:t>Capital Loss</w:t>
            </w:r>
          </w:p>
        </w:tc>
        <w:tc>
          <w:tcPr>
            <w:tcW w:w="0" w:type="dxa"/>
            <w:vAlign w:val="bottom"/>
          </w:tcPr>
          <w:p>
            <w:pPr>
              <w:spacing w:after="0"/>
              <w:rPr>
                <w:sz w:val="1"/>
                <w:szCs w:val="1"/>
                <w:color w:val="auto"/>
              </w:rPr>
            </w:pPr>
          </w:p>
        </w:tc>
      </w:tr>
      <w:tr>
        <w:trPr>
          <w:trHeight w:val="189"/>
        </w:trPr>
        <w:tc>
          <w:tcPr>
            <w:tcW w:w="38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Controlled Affiliates</w:t>
            </w:r>
          </w:p>
        </w:tc>
        <w:tc>
          <w:tcPr>
            <w:tcW w:w="3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SuttonPark Holdings, Inc.</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13,175,000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$1,000,000</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$ 1,500,000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484,167</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15,000,003</w:t>
            </w:r>
          </w:p>
        </w:tc>
        <w:tc>
          <w:tcPr>
            <w:tcW w:w="3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 Support Services, Inc.</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24,456,708</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700,000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24,316,802</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Non-Controlled Affiliates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DirectBuy Holdings, Inc.*</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10,880,000</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10,472,000</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(1,350,000)</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Envirosolutions, Inc.</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18,425,519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1,357,840</w:t>
            </w:r>
          </w:p>
        </w:tc>
        <w:tc>
          <w:tcPr>
            <w:tcW w:w="3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19,971,112</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Holdings, Inc.</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18,028,080</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428,771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18,126,835</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Service Champ, Inc.</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44,501,658</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741,667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45,101,739</w:t>
            </w:r>
          </w:p>
        </w:tc>
        <w:tc>
          <w:tcPr>
            <w:tcW w:w="3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7"/>
              </w:rPr>
              <w:t>Total Controlled and Non-Controlled Affiliates</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129,466,965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2,357,840</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$ 2,200,000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1,671,431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132,988,491</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(1,350,000)</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 Became a non-controlled affiliate during the period ended December 31, 2012.</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CHANGE IN NET ASSETS RESULTING FROM OPERATIONS PER COMMON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sets forth the computation of basic and diluted per share net increase in net assets resulting from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vMerge w:val="restart"/>
          </w:tcPr>
          <w:p>
            <w:pPr>
              <w:spacing w:after="0"/>
              <w:rPr>
                <w:sz w:val="20"/>
                <w:szCs w:val="20"/>
                <w:color w:val="auto"/>
              </w:rPr>
            </w:pPr>
            <w:r>
              <w:rPr>
                <w:rFonts w:ascii="Arial" w:cs="Arial" w:eastAsia="Arial" w:hAnsi="Arial"/>
                <w:sz w:val="13"/>
                <w:szCs w:val="13"/>
                <w:b w:val="1"/>
                <w:bCs w:val="1"/>
                <w:color w:val="auto"/>
                <w:w w:val="98"/>
              </w:rPr>
              <w:t>Class and Year</w:t>
            </w:r>
          </w:p>
        </w:tc>
        <w:tc>
          <w:tcPr>
            <w:tcW w:w="4580" w:type="dxa"/>
            <w:vAlign w:val="bottom"/>
            <w:vMerge w:val="restart"/>
          </w:tcPr>
          <w:p>
            <w:pPr>
              <w:spacing w:after="0"/>
              <w:rPr>
                <w:sz w:val="14"/>
                <w:szCs w:val="14"/>
                <w:color w:val="auto"/>
              </w:rPr>
            </w:pPr>
          </w:p>
        </w:tc>
        <w:tc>
          <w:tcPr>
            <w:tcW w:w="3420" w:type="dxa"/>
            <w:vAlign w:val="bottom"/>
          </w:tcPr>
          <w:p>
            <w:pPr>
              <w:spacing w:after="0"/>
              <w:rPr>
                <w:sz w:val="14"/>
                <w:szCs w:val="14"/>
                <w:color w:val="auto"/>
              </w:rPr>
            </w:pPr>
          </w:p>
        </w:tc>
        <w:tc>
          <w:tcPr>
            <w:tcW w:w="2300" w:type="dxa"/>
            <w:vAlign w:val="bottom"/>
            <w:gridSpan w:val="4"/>
          </w:tcPr>
          <w:p>
            <w:pPr>
              <w:ind w:left="80"/>
              <w:spacing w:after="0"/>
              <w:rPr>
                <w:sz w:val="20"/>
                <w:szCs w:val="20"/>
                <w:color w:val="auto"/>
              </w:rPr>
            </w:pPr>
            <w:r>
              <w:rPr>
                <w:rFonts w:ascii="Arial" w:cs="Arial" w:eastAsia="Arial" w:hAnsi="Arial"/>
                <w:sz w:val="13"/>
                <w:szCs w:val="13"/>
                <w:b w:val="1"/>
                <w:bCs w:val="1"/>
                <w:color w:val="auto"/>
              </w:rPr>
              <w:t>Three Months Ended December 31,</w:t>
            </w:r>
          </w:p>
        </w:tc>
        <w:tc>
          <w:tcPr>
            <w:tcW w:w="0" w:type="dxa"/>
            <w:vAlign w:val="bottom"/>
          </w:tcPr>
          <w:p>
            <w:pPr>
              <w:spacing w:after="0"/>
              <w:rPr>
                <w:sz w:val="1"/>
                <w:szCs w:val="1"/>
                <w:color w:val="auto"/>
              </w:rPr>
            </w:pPr>
          </w:p>
        </w:tc>
      </w:tr>
      <w:tr>
        <w:trPr>
          <w:trHeight w:val="149"/>
        </w:trPr>
        <w:tc>
          <w:tcPr>
            <w:tcW w:w="940" w:type="dxa"/>
            <w:vAlign w:val="bottom"/>
            <w:tcBorders>
              <w:bottom w:val="single" w:sz="8" w:color="auto"/>
            </w:tcBorders>
            <w:vMerge w:val="continue"/>
          </w:tcPr>
          <w:p>
            <w:pPr>
              <w:spacing w:after="0"/>
              <w:rPr>
                <w:sz w:val="12"/>
                <w:szCs w:val="12"/>
                <w:color w:val="auto"/>
              </w:rPr>
            </w:pPr>
          </w:p>
        </w:tc>
        <w:tc>
          <w:tcPr>
            <w:tcW w:w="4580" w:type="dxa"/>
            <w:vAlign w:val="bottom"/>
            <w:vMerge w:val="continue"/>
          </w:tcPr>
          <w:p>
            <w:pPr>
              <w:spacing w:after="0"/>
              <w:rPr>
                <w:sz w:val="12"/>
                <w:szCs w:val="12"/>
                <w:color w:val="auto"/>
              </w:rPr>
            </w:pPr>
          </w:p>
        </w:tc>
        <w:tc>
          <w:tcPr>
            <w:tcW w:w="3420" w:type="dxa"/>
            <w:vAlign w:val="bottom"/>
          </w:tcPr>
          <w:p>
            <w:pPr>
              <w:spacing w:after="0"/>
              <w:rPr>
                <w:sz w:val="12"/>
                <w:szCs w:val="12"/>
                <w:color w:val="auto"/>
              </w:rPr>
            </w:pPr>
          </w:p>
        </w:tc>
        <w:tc>
          <w:tcPr>
            <w:tcW w:w="940" w:type="dxa"/>
            <w:vAlign w:val="bottom"/>
            <w:tcBorders>
              <w:top w:val="single" w:sz="8" w:color="auto"/>
            </w:tcBorders>
          </w:tcPr>
          <w:p>
            <w:pPr>
              <w:jc w:val="right"/>
              <w:ind w:right="266"/>
              <w:spacing w:after="0" w:line="129" w:lineRule="exact"/>
              <w:rPr>
                <w:sz w:val="20"/>
                <w:szCs w:val="20"/>
                <w:color w:val="auto"/>
              </w:rPr>
            </w:pPr>
            <w:r>
              <w:rPr>
                <w:rFonts w:ascii="Arial" w:cs="Arial" w:eastAsia="Arial" w:hAnsi="Arial"/>
                <w:sz w:val="13"/>
                <w:szCs w:val="13"/>
                <w:b w:val="1"/>
                <w:bCs w:val="1"/>
                <w:color w:val="auto"/>
              </w:rPr>
              <w:t>2012</w:t>
            </w:r>
          </w:p>
        </w:tc>
        <w:tc>
          <w:tcPr>
            <w:tcW w:w="3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257"/>
              <w:spacing w:after="0" w:line="129" w:lineRule="exact"/>
              <w:rPr>
                <w:sz w:val="20"/>
                <w:szCs w:val="20"/>
                <w:color w:val="auto"/>
              </w:rPr>
            </w:pPr>
            <w:r>
              <w:rPr>
                <w:rFonts w:ascii="Arial" w:cs="Arial" w:eastAsia="Arial" w:hAnsi="Arial"/>
                <w:sz w:val="13"/>
                <w:szCs w:val="13"/>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5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Numerator for net increase in net assets resulting from operations</w:t>
            </w:r>
          </w:p>
        </w:tc>
        <w:tc>
          <w:tcPr>
            <w:tcW w:w="34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$ 28,541,186</w:t>
            </w:r>
          </w:p>
        </w:tc>
        <w:tc>
          <w:tcPr>
            <w:tcW w:w="3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$ 15,845,524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4360" w:type="dxa"/>
            <w:vAlign w:val="bottom"/>
            <w:gridSpan w:val="2"/>
          </w:tcPr>
          <w:p>
            <w:pPr>
              <w:jc w:val="right"/>
              <w:spacing w:after="0"/>
              <w:rPr>
                <w:sz w:val="20"/>
                <w:szCs w:val="20"/>
                <w:color w:val="auto"/>
              </w:rPr>
            </w:pPr>
            <w:r>
              <w:rPr>
                <w:rFonts w:ascii="Arial" w:cs="Arial" w:eastAsia="Arial" w:hAnsi="Arial"/>
                <w:sz w:val="18"/>
                <w:szCs w:val="18"/>
                <w:color w:val="auto"/>
              </w:rPr>
              <w:t>66,174,302</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45,689,781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7"/>
              </w:rPr>
              <w:t>Basic and diluted net increase in net assets resulting from operations per share</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9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420" w:type="dxa"/>
            <w:vAlign w:val="bottom"/>
          </w:tcPr>
          <w:p>
            <w:pPr>
              <w:jc w:val="right"/>
              <w:ind w:right="3132"/>
              <w:spacing w:after="0"/>
              <w:rPr>
                <w:sz w:val="20"/>
                <w:szCs w:val="20"/>
                <w:color w:val="auto"/>
              </w:rPr>
            </w:pPr>
            <w:r>
              <w:rPr>
                <w:rFonts w:ascii="Arial" w:cs="Arial" w:eastAsia="Arial" w:hAnsi="Arial"/>
                <w:sz w:val="18"/>
                <w:szCs w:val="18"/>
                <w:color w:val="auto"/>
                <w:w w:val="89"/>
              </w:rPr>
              <w:t>26</w:t>
            </w: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CASH EQUIVALENTS</w:t>
      </w:r>
    </w:p>
    <w:p>
      <w:pPr>
        <w:spacing w:after="0" w:line="96"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Cash equivalents represent cash pending investment in longer-term portfolio holdings and includes money market funds. Our portfolio may consist of temporary investments in U.S. Treasury Bills (of varying maturities), repurchase agreements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 end. We may accomplish this in several ways, including purchasing U.S. Treasury Bills and closing out our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December 31, 2012 and September 30, 2012, cash equivalents consisted of $31.3 million and $7.6 million,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FINANCIAL HIGHLIGHTS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are the financial highlights:</w:t>
      </w:r>
    </w:p>
    <w:p>
      <w:pPr>
        <w:spacing w:after="0" w:line="206" w:lineRule="exact"/>
        <w:rPr>
          <w:sz w:val="20"/>
          <w:szCs w:val="20"/>
          <w:color w:val="auto"/>
        </w:rPr>
      </w:pPr>
    </w:p>
    <w:tbl>
      <w:tblPr>
        <w:tblLayout w:type="fixed"/>
        <w:tblInd w:w="2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60" w:type="dxa"/>
            <w:vAlign w:val="bottom"/>
            <w:gridSpan w:val="5"/>
          </w:tcPr>
          <w:p>
            <w:pPr>
              <w:jc w:val="right"/>
              <w:ind w:right="1020"/>
              <w:spacing w:after="0"/>
              <w:rPr>
                <w:sz w:val="20"/>
                <w:szCs w:val="20"/>
                <w:color w:val="auto"/>
              </w:rPr>
            </w:pPr>
            <w:r>
              <w:rPr>
                <w:rFonts w:ascii="Arial" w:cs="Arial" w:eastAsia="Arial" w:hAnsi="Arial"/>
                <w:sz w:val="13"/>
                <w:szCs w:val="13"/>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December 31,</w:t>
            </w: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3"/>
                <w:szCs w:val="13"/>
                <w:b w:val="1"/>
                <w:bCs w:val="1"/>
                <w:color w:val="auto"/>
              </w:rPr>
              <w:t>2012</w:t>
            </w:r>
          </w:p>
        </w:tc>
        <w:tc>
          <w:tcPr>
            <w:tcW w:w="9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3"/>
                <w:szCs w:val="13"/>
                <w:b w:val="1"/>
                <w:bCs w:val="1"/>
                <w:color w:val="auto"/>
              </w:rPr>
              <w:t>2011</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10.22</w:t>
            </w:r>
          </w:p>
        </w:tc>
        <w:tc>
          <w:tcPr>
            <w:tcW w:w="9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1"/>
                <w:szCs w:val="11"/>
                <w:color w:val="auto"/>
              </w:rPr>
              <w:t>(1)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 xml:space="preserve">Net realized and unrealized gain </w:t>
            </w:r>
            <w:r>
              <w:rPr>
                <w:rFonts w:ascii="Arial" w:cs="Arial" w:eastAsia="Arial" w:hAnsi="Arial"/>
                <w:sz w:val="11"/>
                <w:szCs w:val="11"/>
                <w:color w:val="auto"/>
              </w:rPr>
              <w:t>(1)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0.16</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increase in net assets resulting from operations </w:t>
            </w:r>
            <w:r>
              <w:rPr>
                <w:rFonts w:ascii="Arial" w:cs="Arial" w:eastAsia="Arial" w:hAnsi="Arial"/>
                <w:sz w:val="11"/>
                <w:szCs w:val="11"/>
                <w:color w:val="auto"/>
              </w:rPr>
              <w:t>(1)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 xml:space="preserve">Distributions to stockholders </w:t>
            </w:r>
            <w:r>
              <w:rPr>
                <w:rFonts w:ascii="Arial" w:cs="Arial" w:eastAsia="Arial" w:hAnsi="Arial"/>
                <w:sz w:val="11"/>
                <w:szCs w:val="11"/>
                <w:color w:val="auto"/>
              </w:rPr>
              <w:t>(1), (2)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right"/>
              <w:ind w:right="773"/>
              <w:spacing w:after="0"/>
              <w:rPr>
                <w:sz w:val="20"/>
                <w:szCs w:val="20"/>
                <w:color w:val="auto"/>
              </w:rPr>
            </w:pPr>
            <w:r>
              <w:rPr>
                <w:rFonts w:ascii="Arial" w:cs="Arial" w:eastAsia="Arial" w:hAnsi="Arial"/>
                <w:sz w:val="18"/>
                <w:szCs w:val="18"/>
                <w:color w:val="auto"/>
              </w:rPr>
              <w:t>(0.28)</w:t>
            </w:r>
          </w:p>
        </w:tc>
        <w:tc>
          <w:tcPr>
            <w:tcW w:w="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end of period</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Per share market value, end of period</w:t>
            </w: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280" w:type="dxa"/>
            <w:vAlign w:val="bottom"/>
            <w:gridSpan w:val="2"/>
            <w:vMerge w:val="continue"/>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833"/>
              <w:spacing w:after="0"/>
              <w:rPr>
                <w:sz w:val="20"/>
                <w:szCs w:val="20"/>
                <w:color w:val="auto"/>
              </w:rPr>
            </w:pPr>
            <w:r>
              <w:rPr>
                <w:rFonts w:ascii="Arial" w:cs="Arial" w:eastAsia="Arial" w:hAnsi="Arial"/>
                <w:sz w:val="18"/>
                <w:szCs w:val="18"/>
                <w:color w:val="auto"/>
              </w:rPr>
              <w:t>11.00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return * </w:t>
            </w:r>
            <w:r>
              <w:rPr>
                <w:rFonts w:ascii="Arial" w:cs="Arial" w:eastAsia="Arial" w:hAnsi="Arial"/>
                <w:sz w:val="11"/>
                <w:szCs w:val="11"/>
                <w:color w:val="auto"/>
              </w:rPr>
              <w:t>(3)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693"/>
              <w:spacing w:after="0"/>
              <w:rPr>
                <w:sz w:val="20"/>
                <w:szCs w:val="20"/>
                <w:color w:val="auto"/>
              </w:rPr>
            </w:pPr>
            <w:r>
              <w:rPr>
                <w:rFonts w:ascii="Arial" w:cs="Arial" w:eastAsia="Arial" w:hAnsi="Arial"/>
                <w:sz w:val="18"/>
                <w:szCs w:val="18"/>
                <w:color w:val="auto"/>
              </w:rPr>
              <w:t>6.28%</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right"/>
              <w:ind w:right="833"/>
              <w:spacing w:after="0"/>
              <w:rPr>
                <w:sz w:val="20"/>
                <w:szCs w:val="20"/>
                <w:color w:val="auto"/>
              </w:rPr>
            </w:pPr>
            <w:r>
              <w:rPr>
                <w:rFonts w:ascii="Arial" w:cs="Arial" w:eastAsia="Arial" w:hAnsi="Arial"/>
                <w:sz w:val="18"/>
                <w:szCs w:val="18"/>
                <w:color w:val="auto"/>
                <w:w w:val="95"/>
              </w:rPr>
              <w:t>66,356,911</w:t>
            </w: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45,689,781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 / Supplemental Data:</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 xml:space="preserve">Ratio of operating expenses to average net assets </w:t>
            </w:r>
            <w:r>
              <w:rPr>
                <w:rFonts w:ascii="Arial" w:cs="Arial" w:eastAsia="Arial" w:hAnsi="Arial"/>
                <w:sz w:val="11"/>
                <w:szCs w:val="11"/>
                <w:color w:val="auto"/>
              </w:rPr>
              <w:t>(4)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right"/>
              <w:ind w:right="693"/>
              <w:spacing w:after="0"/>
              <w:rPr>
                <w:sz w:val="20"/>
                <w:szCs w:val="20"/>
                <w:color w:val="auto"/>
              </w:rPr>
            </w:pPr>
            <w:r>
              <w:rPr>
                <w:rFonts w:ascii="Arial" w:cs="Arial" w:eastAsia="Arial" w:hAnsi="Arial"/>
                <w:sz w:val="18"/>
                <w:szCs w:val="18"/>
                <w:color w:val="auto"/>
              </w:rPr>
              <w:t>6.79%</w:t>
            </w: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w w:val="92"/>
              </w:rPr>
              <w:t>Ratio of Credit Facility and SBA debentures related expenses to average net assets to average net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693"/>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Ratio of total expenses to average net assets</w:t>
            </w: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28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gridSpan w:val="2"/>
          </w:tcPr>
          <w:p>
            <w:pPr>
              <w:jc w:val="right"/>
              <w:ind w:right="693"/>
              <w:spacing w:after="0"/>
              <w:rPr>
                <w:sz w:val="20"/>
                <w:szCs w:val="20"/>
                <w:color w:val="auto"/>
              </w:rPr>
            </w:pPr>
            <w:r>
              <w:rPr>
                <w:rFonts w:ascii="Arial" w:cs="Arial" w:eastAsia="Arial" w:hAnsi="Arial"/>
                <w:sz w:val="18"/>
                <w:szCs w:val="18"/>
                <w:color w:val="auto"/>
              </w:rPr>
              <w:t>8.59%</w:t>
            </w:r>
          </w:p>
        </w:tc>
        <w:tc>
          <w:tcPr>
            <w:tcW w:w="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693"/>
              <w:spacing w:after="0"/>
              <w:rPr>
                <w:sz w:val="20"/>
                <w:szCs w:val="20"/>
                <w:color w:val="auto"/>
              </w:rPr>
            </w:pPr>
            <w:r>
              <w:rPr>
                <w:rFonts w:ascii="Arial" w:cs="Arial" w:eastAsia="Arial" w:hAnsi="Arial"/>
                <w:sz w:val="18"/>
                <w:szCs w:val="18"/>
                <w:color w:val="auto"/>
              </w:rPr>
              <w:t>10.57%</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688,502,421</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465,709,582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315,317,391</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360,666,304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 xml:space="preserve">Average debt per share </w:t>
            </w:r>
            <w:r>
              <w:rPr>
                <w:rFonts w:ascii="Arial" w:cs="Arial" w:eastAsia="Arial" w:hAnsi="Arial"/>
                <w:sz w:val="11"/>
                <w:szCs w:val="11"/>
                <w:color w:val="auto"/>
              </w:rPr>
              <w:t>(1)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4.76</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 ratio</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693"/>
              <w:spacing w:after="0"/>
              <w:rPr>
                <w:sz w:val="20"/>
                <w:szCs w:val="20"/>
                <w:color w:val="auto"/>
              </w:rPr>
            </w:pPr>
            <w:r>
              <w:rPr>
                <w:rFonts w:ascii="Arial" w:cs="Arial" w:eastAsia="Arial" w:hAnsi="Arial"/>
                <w:sz w:val="18"/>
                <w:szCs w:val="18"/>
                <w:color w:val="auto"/>
              </w:rPr>
              <w:t>42.97%</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12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20" w:lineRule="exact"/>
        <w:rPr>
          <w:sz w:val="20"/>
          <w:szCs w:val="20"/>
          <w:color w:val="auto"/>
        </w:rPr>
      </w:pPr>
    </w:p>
    <w:p>
      <w:pPr>
        <w:ind w:right="7520" w:firstLine="8"/>
        <w:spacing w:after="0" w:line="285" w:lineRule="auto"/>
        <w:tabs>
          <w:tab w:leader="none" w:pos="445" w:val="left"/>
        </w:tabs>
        <w:numPr>
          <w:ilvl w:val="0"/>
          <w:numId w:val="8"/>
        </w:numPr>
        <w:rPr>
          <w:rFonts w:ascii="Arial" w:cs="Arial" w:eastAsia="Arial" w:hAnsi="Arial"/>
          <w:sz w:val="16"/>
          <w:szCs w:val="16"/>
          <w:color w:val="auto"/>
        </w:rPr>
      </w:pPr>
      <w:r>
        <w:rPr>
          <w:rFonts w:ascii="Arial" w:cs="Arial" w:eastAsia="Arial" w:hAnsi="Arial"/>
          <w:sz w:val="16"/>
          <w:szCs w:val="16"/>
          <w:color w:val="auto"/>
        </w:rPr>
        <w:t>Not annualized for periods less than one year. ** Annualized for periods less than one year.</w:t>
      </w:r>
    </w:p>
    <w:p>
      <w:pPr>
        <w:spacing w:after="0" w:line="1"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Calculated based on the weighted average shares outstanding for the respective periods.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Determined based on taxable income calculated in accordance with income tax regulations, which may differ from amounts determined under GAAP.</w:t>
      </w:r>
    </w:p>
    <w:p>
      <w:pPr>
        <w:spacing w:after="0" w:line="32" w:lineRule="exact"/>
        <w:rPr>
          <w:rFonts w:ascii="Arial" w:cs="Arial" w:eastAsia="Arial" w:hAnsi="Arial"/>
          <w:sz w:val="16"/>
          <w:szCs w:val="16"/>
          <w:color w:val="auto"/>
        </w:rPr>
      </w:pPr>
    </w:p>
    <w:p>
      <w:pPr>
        <w:ind w:left="460" w:right="2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the change in market price per share during the period and takes into account dividends and distributions, if any, reinvested in accordance with our dividend reinvestment plan.</w:t>
      </w: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expenses exclude Credit Facility related costs.</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80"/>
          </w:cols>
          <w:pgMar w:left="320" w:top="459" w:right="3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240" w:right="7300" w:hanging="232"/>
        <w:spacing w:after="0" w:line="347" w:lineRule="auto"/>
        <w:tabs>
          <w:tab w:leader="none" w:pos="279"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CREDIT FACILITY AND SBA DEBENTURES </w:t>
      </w:r>
      <w:r>
        <w:rPr>
          <w:rFonts w:ascii="Arial" w:cs="Arial" w:eastAsia="Arial" w:hAnsi="Arial"/>
          <w:sz w:val="18"/>
          <w:szCs w:val="18"/>
          <w:b w:val="1"/>
          <w:bCs w:val="1"/>
          <w:i w:val="1"/>
          <w:iCs w:val="1"/>
          <w:color w:val="auto"/>
        </w:rPr>
        <w:t>Credit Facility</w:t>
      </w:r>
    </w:p>
    <w:p>
      <w:pPr>
        <w:spacing w:after="0" w:line="1" w:lineRule="exact"/>
        <w:rPr>
          <w:sz w:val="20"/>
          <w:szCs w:val="20"/>
          <w:color w:val="auto"/>
        </w:rPr>
      </w:pPr>
    </w:p>
    <w:p>
      <w:pPr>
        <w:ind w:right="60" w:firstLine="449"/>
        <w:spacing w:after="0" w:line="290" w:lineRule="auto"/>
        <w:rPr>
          <w:sz w:val="20"/>
          <w:szCs w:val="20"/>
          <w:color w:val="auto"/>
        </w:rPr>
      </w:pPr>
      <w:r>
        <w:rPr>
          <w:rFonts w:ascii="Arial" w:cs="Arial" w:eastAsia="Arial" w:hAnsi="Arial"/>
          <w:sz w:val="16"/>
          <w:szCs w:val="16"/>
          <w:color w:val="auto"/>
        </w:rPr>
        <w:t>On February 21, 2012, we amended and restated our multi-currency Credit Facility, which increased the size of the Credit Facility to $380 million, with certain lenders and SunTrust Bank, acting as administrative agent, and JPMorgan Chase Bank, N.A., acting as syndication agent for the lenders. As of December 31, 2012 and September 30, 2012, there was $211.5 million and $145.0 million (including a temporary draw of $35.5 million), respectively, in outstanding borrowings under the Credit Facility, with a weighted average interest rate at the time of 3.00% and 3.49%, exclusive of the fee on undrawn commitments of 0.50%. The Credit Facility is a four-year revolving facility, with a stated maturity date of February 21, 2016, with a one-year term-out period following its third year and pricing is set at 275 basis points over LIBOR. The Credit Facility is secured by substantially all of the assets of the Company excluding assets held by SBIC LP.</w:t>
      </w:r>
    </w:p>
    <w:p>
      <w:pPr>
        <w:spacing w:after="0" w:line="118" w:lineRule="exact"/>
        <w:rPr>
          <w:sz w:val="20"/>
          <w:szCs w:val="20"/>
          <w:color w:val="auto"/>
        </w:rPr>
      </w:pPr>
    </w:p>
    <w:p>
      <w:pPr>
        <w:ind w:right="80" w:firstLine="449"/>
        <w:spacing w:after="0" w:line="331" w:lineRule="auto"/>
        <w:rPr>
          <w:sz w:val="20"/>
          <w:szCs w:val="20"/>
          <w:color w:val="auto"/>
        </w:rPr>
      </w:pPr>
      <w:r>
        <w:rPr>
          <w:rFonts w:ascii="Arial" w:cs="Arial" w:eastAsia="Arial" w:hAnsi="Arial"/>
          <w:sz w:val="16"/>
          <w:szCs w:val="16"/>
          <w:color w:val="auto"/>
        </w:rPr>
        <w:t>In accordance with the 1940 Act, with certain limited exceptions, we are only allowed to borrow amounts such that we are in compliance with our asset coverage ratio after such borrowing, excluding SBA debentures, pursuant to exemptive relief from the SEC received in June 2011.</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SBA Debentures</w:t>
      </w:r>
    </w:p>
    <w:p>
      <w:pPr>
        <w:spacing w:after="0" w:line="90"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SBIC LP is able to borrow funds from the SBA against regulatory capital (which approximates equity capital) that is paid-in and is subject to customary regulatory requirements including an examination by the SBA. We have funded SBIC LP with $75.0 million of equity capital and had SBA debentures outstanding of $150.0 million as of December 31, 2012. We have funded SBIC II with $2.5 million of seed capital. SBA debentures are non-recourse to us, have a 10-year maturity, and may be prepaid at any time without penalty. The interest rate of SBA debentures is fixed at the time of issuance, often referred to as pooling, at a market-driven spread over 10-year U.S. Treasury Notes. SBA current regulations limit the amount that SBIC LP may borrow to a maximum of $150.0 million, which is up to twice its potential regulatory capital, and may borrow to a maximum of $225 million as part of a group of SBICs under common control. SBIC LP has accessed the maximum borrowing with its $75.0 million in regulatory capital.</w:t>
      </w:r>
    </w:p>
    <w:p>
      <w:pPr>
        <w:spacing w:after="0" w:line="118"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As of December 31, 2012, $150.0 million in debt commitments was fully drawn with a weighted average interest rate of 3.70%, exclusive of the 3.43% of upfront fees, which are amortized over the life of the loan (4.04% after upfront fees). Our fixed-rate SBA debentures as of both December 31, 2012 and September 30, 2012 were as follows:</w:t>
      </w:r>
    </w:p>
    <w:p>
      <w:pPr>
        <w:spacing w:after="0" w:line="161" w:lineRule="exact"/>
        <w:rPr>
          <w:sz w:val="20"/>
          <w:szCs w:val="20"/>
          <w:color w:val="auto"/>
        </w:rPr>
      </w:pPr>
    </w:p>
    <w:tbl>
      <w:tblPr>
        <w:tblLayout w:type="fixed"/>
        <w:tblInd w:w="1820" w:type="dxa"/>
        <w:tblCellMar>
          <w:top w:w="0" w:type="dxa"/>
          <w:left w:w="0" w:type="dxa"/>
          <w:bottom w:w="0" w:type="dxa"/>
          <w:right w:w="0" w:type="dxa"/>
        </w:tblCellMar>
      </w:tblPr>
      <w:tr>
        <w:trPr>
          <w:trHeight w:val="149"/>
        </w:trPr>
        <w:tc>
          <w:tcPr>
            <w:tcW w:w="8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6"/>
              </w:rPr>
              <w:t>Fixed All-in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Principal</w:t>
            </w:r>
          </w:p>
        </w:tc>
        <w:tc>
          <w:tcPr>
            <w:tcW w:w="0" w:type="dxa"/>
            <w:vAlign w:val="bottom"/>
          </w:tcPr>
          <w:p>
            <w:pPr>
              <w:spacing w:after="0"/>
              <w:rPr>
                <w:sz w:val="1"/>
                <w:szCs w:val="1"/>
                <w:color w:val="auto"/>
              </w:rPr>
            </w:pPr>
          </w:p>
        </w:tc>
      </w:tr>
      <w:tr>
        <w:trPr>
          <w:trHeight w:val="162"/>
        </w:trPr>
        <w:tc>
          <w:tcPr>
            <w:tcW w:w="8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0"/>
              </w:rPr>
              <w:t>Issuance Dates</w:t>
            </w:r>
          </w:p>
        </w:tc>
        <w:tc>
          <w:tcPr>
            <w:tcW w:w="1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20" w:type="dxa"/>
            <w:vAlign w:val="bottom"/>
          </w:tcPr>
          <w:p>
            <w:pPr>
              <w:ind w:left="380"/>
              <w:spacing w:after="0"/>
              <w:rPr>
                <w:sz w:val="20"/>
                <w:szCs w:val="20"/>
                <w:color w:val="auto"/>
              </w:rPr>
            </w:pPr>
            <w:r>
              <w:rPr>
                <w:rFonts w:ascii="Arial" w:cs="Arial" w:eastAsia="Arial" w:hAnsi="Arial"/>
                <w:sz w:val="13"/>
                <w:szCs w:val="13"/>
                <w:b w:val="1"/>
                <w:bCs w:val="1"/>
                <w:color w:val="auto"/>
              </w:rPr>
              <w:t>Maturity</w:t>
            </w:r>
          </w:p>
        </w:tc>
        <w:tc>
          <w:tcPr>
            <w:tcW w:w="1740" w:type="dxa"/>
            <w:vAlign w:val="bottom"/>
            <w:gridSpan w:val="3"/>
          </w:tcPr>
          <w:p>
            <w:pPr>
              <w:jc w:val="center"/>
              <w:spacing w:after="0" w:line="162" w:lineRule="exact"/>
              <w:rPr>
                <w:sz w:val="20"/>
                <w:szCs w:val="20"/>
                <w:color w:val="auto"/>
              </w:rPr>
            </w:pPr>
            <w:r>
              <w:rPr>
                <w:rFonts w:ascii="Arial" w:cs="Arial" w:eastAsia="Arial" w:hAnsi="Arial"/>
                <w:sz w:val="11"/>
                <w:szCs w:val="11"/>
                <w:b w:val="1"/>
                <w:bCs w:val="1"/>
                <w:color w:val="auto"/>
              </w:rPr>
              <w:t xml:space="preserve">Coupon Rate </w:t>
            </w:r>
            <w:r>
              <w:rPr>
                <w:rFonts w:ascii="Arial" w:cs="Arial" w:eastAsia="Arial" w:hAnsi="Arial"/>
                <w:sz w:val="18"/>
                <w:szCs w:val="18"/>
                <w:b w:val="1"/>
                <w:bCs w:val="1"/>
                <w:color w:val="auto"/>
                <w:vertAlign w:val="superscript"/>
              </w:rPr>
              <w:t>(1)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Balance</w:t>
            </w:r>
          </w:p>
        </w:tc>
        <w:tc>
          <w:tcPr>
            <w:tcW w:w="0" w:type="dxa"/>
            <w:vAlign w:val="bottom"/>
          </w:tcPr>
          <w:p>
            <w:pPr>
              <w:spacing w:after="0"/>
              <w:rPr>
                <w:sz w:val="1"/>
                <w:szCs w:val="1"/>
                <w:color w:val="auto"/>
              </w:rPr>
            </w:pPr>
          </w:p>
        </w:tc>
      </w:tr>
      <w:tr>
        <w:trPr>
          <w:trHeight w:val="20"/>
        </w:trPr>
        <w:tc>
          <w:tcPr>
            <w:tcW w:w="26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September 22, 2010</w:t>
            </w:r>
          </w:p>
        </w:tc>
        <w:tc>
          <w:tcPr>
            <w:tcW w:w="680" w:type="dxa"/>
            <w:vAlign w:val="bottom"/>
            <w:vMerge w:val="restart"/>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00" w:type="dxa"/>
            <w:vAlign w:val="bottom"/>
            <w:gridSpan w:val="2"/>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3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84"/>
              </w:rPr>
              <w:t>September 1, 2020</w:t>
            </w:r>
          </w:p>
        </w:tc>
        <w:tc>
          <w:tcPr>
            <w:tcW w:w="440" w:type="dxa"/>
            <w:vAlign w:val="bottom"/>
            <w:vMerge w:val="continue"/>
            <w:shd w:val="clear" w:color="auto" w:fill="CCEEFF"/>
          </w:tcPr>
          <w:p>
            <w:pPr>
              <w:spacing w:after="0"/>
              <w:rPr>
                <w:sz w:val="17"/>
                <w:szCs w:val="17"/>
                <w:color w:val="auto"/>
              </w:rPr>
            </w:pPr>
          </w:p>
        </w:tc>
        <w:tc>
          <w:tcPr>
            <w:tcW w:w="1300" w:type="dxa"/>
            <w:vAlign w:val="bottom"/>
            <w:gridSpan w:val="2"/>
            <w:shd w:val="clear" w:color="auto" w:fill="CCEEFF"/>
          </w:tcPr>
          <w:p>
            <w:pPr>
              <w:ind w:left="620"/>
              <w:spacing w:after="0" w:line="203" w:lineRule="exact"/>
              <w:rPr>
                <w:sz w:val="20"/>
                <w:szCs w:val="20"/>
                <w:color w:val="auto"/>
              </w:rPr>
            </w:pPr>
            <w:r>
              <w:rPr>
                <w:rFonts w:ascii="Arial" w:cs="Arial" w:eastAsia="Arial" w:hAnsi="Arial"/>
                <w:sz w:val="18"/>
                <w:szCs w:val="18"/>
                <w:color w:val="auto"/>
              </w:rPr>
              <w:t>3.50%</w:t>
            </w:r>
          </w:p>
        </w:tc>
        <w:tc>
          <w:tcPr>
            <w:tcW w:w="2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March 29, 2011</w:t>
            </w:r>
          </w:p>
        </w:tc>
        <w:tc>
          <w:tcPr>
            <w:tcW w:w="2000" w:type="dxa"/>
            <w:vAlign w:val="bottom"/>
            <w:gridSpan w:val="2"/>
          </w:tcPr>
          <w:p>
            <w:pPr>
              <w:ind w:left="680"/>
              <w:spacing w:after="0"/>
              <w:rPr>
                <w:sz w:val="20"/>
                <w:szCs w:val="20"/>
                <w:color w:val="auto"/>
              </w:rPr>
            </w:pPr>
            <w:r>
              <w:rPr>
                <w:rFonts w:ascii="Arial" w:cs="Arial" w:eastAsia="Arial" w:hAnsi="Arial"/>
                <w:sz w:val="18"/>
                <w:szCs w:val="18"/>
                <w:color w:val="auto"/>
              </w:rPr>
              <w:t>March 1, 2021</w:t>
            </w:r>
          </w:p>
        </w:tc>
        <w:tc>
          <w:tcPr>
            <w:tcW w:w="1380" w:type="dxa"/>
            <w:vAlign w:val="bottom"/>
            <w:gridSpan w:val="2"/>
          </w:tcPr>
          <w:p>
            <w:pPr>
              <w:ind w:left="1060"/>
              <w:spacing w:after="0"/>
              <w:rPr>
                <w:sz w:val="20"/>
                <w:szCs w:val="20"/>
                <w:color w:val="auto"/>
              </w:rPr>
            </w:pPr>
            <w:r>
              <w:rPr>
                <w:rFonts w:ascii="Arial" w:cs="Arial" w:eastAsia="Arial" w:hAnsi="Arial"/>
                <w:sz w:val="18"/>
                <w:szCs w:val="18"/>
                <w:color w:val="auto"/>
                <w:w w:val="85"/>
              </w:rPr>
              <w:t>4.46</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44,500,000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21, 2011</w:t>
            </w:r>
          </w:p>
        </w:tc>
        <w:tc>
          <w:tcPr>
            <w:tcW w:w="20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84"/>
              </w:rPr>
              <w:t>September 1, 2021</w:t>
            </w:r>
          </w:p>
        </w:tc>
        <w:tc>
          <w:tcPr>
            <w:tcW w:w="4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85"/>
              </w:rPr>
              <w:t>3.38</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105,000,000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00" w:type="dxa"/>
            <w:vAlign w:val="bottom"/>
            <w:gridSpan w:val="2"/>
          </w:tcPr>
          <w:p>
            <w:pPr>
              <w:spacing w:after="0"/>
              <w:rPr>
                <w:sz w:val="20"/>
                <w:szCs w:val="20"/>
                <w:color w:val="auto"/>
              </w:rPr>
            </w:pPr>
            <w:r>
              <w:rPr>
                <w:rFonts w:ascii="Arial" w:cs="Arial" w:eastAsia="Arial" w:hAnsi="Arial"/>
                <w:sz w:val="18"/>
                <w:szCs w:val="18"/>
                <w:color w:val="auto"/>
              </w:rPr>
              <w:t>Weighted average rate/total</w:t>
            </w:r>
          </w:p>
        </w:tc>
        <w:tc>
          <w:tcPr>
            <w:tcW w:w="6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gridSpan w:val="2"/>
          </w:tcPr>
          <w:p>
            <w:pPr>
              <w:ind w:left="620"/>
              <w:spacing w:after="0"/>
              <w:rPr>
                <w:sz w:val="20"/>
                <w:szCs w:val="20"/>
                <w:color w:val="auto"/>
              </w:rPr>
            </w:pPr>
            <w:r>
              <w:rPr>
                <w:rFonts w:ascii="Arial" w:cs="Arial" w:eastAsia="Arial" w:hAnsi="Arial"/>
                <w:sz w:val="18"/>
                <w:szCs w:val="18"/>
                <w:color w:val="auto"/>
              </w:rPr>
              <w:t>3.70%</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150,000,000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77470</wp:posOffset>
            </wp:positionV>
            <wp:extent cx="7112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51" w:lineRule="exact"/>
        <w:rPr>
          <w:sz w:val="20"/>
          <w:szCs w:val="20"/>
          <w:color w:val="auto"/>
        </w:rPr>
      </w:pPr>
    </w:p>
    <w:p>
      <w:pPr>
        <w:ind w:left="2240" w:hanging="437"/>
        <w:spacing w:after="0"/>
        <w:tabs>
          <w:tab w:leader="none" w:pos="2240" w:val="left"/>
        </w:tabs>
        <w:numPr>
          <w:ilvl w:val="0"/>
          <w:numId w:val="11"/>
        </w:numPr>
        <w:rPr>
          <w:rFonts w:ascii="Arial" w:cs="Arial" w:eastAsia="Arial" w:hAnsi="Arial"/>
          <w:sz w:val="22"/>
          <w:szCs w:val="22"/>
          <w:color w:val="auto"/>
          <w:vertAlign w:val="superscript"/>
        </w:rPr>
      </w:pPr>
      <w:r>
        <w:rPr>
          <w:rFonts w:ascii="Arial" w:cs="Arial" w:eastAsia="Arial" w:hAnsi="Arial"/>
          <w:sz w:val="13"/>
          <w:szCs w:val="13"/>
          <w:color w:val="auto"/>
        </w:rPr>
        <w:t>Excluding 3.43% of upfront fees.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80"/>
          </w:cols>
          <w:pgMar w:left="320" w:top="459" w:right="3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0" w:firstLine="449"/>
        <w:spacing w:after="0" w:line="290" w:lineRule="auto"/>
        <w:rPr>
          <w:sz w:val="20"/>
          <w:szCs w:val="20"/>
          <w:color w:val="auto"/>
        </w:rPr>
      </w:pPr>
      <w:r>
        <w:rPr>
          <w:rFonts w:ascii="Arial" w:cs="Arial" w:eastAsia="Arial" w:hAnsi="Arial"/>
          <w:sz w:val="16"/>
          <w:szCs w:val="16"/>
          <w:color w:val="auto"/>
        </w:rPr>
        <w:t>Under SBA regulations, SBIC LP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investing in certain industries, requiring capitalization thresholds and being subject to periodic audits and examinations of its financial statements that are prepared on a basis of accounting other than GAAP (for example, fair value, as defined under ASC 820, is not required to be used for assets or liabilities for such compliance reporting). If our SBIC subsidiary fails to comply with applicable SBA regulations the SBA could, depending on the severity of the violation, limit or prohibit its use of debentures, declare outstanding debentures immediately due and payable and/or limit it from making new investments. These actions by the SBA would, in turn, negatively affect us because SBIC LP is wholly owned by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96" w:lineRule="exact"/>
        <w:rPr>
          <w:sz w:val="20"/>
          <w:szCs w:val="20"/>
          <w:color w:val="auto"/>
        </w:rPr>
      </w:pPr>
    </w:p>
    <w:p>
      <w:pPr>
        <w:jc w:val="both"/>
        <w:ind w:right="300" w:firstLine="449"/>
        <w:spacing w:after="0" w:line="298" w:lineRule="auto"/>
        <w:rPr>
          <w:sz w:val="20"/>
          <w:szCs w:val="20"/>
          <w:color w:val="auto"/>
        </w:rPr>
      </w:pPr>
      <w:r>
        <w:rPr>
          <w:rFonts w:ascii="Arial" w:cs="Arial" w:eastAsia="Arial" w:hAnsi="Arial"/>
          <w:sz w:val="16"/>
          <w:szCs w:val="16"/>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96"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On January 22, 2013, we issued $67.5 million in aggregate principal amount of 6.25% senior notes due 2025 for net proceeds of $65.2 million (the “2025 Notes”) after underwriting discounts and offering costs. Interest on the 2025 Notes is paid quarterly on February 1, May 1, August 1 and November 1, at a rate of 6.25% per year, commencing on May 1, 2013. The 2025 Notes mature on February 1, 2025. We may redeem the Notes in whole or in part at any time or from time to time on or after February 1, 2016. The 2025 Notes are general, unsecured obligations and will rank equal in right of payment with all of our existing and future senior unsecured indebtedness. The proceeds from the sale of the 2025 Notes are being used to repay indebtedness owed under the Credit Facility, to invest in new or existing portfolio companies, or for other general corporate or strategic purposes.</w:t>
      </w:r>
    </w:p>
    <w:p>
      <w:pPr>
        <w:spacing w:after="0" w:line="120"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Effective January 24, 2013, our wholly-owned subsidiary, PennantPark SBIC II LP, received a license from the SBA to operate as an SBIC under the 1958 Act. As an SBIC, PennantPark SBIC II LP will be subject to a variety of regulations and oversight by the SBA concerning, among other things, the size and nature of the companies in which it may invest as well as the structure of those investments.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Subsidiaries</w:t>
      </w:r>
    </w:p>
    <w:p>
      <w:pPr>
        <w:spacing w:after="0" w:line="165" w:lineRule="exact"/>
        <w:rPr>
          <w:sz w:val="20"/>
          <w:szCs w:val="20"/>
          <w:color w:val="auto"/>
        </w:rPr>
      </w:pPr>
    </w:p>
    <w:p>
      <w:pPr>
        <w:ind w:right="380" w:firstLine="449"/>
        <w:spacing w:after="0" w:line="256" w:lineRule="auto"/>
        <w:rPr>
          <w:sz w:val="20"/>
          <w:szCs w:val="20"/>
          <w:color w:val="auto"/>
        </w:rPr>
      </w:pPr>
      <w:r>
        <w:rPr>
          <w:rFonts w:ascii="Arial" w:cs="Arial" w:eastAsia="Arial" w:hAnsi="Arial"/>
          <w:sz w:val="18"/>
          <w:szCs w:val="18"/>
          <w:color w:val="auto"/>
        </w:rPr>
        <w:t>We have reviewed the accompanying consolidated statement of assets and liabilities of PennantPark Investment Corporation and Subsidiaries (the “Company”), including the consolidated schedule of investments, as of December 31, 2012, and the consolidated statements of operations, changes in net assets, and cash flows for the three months ended December 31, 2012 and 2011. These consolidated financial statements are the responsibility of the Company’s management.</w:t>
      </w:r>
    </w:p>
    <w:p>
      <w:pPr>
        <w:spacing w:after="0" w:line="143"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We conducted our review in accordance with the standards of the Public Company Accounting Oversight Board (United States). A review of interim financial information consists principally of applying analytical procedures and making inquires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consolidated financial statements taken as a whole. Accordingly, we do not express such an opinion.</w:t>
      </w:r>
    </w:p>
    <w:p>
      <w:pPr>
        <w:spacing w:after="0" w:line="147" w:lineRule="exact"/>
        <w:rPr>
          <w:sz w:val="20"/>
          <w:szCs w:val="20"/>
          <w:color w:val="auto"/>
        </w:rPr>
      </w:pPr>
    </w:p>
    <w:p>
      <w:pPr>
        <w:ind w:right="140" w:firstLine="449"/>
        <w:spacing w:after="0" w:line="268" w:lineRule="auto"/>
        <w:rPr>
          <w:sz w:val="20"/>
          <w:szCs w:val="20"/>
          <w:color w:val="auto"/>
        </w:rPr>
      </w:pPr>
      <w:r>
        <w:rPr>
          <w:rFonts w:ascii="Arial" w:cs="Arial" w:eastAsia="Arial" w:hAnsi="Arial"/>
          <w:sz w:val="18"/>
          <w:szCs w:val="18"/>
          <w:color w:val="auto"/>
        </w:rPr>
        <w:t>Based on our review, we are not aware of any material modifications that should be made to the consolidated financial statements referred to above for them to be in conformity with U.S. generally accepted accounting principles.</w:t>
      </w:r>
    </w:p>
    <w:p>
      <w:pPr>
        <w:spacing w:after="0" w:line="132" w:lineRule="exact"/>
        <w:rPr>
          <w:sz w:val="20"/>
          <w:szCs w:val="20"/>
          <w:color w:val="auto"/>
        </w:rPr>
      </w:pPr>
    </w:p>
    <w:p>
      <w:pPr>
        <w:ind w:right="100" w:firstLine="449"/>
        <w:spacing w:after="0" w:line="298" w:lineRule="auto"/>
        <w:rPr>
          <w:sz w:val="20"/>
          <w:szCs w:val="20"/>
          <w:color w:val="auto"/>
        </w:rPr>
      </w:pPr>
      <w:r>
        <w:rPr>
          <w:rFonts w:ascii="Arial" w:cs="Arial" w:eastAsia="Arial" w:hAnsi="Arial"/>
          <w:sz w:val="16"/>
          <w:szCs w:val="16"/>
          <w:color w:val="auto"/>
        </w:rPr>
        <w:t>We have previously audited, in accordance with the standards of the Public Company Accounting Oversight Board (United States), the consolidated statement of assets and liabilities of PennantPark Investment Corporation and Subsidiaries, including the consolidated schedule of investments, as of September 30, 2012 and the related consolidated statement of operations, changes in net assets, and cash flows for the year then ended (not presented herein); and in our report dated November 14, 2012, we expressed an unqualified opinion on those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02945" cy="1797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2945" cy="17970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6, 2013</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80"/>
          </w:cols>
          <w:pgMar w:left="320" w:top="459" w:right="3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16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right="200" w:firstLine="449"/>
        <w:spacing w:after="0" w:line="298" w:lineRule="auto"/>
        <w:rPr>
          <w:sz w:val="20"/>
          <w:szCs w:val="20"/>
          <w:color w:val="auto"/>
        </w:rPr>
      </w:pPr>
      <w:r>
        <w:rPr>
          <w:rFonts w:ascii="Arial" w:cs="Arial" w:eastAsia="Arial" w:hAnsi="Arial"/>
          <w:sz w:val="16"/>
          <w:szCs w:val="16"/>
          <w:color w:val="auto"/>
        </w:rPr>
        <w:t>This Report, including Management’s Discussion and Analysis of Financial Condition and Results of Operations, contains statements that constitute forward-looking statements, which relate to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31" w:lineRule="exact"/>
        <w:rPr>
          <w:sz w:val="20"/>
          <w:szCs w:val="20"/>
          <w:color w:val="auto"/>
        </w:rPr>
      </w:pPr>
    </w:p>
    <w:p>
      <w:pPr>
        <w:ind w:left="880" w:hanging="31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 and our portfolio companies;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 and</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w:t>
      </w:r>
    </w:p>
    <w:p>
      <w:pPr>
        <w:spacing w:after="0" w:line="171"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w:t>
      </w:r>
    </w:p>
    <w:p>
      <w:pPr>
        <w:spacing w:after="0" w:line="140"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 looking statement in this Report should not be regarded as a representation by us that our plans and objectives will be achieved.</w:t>
      </w:r>
    </w:p>
    <w:p>
      <w:pPr>
        <w:spacing w:after="0" w:line="147" w:lineRule="exact"/>
        <w:rPr>
          <w:sz w:val="20"/>
          <w:szCs w:val="20"/>
          <w:color w:val="auto"/>
        </w:rPr>
      </w:pPr>
    </w:p>
    <w:p>
      <w:pPr>
        <w:ind w:right="160" w:firstLine="449"/>
        <w:spacing w:after="0" w:line="298" w:lineRule="auto"/>
        <w:rPr>
          <w:sz w:val="20"/>
          <w:szCs w:val="20"/>
          <w:color w:val="auto"/>
        </w:rPr>
      </w:pPr>
      <w:r>
        <w:rPr>
          <w:rFonts w:ascii="Arial" w:cs="Arial" w:eastAsia="Arial" w:hAnsi="Arial"/>
          <w:sz w:val="16"/>
          <w:szCs w:val="16"/>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12" w:lineRule="exact"/>
        <w:rPr>
          <w:sz w:val="20"/>
          <w:szCs w:val="20"/>
          <w:color w:val="auto"/>
        </w:rPr>
      </w:pPr>
    </w:p>
    <w:p>
      <w:pPr>
        <w:jc w:val="both"/>
        <w:ind w:right="20" w:firstLine="449"/>
        <w:spacing w:after="0" w:line="259" w:lineRule="auto"/>
        <w:rPr>
          <w:sz w:val="20"/>
          <w:szCs w:val="20"/>
          <w:color w:val="auto"/>
        </w:rPr>
      </w:pPr>
      <w:r>
        <w:rPr>
          <w:rFonts w:ascii="Arial" w:cs="Arial" w:eastAsia="Arial" w:hAnsi="Arial"/>
          <w:sz w:val="18"/>
          <w:szCs w:val="18"/>
          <w:color w:val="auto"/>
        </w:rPr>
        <w:t>You should understand that under Section 27A(b)(2)(B) of the Securities Act of 1933, as amended, or the Securities Act, and Section 21E(b)(2)(B) of the Securities Exchange Act of 1934, as amended, or the Exchange Act, the “safe harbor” provisions of the Private Securities Litigation Reform Act of 1995 do not apply to statements made in periodic reports we file under the Exchange Act.</w:t>
      </w:r>
    </w:p>
    <w:p>
      <w:pPr>
        <w:spacing w:after="0" w:line="140" w:lineRule="exact"/>
        <w:rPr>
          <w:sz w:val="20"/>
          <w:szCs w:val="20"/>
          <w:color w:val="auto"/>
        </w:rPr>
      </w:pPr>
    </w:p>
    <w:p>
      <w:pPr>
        <w:ind w:right="40" w:firstLine="449"/>
        <w:spacing w:after="0" w:line="268" w:lineRule="auto"/>
        <w:rPr>
          <w:sz w:val="20"/>
          <w:szCs w:val="20"/>
          <w:color w:val="auto"/>
        </w:rPr>
      </w:pPr>
      <w:r>
        <w:rPr>
          <w:rFonts w:ascii="Arial" w:cs="Arial" w:eastAsia="Arial" w:hAnsi="Arial"/>
          <w:sz w:val="18"/>
          <w:szCs w:val="18"/>
          <w:color w:val="auto"/>
        </w:rPr>
        <w:t>The following analysis of our financial condition and results of operations should be read in conjunction with our Consolidated Financial Statements and the related notes thereto contained elsewhere in this Report.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459"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280" w:firstLine="449"/>
        <w:spacing w:after="0" w:line="369" w:lineRule="auto"/>
        <w:rPr>
          <w:sz w:val="20"/>
          <w:szCs w:val="20"/>
          <w:color w:val="auto"/>
        </w:rPr>
      </w:pPr>
      <w:r>
        <w:rPr>
          <w:rFonts w:ascii="Arial" w:cs="Arial" w:eastAsia="Arial" w:hAnsi="Arial"/>
          <w:sz w:val="15"/>
          <w:szCs w:val="15"/>
          <w:color w:val="auto"/>
        </w:rPr>
        <w:t>PennantPark Investment Corporation is a BDC whose objectives are to generate both current income and capital appreciation through debt and equity investments primarily in U.S. middle-market companies in the form of senior secured loans, mezzanine debt and, to a lesser extent, equity investments.</w:t>
      </w:r>
    </w:p>
    <w:p>
      <w:pPr>
        <w:spacing w:after="0" w:line="64"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We believe the middle-market offers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use the term “middle-market” to refer to companies with annual revenues between $50 million and $1 billion.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118" w:lineRule="exact"/>
        <w:rPr>
          <w:sz w:val="20"/>
          <w:szCs w:val="20"/>
          <w:color w:val="auto"/>
        </w:rPr>
      </w:pPr>
    </w:p>
    <w:p>
      <w:pPr>
        <w:ind w:right="60" w:firstLine="449"/>
        <w:spacing w:after="0" w:line="256"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the SBA debentures, proceeds from the rotation of our portfolio and proceeds from public and private offerings of securities to finance our investment objectives.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Structure of PennantPark Investment Corporation</w:t>
      </w:r>
    </w:p>
    <w:p>
      <w:pPr>
        <w:spacing w:after="0" w:line="90" w:lineRule="exact"/>
        <w:rPr>
          <w:sz w:val="20"/>
          <w:szCs w:val="20"/>
          <w:color w:val="auto"/>
        </w:rPr>
      </w:pPr>
    </w:p>
    <w:p>
      <w:pPr>
        <w:ind w:right="40" w:firstLine="449"/>
        <w:spacing w:after="0" w:line="253" w:lineRule="auto"/>
        <w:rPr>
          <w:sz w:val="20"/>
          <w:szCs w:val="20"/>
          <w:color w:val="auto"/>
        </w:rPr>
      </w:pPr>
      <w:r>
        <w:rPr>
          <w:rFonts w:ascii="Arial" w:cs="Arial" w:eastAsia="Arial" w:hAnsi="Arial"/>
          <w:sz w:val="18"/>
          <w:szCs w:val="18"/>
          <w:color w:val="auto"/>
        </w:rPr>
        <w:t>PennantPark Investment Corporation was organized under the Maryland General Corporation Law in January 2007. We are a closed-end, externally managed, non-diversified investment company that has elected to be treated as a BDC under the Investment Company Act of 1940, as amended, or the 1940 Act. As such, we are required to comply with certain regulatory requirements. For instance, we generally have to hold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 In addition, for federal income tax purposes we intend to continue to be treated as a regulated investment company, or RIC, and qualify annually under the Internal Revenue Code of 1986, as amended, or the Code.</w:t>
      </w:r>
    </w:p>
    <w:p>
      <w:pPr>
        <w:spacing w:after="0" w:line="147" w:lineRule="exact"/>
        <w:rPr>
          <w:sz w:val="20"/>
          <w:szCs w:val="20"/>
          <w:color w:val="auto"/>
        </w:rPr>
      </w:pPr>
    </w:p>
    <w:p>
      <w:pPr>
        <w:ind w:right="100" w:firstLine="449"/>
        <w:spacing w:after="0" w:line="298" w:lineRule="auto"/>
        <w:rPr>
          <w:sz w:val="20"/>
          <w:szCs w:val="20"/>
          <w:color w:val="auto"/>
        </w:rPr>
      </w:pPr>
      <w:r>
        <w:rPr>
          <w:rFonts w:ascii="Arial" w:cs="Arial" w:eastAsia="Arial" w:hAnsi="Arial"/>
          <w:sz w:val="16"/>
          <w:szCs w:val="16"/>
          <w:color w:val="auto"/>
        </w:rPr>
        <w:t>Our wholly owned subsidiaries, SBIC LP and SBIC II, were organized as Delaware limited partnerships in May 2010 and July 2012, respectively. SBIC LP received a license from the SBA to operate as an SBIC, under Section 301(c) of the Small Business Investment Act of 1958, as amended, or the 1958 Act, in July 2010.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112"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Our investment activities are managed by the Investment Adviser. Under our investment management agreement with the Investment Adviser, or the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our SBIC Funds under their investment management agreements. Our SBIC Funds investment management agreements do not affect the management and incentive fees on a consolidated basis. We have also entered into an administrative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our SBIC Funds under their administration agreements with us. Our board of directors, a majority of whom are independent of us, supervises our activities, and the Investment Adviser manages our day-to-day activities.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459"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90"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distributions, if any, on investment securities that we may acquire in portfolio companies. Our debt investments, whether in the form of senior secured loans or mezzanine debt, typically have a term of three to ten years and bear interest at a fixed or floating rate. Interest on debt securities is generally payable quarterly or semiannually. In some cases, some of our investments provide for deferred interest payments and payment-in-kind, or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original issue discount, or OID, and market discount or premium are capitalized, and we accrete or amortize such amounts as income. We record prepayment penalties on loans and debt securities as income. Dividend income, if any, is recognized on an accrual basis on the ex-dividend date to the extent that we expect to collect such amounts.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right="140" w:firstLine="449"/>
        <w:spacing w:after="0" w:line="254" w:lineRule="auto"/>
        <w:rPr>
          <w:sz w:val="20"/>
          <w:szCs w:val="20"/>
          <w:color w:val="auto"/>
        </w:rPr>
      </w:pPr>
      <w:r>
        <w:rPr>
          <w:rFonts w:ascii="Arial" w:cs="Arial" w:eastAsia="Arial" w:hAnsi="Arial"/>
          <w:sz w:val="18"/>
          <w:szCs w:val="18"/>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commitments we accrue under our Credit Facility and SBA debentures. We bear all other direct or indirect costs and expenses of our operations and transactions, including:</w:t>
      </w:r>
    </w:p>
    <w:p>
      <w:pPr>
        <w:spacing w:after="0" w:line="66" w:lineRule="exact"/>
        <w:rPr>
          <w:sz w:val="20"/>
          <w:szCs w:val="20"/>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880" w:right="460" w:hanging="319"/>
        <w:spacing w:after="0" w:line="268"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complimentary businesses;</w:t>
      </w:r>
    </w:p>
    <w:p>
      <w:pPr>
        <w:spacing w:after="0" w:line="5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880" w:right="140" w:hanging="319"/>
        <w:spacing w:after="0" w:line="268"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associated with our reporting and compliance obligations under the 1940 Act, the 1958 Act and applicable federal and state securities laws; and</w:t>
      </w:r>
    </w:p>
    <w:p>
      <w:pPr>
        <w:spacing w:after="0" w:line="50" w:lineRule="exact"/>
        <w:rPr>
          <w:rFonts w:ascii="Arial" w:cs="Arial" w:eastAsia="Arial" w:hAnsi="Arial"/>
          <w:sz w:val="18"/>
          <w:szCs w:val="18"/>
          <w:color w:val="auto"/>
        </w:rPr>
      </w:pPr>
    </w:p>
    <w:p>
      <w:pPr>
        <w:ind w:left="880" w:right="100" w:hanging="319"/>
        <w:spacing w:after="0" w:line="256"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43"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320" w:top="459" w:right="3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right="20" w:firstLine="449"/>
        <w:spacing w:after="0" w:line="294" w:lineRule="auto"/>
        <w:rPr>
          <w:sz w:val="20"/>
          <w:szCs w:val="20"/>
          <w:color w:val="auto"/>
        </w:rPr>
      </w:pPr>
      <w:r>
        <w:rPr>
          <w:rFonts w:ascii="Arial" w:cs="Arial" w:eastAsia="Arial" w:hAnsi="Arial"/>
          <w:sz w:val="16"/>
          <w:szCs w:val="16"/>
          <w:color w:val="auto"/>
        </w:rPr>
        <w:t>As of December 31, 2012, our portfolio totaled $1,064.4 million and consisted of $312.7 million of senior secured loans, $212.8 million of second lien secured debt, $411.0 million of subordinated debt and $127.9 million of preferred and common equity investments. Our debt portfolio consisted of 66% fixed-rate and 34% variable-rate investments (including 29% with a London Interbank Offered Rate, or LIBOR, or prime floor). Our overall portfolio consisted of 56 companies with an average investment size of $19.0 million, a weighted average yield on debt investments of 13.3%, and was invested 29% in senior secured loans, 20% in second lien secured debt, 39% in subordinated debt and 12% in preferred and common equity investments.</w:t>
      </w:r>
    </w:p>
    <w:p>
      <w:pPr>
        <w:spacing w:after="0" w:line="115"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As of September 30, 2012, our portfolio totaled $990.5 million consisted of $291.7 million of senior secured loans, $191.3 million of second lien secured debt, $400.7 million of subordinated debt and $106.8 million of preferred and common equity investments. Our debt portfolio consisted of 69% fixed-rate and 31% variable-rate investments (including 26% with a LIBOR or prime floor). As of September 30, 2012, we had one non-accrual debt investment, representing 3.2% and 1.1% of our overall portfolio on a cost and fair value basis, respectively. Our overall portfolio consisted of 54 companies with an average investment size of $18.3 million, had a weighted average yield on debt investments of 13.2%, and was invested 30% in senior secured loans, 19% in second lien secured debt, 40% in subordinated debt and 11% in preferred and common equity investments.</w:t>
      </w:r>
    </w:p>
    <w:p>
      <w:pPr>
        <w:spacing w:after="0" w:line="120" w:lineRule="exact"/>
        <w:rPr>
          <w:sz w:val="20"/>
          <w:szCs w:val="20"/>
          <w:color w:val="auto"/>
        </w:rPr>
      </w:pPr>
    </w:p>
    <w:p>
      <w:pPr>
        <w:ind w:right="40" w:firstLine="449"/>
        <w:spacing w:after="0" w:line="331" w:lineRule="auto"/>
        <w:rPr>
          <w:sz w:val="20"/>
          <w:szCs w:val="20"/>
          <w:color w:val="auto"/>
        </w:rPr>
      </w:pPr>
      <w:r>
        <w:rPr>
          <w:rFonts w:ascii="Arial" w:cs="Arial" w:eastAsia="Arial" w:hAnsi="Arial"/>
          <w:sz w:val="16"/>
          <w:szCs w:val="16"/>
          <w:color w:val="auto"/>
        </w:rPr>
        <w:t>For the three months ended December 31, 2012, we invested $168.4 million in five new and seven existing portfolio companies with a weighted average yield on debt investments of 12.7%. Sales and repayments of investments for the three months ended December 31, 2012 totaled $110.8 million.</w:t>
      </w:r>
    </w:p>
    <w:p>
      <w:pPr>
        <w:spacing w:after="0" w:line="87"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For the three months ended December 31, 2011, we invested $43.0 million in one new portfolio company and seven existing portfolio companies with a weighted average yield on debt investments of 16.4%. Sales and repayments of investments for the three months ended December 31, 2011 totaled $69.3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The discussion of our financial condition and results of operations is based upon our Consolidated Financial Statements, which have been prepared in accordance with U.S. generally accepted accounting principles, or GAAP. The preparation of these Consolidated Financial Statements requires management to make estimates and assumptions that affect the reported amounts of assets, liabilities, revenues and expenses during the reporting period. Actual results could differ from these estimates. We may reclassify certain prior period amounts to conform to the current period presentation. We have eliminated all intercompany balances and transactions. References to the Accounting Standards Codification, or ASC, serve as a single source of literature. Subsequent events are evaluated and disclosed as appropriate for events occurring through the date the Consolidated Financial Statements are issued. Changes in the economic environment, financial markets and any other parameters used in determining such estimates could cause actual results to differ. In addition to the discussion below, we describe our critical accounting policies in the notes to our Consolidated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90"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Our investments generally consist of illiquid securities, including debt and equity investments. 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by a principal market maker or a primary market dealer.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 in the absence of any unusual events that may indicate such basis for deriving fair value is no longer valid.</w:t>
      </w:r>
    </w:p>
    <w:p>
      <w:pPr>
        <w:spacing w:after="0" w:line="118" w:lineRule="exact"/>
        <w:rPr>
          <w:sz w:val="20"/>
          <w:szCs w:val="20"/>
          <w:color w:val="auto"/>
        </w:rPr>
      </w:pPr>
    </w:p>
    <w:p>
      <w:pPr>
        <w:ind w:right="40" w:firstLine="449"/>
        <w:spacing w:after="0" w:line="288" w:lineRule="auto"/>
        <w:rPr>
          <w:sz w:val="20"/>
          <w:szCs w:val="20"/>
          <w:color w:val="auto"/>
        </w:rPr>
      </w:pPr>
      <w:r>
        <w:rPr>
          <w:rFonts w:ascii="Arial" w:cs="Arial" w:eastAsia="Arial" w:hAnsi="Arial"/>
          <w:sz w:val="16"/>
          <w:szCs w:val="16"/>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differ from our valuation and the differences could be material.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459" w:right="3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260" w:firstLine="449"/>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280" w:hanging="447"/>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7"/>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20" w:hanging="447"/>
        <w:spacing w:after="0" w:line="25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61" w:lineRule="exact"/>
        <w:rPr>
          <w:rFonts w:ascii="Arial" w:cs="Arial" w:eastAsia="Arial" w:hAnsi="Arial"/>
          <w:sz w:val="18"/>
          <w:szCs w:val="18"/>
          <w:color w:val="auto"/>
        </w:rPr>
      </w:pPr>
    </w:p>
    <w:p>
      <w:pPr>
        <w:ind w:left="900" w:hanging="447"/>
        <w:spacing w:after="0" w:line="331"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and responds and supplements the valuation recommendations of the independent valuation firms to reflect any comments; and</w:t>
      </w:r>
    </w:p>
    <w:p>
      <w:pPr>
        <w:spacing w:after="0" w:line="5" w:lineRule="exact"/>
        <w:rPr>
          <w:rFonts w:ascii="Arial" w:cs="Arial" w:eastAsia="Arial" w:hAnsi="Arial"/>
          <w:sz w:val="16"/>
          <w:szCs w:val="16"/>
          <w:color w:val="auto"/>
        </w:rPr>
      </w:pPr>
    </w:p>
    <w:p>
      <w:pPr>
        <w:ind w:left="900" w:right="180" w:hanging="447"/>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determines the fair value of each investment in our portfolio in good faith, based on the input of our Investment Adviser, the independent valuation firms and the audit committee.</w:t>
      </w:r>
    </w:p>
    <w:p>
      <w:pPr>
        <w:spacing w:after="0" w:line="132"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212" w:lineRule="exact"/>
        <w:rPr>
          <w:sz w:val="20"/>
          <w:szCs w:val="20"/>
          <w:color w:val="auto"/>
        </w:rPr>
      </w:pPr>
    </w:p>
    <w:p>
      <w:pPr>
        <w:ind w:left="460"/>
        <w:spacing w:after="0"/>
        <w:tabs>
          <w:tab w:leader="none" w:pos="11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Inputs that are quoted prices (unadjusted) in active markets for identical assets or liabilities, accessible by us at the measurement date.</w:t>
      </w:r>
    </w:p>
    <w:p>
      <w:pPr>
        <w:spacing w:after="0" w:line="117" w:lineRule="exact"/>
        <w:rPr>
          <w:sz w:val="20"/>
          <w:szCs w:val="20"/>
          <w:color w:val="auto"/>
        </w:rPr>
      </w:pPr>
    </w:p>
    <w:p>
      <w:pPr>
        <w:ind w:left="1180" w:right="660" w:hanging="728"/>
        <w:spacing w:after="0" w:line="259" w:lineRule="auto"/>
        <w:tabs>
          <w:tab w:leader="none" w:pos="1160" w:val="left"/>
        </w:tabs>
        <w:rPr>
          <w:sz w:val="20"/>
          <w:szCs w:val="20"/>
          <w:color w:val="auto"/>
        </w:rPr>
      </w:pPr>
      <w:r>
        <w:rPr>
          <w:rFonts w:ascii="Arial" w:cs="Arial" w:eastAsia="Arial" w:hAnsi="Arial"/>
          <w:sz w:val="18"/>
          <w:szCs w:val="18"/>
          <w:color w:val="auto"/>
        </w:rPr>
        <w:t>Level 2:</w:t>
        <w:tab/>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6" w:lineRule="exact"/>
        <w:rPr>
          <w:sz w:val="20"/>
          <w:szCs w:val="20"/>
          <w:color w:val="auto"/>
        </w:rPr>
      </w:pPr>
    </w:p>
    <w:p>
      <w:pPr>
        <w:ind w:left="1180" w:right="860" w:hanging="728"/>
        <w:spacing w:after="0" w:line="268" w:lineRule="auto"/>
        <w:tabs>
          <w:tab w:leader="none" w:pos="1160" w:val="left"/>
        </w:tabs>
        <w:rPr>
          <w:sz w:val="20"/>
          <w:szCs w:val="20"/>
          <w:color w:val="auto"/>
        </w:rPr>
      </w:pPr>
      <w:r>
        <w:rPr>
          <w:rFonts w:ascii="Arial" w:cs="Arial" w:eastAsia="Arial" w:hAnsi="Arial"/>
          <w:sz w:val="18"/>
          <w:szCs w:val="18"/>
          <w:color w:val="auto"/>
        </w:rPr>
        <w:t>Level 3:</w:t>
        <w:tab/>
        <w:t>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60" w:firstLine="449"/>
        <w:spacing w:after="0" w:line="298" w:lineRule="auto"/>
        <w:rPr>
          <w:sz w:val="20"/>
          <w:szCs w:val="20"/>
          <w:color w:val="auto"/>
        </w:rPr>
      </w:pPr>
      <w:r>
        <w:rPr>
          <w:rFonts w:ascii="Arial" w:cs="Arial" w:eastAsia="Arial" w:hAnsi="Arial"/>
          <w:sz w:val="16"/>
          <w:szCs w:val="16"/>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in conducted on a quarterly basis.</w:t>
      </w:r>
    </w:p>
    <w:p>
      <w:pPr>
        <w:spacing w:after="0" w:line="112"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459"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80" w:firstLine="449"/>
        <w:spacing w:after="0" w:line="307" w:lineRule="auto"/>
        <w:rPr>
          <w:sz w:val="20"/>
          <w:szCs w:val="20"/>
          <w:color w:val="auto"/>
        </w:rPr>
      </w:pPr>
      <w:r>
        <w:rPr>
          <w:rFonts w:ascii="Arial" w:cs="Arial" w:eastAsia="Arial" w:hAnsi="Arial"/>
          <w:sz w:val="15"/>
          <w:szCs w:val="15"/>
          <w:color w:val="auto"/>
        </w:rPr>
        <w:t>The carrying value of our selected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the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on its earnings. ASC 825-10 also requires entities to display the fair value of the selected assets and liabilities on the face of the Consolidated Statement of Assets and Liabilities and changes in fair value of the Credit Facility are recorded in the Consolidated Statement of Operations. We elected not to apply ASC 825-10 to any other financial assets or liabilities, including the SBA debentures. For the three months ended December 31, 2012 and 2011, our Credit Facility had a net change in unrealized appreciation of $0.5 million and $1.1 million, respectively. As of December 31, 2012 and September 30, 2012, net unrealized depreciation on our Credit Facility totaled zero and $0.5 million, respectively. We use a nationally recognized independent valuation service to measure the fair value of our Credit Facility in a manner consistent with the valuation process that the board of directors uses to value our investments.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40" w:firstLine="449"/>
        <w:spacing w:after="0" w:line="290"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OID, market discount or premium and deferred financing costs on our debt are capitalized, and we then amortize such amounts as interest income or expense as applicable. We record contractual prepayment penalties on loans and debt investments as income. Dividend income, if any, is recognized on an accrual basis on the ex-dividend date to the extent that we expect to collect such amounts.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 and Net Change in Unrealized Appreciation or Depreciation</w:t>
      </w:r>
    </w:p>
    <w:p>
      <w:pPr>
        <w:spacing w:after="0" w:line="90" w:lineRule="exact"/>
        <w:rPr>
          <w:sz w:val="20"/>
          <w:szCs w:val="20"/>
          <w:color w:val="auto"/>
        </w:rPr>
      </w:pPr>
    </w:p>
    <w:p>
      <w:pPr>
        <w:ind w:right="280" w:firstLine="449"/>
        <w:spacing w:after="0" w:line="298"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Payment-in-Kind Interest</w:t>
      </w:r>
    </w:p>
    <w:p>
      <w:pPr>
        <w:spacing w:after="0" w:line="90" w:lineRule="exact"/>
        <w:rPr>
          <w:sz w:val="20"/>
          <w:szCs w:val="20"/>
          <w:color w:val="auto"/>
        </w:rPr>
      </w:pPr>
    </w:p>
    <w:p>
      <w:pPr>
        <w:jc w:val="both"/>
        <w:ind w:right="400" w:firstLine="449"/>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dividends, even though we have not collected any cash with respect to PIK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90" w:lineRule="exact"/>
        <w:rPr>
          <w:sz w:val="20"/>
          <w:szCs w:val="20"/>
          <w:color w:val="auto"/>
        </w:rPr>
      </w:pPr>
    </w:p>
    <w:p>
      <w:pPr>
        <w:ind w:right="40" w:firstLine="449"/>
        <w:spacing w:after="0" w:line="287" w:lineRule="auto"/>
        <w:rPr>
          <w:sz w:val="20"/>
          <w:szCs w:val="20"/>
          <w:color w:val="auto"/>
        </w:rPr>
      </w:pPr>
      <w:r>
        <w:rPr>
          <w:rFonts w:ascii="Arial" w:cs="Arial" w:eastAsia="Arial" w:hAnsi="Arial"/>
          <w:sz w:val="16"/>
          <w:szCs w:val="16"/>
          <w:color w:val="auto"/>
        </w:rPr>
        <w:t>We operate so as to qualify to maintain our election to be taxed as a RIC under Subchapter M of the Code and intend to continue to do so. To maintain RIC tax benefits, we must, among other requirements, meet certain source-of-income and quarterly asset diversification requirements (as described below). We also must annually distribute dividends of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net ordinary income for the calendar year, (2) 98.2% of the sum of our realized net capital gains for the one-year period ending on October 31 of the calendar year and (3) the sum of any net ordinary income plus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net ordinary income to provide us with additional liquidity.</w:t>
      </w:r>
    </w:p>
    <w:p>
      <w:pPr>
        <w:spacing w:after="0" w:line="122"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459"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the results of operations for the three months ended December 31, 2012 and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ind w:right="120" w:firstLine="449"/>
        <w:spacing w:after="0" w:line="294" w:lineRule="auto"/>
        <w:rPr>
          <w:sz w:val="20"/>
          <w:szCs w:val="20"/>
          <w:color w:val="auto"/>
        </w:rPr>
      </w:pPr>
      <w:r>
        <w:rPr>
          <w:rFonts w:ascii="Arial" w:cs="Arial" w:eastAsia="Arial" w:hAnsi="Arial"/>
          <w:sz w:val="16"/>
          <w:szCs w:val="16"/>
          <w:color w:val="auto"/>
        </w:rPr>
        <w:t>Investment income for the three months ended December 31, 2012 was $33.0 million and was primarily attributable to $8.8 million from senior secured loans, $6.4 million from second lien secured debt investments, $16.5 million from subordinated debt investments and $1.3 million from common equity investments. This compares to investment income for the three months ended December 31, 2011, which was $26.8 million, and was primarily attributable to $11.0 million from senior secured loans, $4.1 million from second lien secured debt investments and $11.7 million from subordinated debt investments. The increase in investment income compared with the same period in the prior year is due to the growth of our portfolio.</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right="200" w:firstLine="449"/>
        <w:spacing w:after="0" w:line="291" w:lineRule="auto"/>
        <w:rPr>
          <w:sz w:val="20"/>
          <w:szCs w:val="20"/>
          <w:color w:val="auto"/>
        </w:rPr>
      </w:pPr>
      <w:r>
        <w:rPr>
          <w:rFonts w:ascii="Arial" w:cs="Arial" w:eastAsia="Arial" w:hAnsi="Arial"/>
          <w:sz w:val="16"/>
          <w:szCs w:val="16"/>
          <w:color w:val="auto"/>
        </w:rPr>
        <w:t>Expenses for the three months ended December 31, 2012 totaled $14.8 million. Base management fees for the same period totaled $5.1 million, performance-based incentive fees totaled $4.5 million, Credit Facility and SBA debentures related interest and expenses totaled $3.1 million, general and administrative expenses and excise tax totaled $2.1 million. This compares to expenses for the three months ended December 31, 2011, which totaled $11.8 million. Base management fees for the same period totaled $4.0 million, performance-based incentive fees totaled $3.7 million, Credit Facility and SBA debentures related interest and expenses totaled $2.4 million, general and administrative expenses totaled $1.7 million. The increase in expenses is due to the growth of the portfolio as well as the higher cost of debt capital.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90"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Net investment income totaled $18.2 million, or $0.28 per share, for the three months ended December 31, 2012, and $15.0 million, or $0.33 per share, for the three months ended December 31, 2011. The increase in net investment income over the prior period was due to the growth of our portfolio. The decrease in per share net investment income over the prior period was the result of issuance of shares.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w:t>
      </w:r>
    </w:p>
    <w:p>
      <w:pPr>
        <w:spacing w:after="0" w:line="90" w:lineRule="exact"/>
        <w:rPr>
          <w:sz w:val="20"/>
          <w:szCs w:val="20"/>
          <w:color w:val="auto"/>
        </w:rPr>
      </w:pPr>
    </w:p>
    <w:p>
      <w:pPr>
        <w:ind w:right="60" w:firstLine="449"/>
        <w:spacing w:after="0" w:line="331" w:lineRule="auto"/>
        <w:rPr>
          <w:sz w:val="20"/>
          <w:szCs w:val="20"/>
          <w:color w:val="auto"/>
        </w:rPr>
      </w:pPr>
      <w:r>
        <w:rPr>
          <w:rFonts w:ascii="Arial" w:cs="Arial" w:eastAsia="Arial" w:hAnsi="Arial"/>
          <w:sz w:val="16"/>
          <w:szCs w:val="16"/>
          <w:color w:val="auto"/>
        </w:rPr>
        <w:t>Sales and repayments of investments for the three months ended December 31, 2012 totaled $110.8 million and realized gains totaled $0.9 million. Sales and repayments of investments totaled $69.3 million and net realized gains totaled $8.0 million for the three months ended December 31, 2011.</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Unrealized Appreciation or Depreciation on Investments and Credit Facility</w:t>
      </w:r>
    </w:p>
    <w:p>
      <w:pPr>
        <w:spacing w:after="0" w:line="90" w:lineRule="exact"/>
        <w:rPr>
          <w:sz w:val="20"/>
          <w:szCs w:val="20"/>
          <w:color w:val="auto"/>
        </w:rPr>
      </w:pPr>
    </w:p>
    <w:p>
      <w:pPr>
        <w:ind w:firstLine="449"/>
        <w:spacing w:after="0" w:line="256" w:lineRule="auto"/>
        <w:rPr>
          <w:sz w:val="20"/>
          <w:szCs w:val="20"/>
          <w:color w:val="auto"/>
        </w:rPr>
      </w:pPr>
      <w:r>
        <w:rPr>
          <w:rFonts w:ascii="Arial" w:cs="Arial" w:eastAsia="Arial" w:hAnsi="Arial"/>
          <w:sz w:val="18"/>
          <w:szCs w:val="18"/>
          <w:color w:val="auto"/>
        </w:rPr>
        <w:t>For both the three months ended December 31, 2012 and 2011, we reported unrealized appreciation on investments of $10.0 million. As of December 31, 2012 and September 30, 2012, net unrealized depreciation on investments totaled $8.1 million and $18.1 million, respectively. The change in unrealized depreciation on investments from September 30, 2012 to December 31, 2012 was the result of the realization of unrealized gains upon exiting our investments and changes in market values.</w:t>
      </w:r>
    </w:p>
    <w:p>
      <w:pPr>
        <w:spacing w:after="0" w:line="143" w:lineRule="exact"/>
        <w:rPr>
          <w:sz w:val="20"/>
          <w:szCs w:val="20"/>
          <w:color w:val="auto"/>
        </w:rPr>
      </w:pPr>
    </w:p>
    <w:p>
      <w:pPr>
        <w:ind w:right="40" w:firstLine="449"/>
        <w:spacing w:after="0" w:line="256" w:lineRule="auto"/>
        <w:rPr>
          <w:sz w:val="20"/>
          <w:szCs w:val="20"/>
          <w:color w:val="auto"/>
        </w:rPr>
      </w:pPr>
      <w:r>
        <w:rPr>
          <w:rFonts w:ascii="Arial" w:cs="Arial" w:eastAsia="Arial" w:hAnsi="Arial"/>
          <w:sz w:val="18"/>
          <w:szCs w:val="18"/>
          <w:color w:val="auto"/>
        </w:rPr>
        <w:t>For the three months ended December 31, 2012 and 2011 our Credit Facility value increased by $0.5 million and $1.1 million, respectively. The change from the prior period was primarily the result of the renewal of the Credit Facility. As of December 31, 2012 and September 30, 2012, net unrealized depreciation on our Credit Facility totaled zero and $0.5 million, respectively. Net change in unrealized appreciation on the Credit Facility over the prior period was due to changes in the leveraged finance markets.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 in Net Assets Resulting from Operations</w:t>
      </w:r>
    </w:p>
    <w:p>
      <w:pPr>
        <w:spacing w:after="0" w:line="90" w:lineRule="exact"/>
        <w:rPr>
          <w:sz w:val="20"/>
          <w:szCs w:val="20"/>
          <w:color w:val="auto"/>
        </w:rPr>
      </w:pPr>
    </w:p>
    <w:p>
      <w:pPr>
        <w:ind w:right="20" w:firstLine="449"/>
        <w:spacing w:after="0" w:line="256" w:lineRule="auto"/>
        <w:rPr>
          <w:sz w:val="20"/>
          <w:szCs w:val="20"/>
          <w:color w:val="auto"/>
        </w:rPr>
      </w:pPr>
      <w:r>
        <w:rPr>
          <w:rFonts w:ascii="Arial" w:cs="Arial" w:eastAsia="Arial" w:hAnsi="Arial"/>
          <w:sz w:val="18"/>
          <w:szCs w:val="18"/>
          <w:color w:val="auto"/>
        </w:rPr>
        <w:t>Net increase in net assets resulting from operations totaled $28.5 million, or $0.44 per share, for the three months ended December 31, 2012. This compares to a net increase in net assets resulting from operations which totaled $15.8 million, or $0.34 per share, for the three months ended December 31, 2011. This increase in net assets resulting from operations compared to the prior period was due to the continued growth in net investment income as a result of growing our portfolio and appreciation of our investments.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459"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20" w:firstLine="449"/>
        <w:spacing w:after="0" w:line="298" w:lineRule="auto"/>
        <w:rPr>
          <w:sz w:val="20"/>
          <w:szCs w:val="20"/>
          <w:color w:val="auto"/>
        </w:rPr>
      </w:pPr>
      <w:r>
        <w:rPr>
          <w:rFonts w:ascii="Arial" w:cs="Arial" w:eastAsia="Arial" w:hAnsi="Arial"/>
          <w:sz w:val="16"/>
          <w:szCs w:val="16"/>
          <w:color w:val="auto"/>
        </w:rPr>
        <w:t>Our liquidity and capital resources are derived primarily from proceeds of securities offerings, our Credit Facility, SBA debentures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SBA debentures, proceeds from the rotation of our portfolio and proceeds from public and private offerings of securities to finance our investment objectives.</w:t>
      </w:r>
    </w:p>
    <w:p>
      <w:pPr>
        <w:spacing w:after="0" w:line="112"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In February 2012, we amended and restated our multi-currency Credit Facility, which increased the size of the Credit Facility to $380 million, with certain lenders and SunTrust Bank, acting as administrative agent and JPMorgan Chase Bank, N.A., as syndication agent for the lenders. As of December 31, 2012 and September 30, 2012, we had $211.5 million and $145.0 million (including a temporary draw of $35.5 million), respectively, in outstanding borrowings under the Credit Facility, with a weighted average interest rate at the time of 3.00% and 3.49%, respectively, exclusive of the fee on undrawn commitments of 0.50%. The Credit Facility is a four-year revolving facility with a stated maturity date of February 2016, and a one-year term-out period following its third year. Borrowings under the Credit Facility bear interest at 275 basis points over LIBOR. As of December 31, 2012 and September 30, 2012, we had $168.5 million and $235.0 million of unused borrowing capacity, respectively, subject to the regulatory restrictions that the 1940 Act imposes on us as a BDC. The Credit Facility is secured by substantially all of our assets excluding assets held by our SBIC Funds.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Credit Facility contains customary affirmative and restrictive covenants, including maintenance of a minimum shareholders’ equity of the sum of</w:t>
      </w:r>
    </w:p>
    <w:p>
      <w:pPr>
        <w:spacing w:after="0" w:line="38" w:lineRule="exact"/>
        <w:rPr>
          <w:sz w:val="20"/>
          <w:szCs w:val="20"/>
          <w:color w:val="auto"/>
        </w:rPr>
      </w:pPr>
    </w:p>
    <w:p>
      <w:pPr>
        <w:ind w:right="80" w:firstLine="8"/>
        <w:spacing w:after="0" w:line="288" w:lineRule="auto"/>
        <w:tabs>
          <w:tab w:leader="none" w:pos="239" w:val="left"/>
        </w:tabs>
        <w:numPr>
          <w:ilvl w:val="0"/>
          <w:numId w:val="15"/>
        </w:numPr>
        <w:rPr>
          <w:rFonts w:ascii="Arial" w:cs="Arial" w:eastAsia="Arial" w:hAnsi="Arial"/>
          <w:sz w:val="16"/>
          <w:szCs w:val="16"/>
          <w:color w:val="auto"/>
        </w:rPr>
      </w:pPr>
      <w:r>
        <w:rPr>
          <w:rFonts w:ascii="Arial" w:cs="Arial" w:eastAsia="Arial" w:hAnsi="Arial"/>
          <w:sz w:val="16"/>
          <w:szCs w:val="16"/>
          <w:color w:val="auto"/>
        </w:rPr>
        <w:t>$220.0 million plus (b) 25% of the net proceeds from the sale of equity interests in us and our subsidiaries after the closing date of the Credit Facility and maintenance of a ratio of total assets (less total liabilities other than indebtedness) to total indebtedness of not less than 2.0:1.0 (before any exemptive relief granted by the SEC with respect to the indebtedness of our SBIC subsidiary). In addition to the asset coverage ratio described in the preceding sentence, borrowings under our Credit Facility (and the incurrence of certain other permitted debt) are subject to compliance with a borrowing base that applies different advance rates to different types of assets in the Company’s portfolio. For a complete list of covenants contained in the Credit Facility, see our Form 8-K filed on February 22, 2012 and the Credit Facility agreement filed as an exhibit to our Form 10-Q filed on May 2, 2012. As of December 31, 2012, we were in compliance with the terms of our Credit Facility.</w:t>
      </w:r>
    </w:p>
    <w:p>
      <w:pPr>
        <w:spacing w:after="0" w:line="122" w:lineRule="exact"/>
        <w:rPr>
          <w:sz w:val="20"/>
          <w:szCs w:val="20"/>
          <w:color w:val="auto"/>
        </w:rPr>
      </w:pPr>
    </w:p>
    <w:p>
      <w:pPr>
        <w:ind w:right="80" w:firstLine="449"/>
        <w:spacing w:after="0" w:line="286" w:lineRule="auto"/>
        <w:rPr>
          <w:sz w:val="20"/>
          <w:szCs w:val="20"/>
          <w:color w:val="auto"/>
        </w:rPr>
      </w:pPr>
      <w:r>
        <w:rPr>
          <w:rFonts w:ascii="Arial" w:cs="Arial" w:eastAsia="Arial" w:hAnsi="Arial"/>
          <w:sz w:val="16"/>
          <w:szCs w:val="16"/>
          <w:color w:val="auto"/>
        </w:rPr>
        <w:t>We may raise additional equity or debt capital through both registered offerings off our shelf registration statement and private offerings of securities, by securitizing a portion of our investments or borrowing from the SBA, among other sources. Any future additional debt capital we incur, to the extent it is available, may be issued at a higher cost and on less favorable terms and conditions than our current Credit Facility. Furthermore, our Credit Facility availability depends on various covenants and restrictions. The primary use of existing funds and any funds raised in the future is expected to be for repayment of indebtedness, investments in portfolio companies, cash distributions to our shareholders or for other general corporate or strategic purposes. On October 25, 2012, we issued an additional 700,000 shares of common stock at a public offering price of $10.82 per share generating gross proceeds of $7.6 million and net proceeds of $7.3 million after underwriting discounts and offering expenses payable by us from the underwriters’ partial exercise of the over-allotment option granted in connection with the offering. Any decision to sell shares below the then current net asset value per share of our common stock is subject to shareholder approval and a determination by our board of directors that such issuance and sale is in our and our stockholders’ best interests. Any sale or other issuance of shares of our common stock at a price below net asset value per share results in immediate dilution to our stockholders’ interests in our common stock and a reduction in our net asset value per share.</w:t>
      </w:r>
    </w:p>
    <w:p>
      <w:pPr>
        <w:spacing w:after="0" w:line="126" w:lineRule="exact"/>
        <w:rPr>
          <w:sz w:val="20"/>
          <w:szCs w:val="20"/>
          <w:color w:val="auto"/>
        </w:rPr>
      </w:pPr>
    </w:p>
    <w:p>
      <w:pPr>
        <w:ind w:right="80" w:firstLine="449"/>
        <w:spacing w:after="0" w:line="254" w:lineRule="auto"/>
        <w:rPr>
          <w:sz w:val="20"/>
          <w:szCs w:val="20"/>
          <w:color w:val="auto"/>
        </w:rPr>
      </w:pPr>
      <w:r>
        <w:rPr>
          <w:rFonts w:ascii="Arial" w:cs="Arial" w:eastAsia="Arial" w:hAnsi="Arial"/>
          <w:sz w:val="18"/>
          <w:szCs w:val="18"/>
          <w:color w:val="auto"/>
        </w:rPr>
        <w:t>In accordance with the 1940 Act, with certain limited exceptions, PennantPark Investment is only allowed to borrow amounts such that our asset coverage ratio is met after such borrowing. As of December 31, 2012, we excluded the principal amounts of our SBA debentures from our asset coverage ratio pursuant to SEC exemptive relief. As a result of this exemptive relief, our ratio of total assets on a consolidated basis, including the principal amount of our SBA debentures, to outstanding indebtedness may be less than 200%, which while providing increased investment flexibility, also increases our exposure to risks associated with leverage.</w:t>
      </w:r>
    </w:p>
    <w:p>
      <w:pPr>
        <w:spacing w:after="0" w:line="147" w:lineRule="exact"/>
        <w:rPr>
          <w:sz w:val="20"/>
          <w:szCs w:val="20"/>
          <w:color w:val="auto"/>
        </w:rPr>
      </w:pPr>
    </w:p>
    <w:p>
      <w:pPr>
        <w:ind w:right="60" w:firstLine="449"/>
        <w:spacing w:after="0" w:line="290" w:lineRule="auto"/>
        <w:rPr>
          <w:sz w:val="20"/>
          <w:szCs w:val="20"/>
          <w:color w:val="auto"/>
        </w:rPr>
      </w:pPr>
      <w:r>
        <w:rPr>
          <w:rFonts w:ascii="Arial" w:cs="Arial" w:eastAsia="Arial" w:hAnsi="Arial"/>
          <w:sz w:val="16"/>
          <w:szCs w:val="16"/>
          <w:color w:val="auto"/>
        </w:rPr>
        <w:t>SBIC LP is able to borrow funds from the SBA against regulatory capital (which approximates equity capital) that is paid-in and is subject to customary regulatory requirements including an examination by the SBA. We have funded SBIC LP with $75.0 million of equity capital and had SBA debentures outstanding of $150.0 million as of December 31, 2012. We have funded SBIC II with $2.5 million of seed capital. SBA debentures are non-recourse to us, have a 10-year maturity, and may be prepaid at any time without penalty. The interest rate of SBA debentures is fixed at the time of issuance, often referred to as pooling, at a market-driven spread over 10-year U.S. Treasury Notes. SBA current regulations limit the amount that SBIC LP may borrow to a maximum of $150.0 million, which is up to twice its potential regulatory capital, and may borrow to a maximum of $225 million as part of a group of SBICs under common control. SBIC LP has accessed the maximum borrowing with its $75.0 million in regulatory capital.</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459"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firstLine="449"/>
        <w:spacing w:after="0" w:line="256" w:lineRule="auto"/>
        <w:rPr>
          <w:sz w:val="20"/>
          <w:szCs w:val="20"/>
          <w:color w:val="auto"/>
        </w:rPr>
      </w:pPr>
      <w:r>
        <w:rPr>
          <w:rFonts w:ascii="Arial" w:cs="Arial" w:eastAsia="Arial" w:hAnsi="Arial"/>
          <w:sz w:val="18"/>
          <w:szCs w:val="18"/>
          <w:color w:val="auto"/>
        </w:rPr>
        <w:t>As of December 31, 2012 and September 30, 2012, $150.0 million in debt commitments were fully drawn with a weighted average interest rate of 3.70% exclusive of the 3.43% in upfront fees (4.04% after upfront fees). The SBA debentures upfront fees of 3.43% consist of a commitment fee of 1.00% and an issuance discount of 2.43%. Both fees will be amortized over the lives of the loans. Our fixed rate SBA debentures as of December 31, 2012 and September 30, 2012 were as follows:</w:t>
      </w:r>
    </w:p>
    <w:p>
      <w:pPr>
        <w:spacing w:after="0" w:line="164" w:lineRule="exact"/>
        <w:rPr>
          <w:sz w:val="20"/>
          <w:szCs w:val="20"/>
          <w:color w:val="auto"/>
        </w:rPr>
      </w:pPr>
    </w:p>
    <w:tbl>
      <w:tblPr>
        <w:tblLayout w:type="fixed"/>
        <w:tblInd w:w="1980" w:type="dxa"/>
        <w:tblCellMar>
          <w:top w:w="0" w:type="dxa"/>
          <w:left w:w="0" w:type="dxa"/>
          <w:bottom w:w="0" w:type="dxa"/>
          <w:right w:w="0" w:type="dxa"/>
        </w:tblCellMar>
      </w:tblPr>
      <w:tr>
        <w:trPr>
          <w:trHeight w:val="149"/>
        </w:trPr>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gridSpan w:val="2"/>
          </w:tcPr>
          <w:p>
            <w:pPr>
              <w:ind w:left="260"/>
              <w:spacing w:after="0"/>
              <w:rPr>
                <w:sz w:val="20"/>
                <w:szCs w:val="20"/>
                <w:color w:val="auto"/>
              </w:rPr>
            </w:pPr>
            <w:r>
              <w:rPr>
                <w:rFonts w:ascii="Arial" w:cs="Arial" w:eastAsia="Arial" w:hAnsi="Arial"/>
                <w:sz w:val="13"/>
                <w:szCs w:val="13"/>
                <w:b w:val="1"/>
                <w:bCs w:val="1"/>
                <w:color w:val="auto"/>
              </w:rPr>
              <w:t>All-in</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2"/>
              </w:rPr>
              <w:t>Issuance Dates</w:t>
            </w:r>
          </w:p>
        </w:tc>
        <w:tc>
          <w:tcPr>
            <w:tcW w:w="1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00" w:type="dxa"/>
            <w:vAlign w:val="bottom"/>
            <w:gridSpan w:val="2"/>
          </w:tcPr>
          <w:p>
            <w:pPr>
              <w:ind w:left="400"/>
              <w:spacing w:after="0"/>
              <w:rPr>
                <w:sz w:val="20"/>
                <w:szCs w:val="20"/>
                <w:color w:val="auto"/>
              </w:rPr>
            </w:pPr>
            <w:r>
              <w:rPr>
                <w:rFonts w:ascii="Arial" w:cs="Arial" w:eastAsia="Arial" w:hAnsi="Arial"/>
                <w:sz w:val="13"/>
                <w:szCs w:val="13"/>
                <w:b w:val="1"/>
                <w:bCs w:val="1"/>
                <w:color w:val="auto"/>
              </w:rPr>
              <w:t>Maturity</w:t>
            </w:r>
          </w:p>
        </w:tc>
        <w:tc>
          <w:tcPr>
            <w:tcW w:w="1200" w:type="dxa"/>
            <w:vAlign w:val="bottom"/>
            <w:gridSpan w:val="2"/>
          </w:tcPr>
          <w:p>
            <w:pPr>
              <w:spacing w:after="0" w:line="162" w:lineRule="exact"/>
              <w:rPr>
                <w:sz w:val="20"/>
                <w:szCs w:val="20"/>
                <w:color w:val="auto"/>
              </w:rPr>
            </w:pPr>
            <w:r>
              <w:rPr>
                <w:rFonts w:ascii="Arial" w:cs="Arial" w:eastAsia="Arial" w:hAnsi="Arial"/>
                <w:sz w:val="11"/>
                <w:szCs w:val="11"/>
                <w:b w:val="1"/>
                <w:bCs w:val="1"/>
                <w:color w:val="auto"/>
              </w:rPr>
              <w:t xml:space="preserve">coupon rate </w:t>
            </w:r>
            <w:r>
              <w:rPr>
                <w:rFonts w:ascii="Arial" w:cs="Arial" w:eastAsia="Arial" w:hAnsi="Arial"/>
                <w:sz w:val="18"/>
                <w:szCs w:val="18"/>
                <w:b w:val="1"/>
                <w:bCs w:val="1"/>
                <w:color w:val="auto"/>
                <w:vertAlign w:val="superscript"/>
              </w:rPr>
              <w:t>(1)</w:t>
            </w:r>
          </w:p>
        </w:tc>
        <w:tc>
          <w:tcPr>
            <w:tcW w:w="2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3"/>
                <w:szCs w:val="13"/>
                <w:b w:val="1"/>
                <w:bCs w:val="1"/>
                <w:color w:val="auto"/>
              </w:rPr>
              <w:t>Principal Balance</w:t>
            </w:r>
          </w:p>
        </w:tc>
        <w:tc>
          <w:tcPr>
            <w:tcW w:w="0" w:type="dxa"/>
            <w:vAlign w:val="bottom"/>
          </w:tcPr>
          <w:p>
            <w:pPr>
              <w:spacing w:after="0"/>
              <w:rPr>
                <w:sz w:val="1"/>
                <w:szCs w:val="1"/>
                <w:color w:val="auto"/>
              </w:rPr>
            </w:pPr>
          </w:p>
        </w:tc>
      </w:tr>
      <w:tr>
        <w:trPr>
          <w:trHeight w:val="20"/>
        </w:trPr>
        <w:tc>
          <w:tcPr>
            <w:tcW w:w="260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September 22, 2010</w:t>
            </w:r>
          </w:p>
        </w:tc>
        <w:tc>
          <w:tcPr>
            <w:tcW w:w="460" w:type="dxa"/>
            <w:vAlign w:val="bottom"/>
            <w:vMerge w:val="restart"/>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00" w:type="dxa"/>
            <w:vAlign w:val="bottom"/>
            <w:gridSpan w:val="3"/>
            <w:vMerge w:val="continue"/>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13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84"/>
              </w:rPr>
              <w:t>September 1, 2020</w:t>
            </w:r>
          </w:p>
        </w:tc>
        <w:tc>
          <w:tcPr>
            <w:tcW w:w="380" w:type="dxa"/>
            <w:vAlign w:val="bottom"/>
            <w:vMerge w:val="continue"/>
            <w:shd w:val="clear" w:color="auto" w:fill="CCEEFF"/>
          </w:tcPr>
          <w:p>
            <w:pPr>
              <w:spacing w:after="0"/>
              <w:rPr>
                <w:sz w:val="17"/>
                <w:szCs w:val="17"/>
                <w:color w:val="auto"/>
              </w:rPr>
            </w:pPr>
          </w:p>
        </w:tc>
        <w:tc>
          <w:tcPr>
            <w:tcW w:w="1200" w:type="dxa"/>
            <w:vAlign w:val="bottom"/>
            <w:gridSpan w:val="2"/>
            <w:shd w:val="clear" w:color="auto" w:fill="CCEEFF"/>
          </w:tcPr>
          <w:p>
            <w:pPr>
              <w:ind w:left="540"/>
              <w:spacing w:after="0" w:line="203" w:lineRule="exact"/>
              <w:rPr>
                <w:sz w:val="20"/>
                <w:szCs w:val="20"/>
                <w:color w:val="auto"/>
              </w:rPr>
            </w:pPr>
            <w:r>
              <w:rPr>
                <w:rFonts w:ascii="Arial" w:cs="Arial" w:eastAsia="Arial" w:hAnsi="Arial"/>
                <w:sz w:val="18"/>
                <w:szCs w:val="18"/>
                <w:color w:val="auto"/>
              </w:rPr>
              <w:t>3.50%</w:t>
            </w:r>
          </w:p>
        </w:tc>
        <w:tc>
          <w:tcPr>
            <w:tcW w:w="2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500,000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gridSpan w:val="3"/>
          </w:tcPr>
          <w:p>
            <w:pPr>
              <w:spacing w:after="0"/>
              <w:rPr>
                <w:sz w:val="20"/>
                <w:szCs w:val="20"/>
                <w:color w:val="auto"/>
              </w:rPr>
            </w:pPr>
            <w:r>
              <w:rPr>
                <w:rFonts w:ascii="Arial" w:cs="Arial" w:eastAsia="Arial" w:hAnsi="Arial"/>
                <w:sz w:val="18"/>
                <w:szCs w:val="18"/>
                <w:color w:val="auto"/>
              </w:rPr>
              <w:t>March 29, 2011</w:t>
            </w:r>
          </w:p>
        </w:tc>
        <w:tc>
          <w:tcPr>
            <w:tcW w:w="2160" w:type="dxa"/>
            <w:vAlign w:val="bottom"/>
            <w:gridSpan w:val="3"/>
          </w:tcPr>
          <w:p>
            <w:pPr>
              <w:ind w:left="460"/>
              <w:spacing w:after="0"/>
              <w:rPr>
                <w:sz w:val="20"/>
                <w:szCs w:val="20"/>
                <w:color w:val="auto"/>
              </w:rPr>
            </w:pPr>
            <w:r>
              <w:rPr>
                <w:rFonts w:ascii="Arial" w:cs="Arial" w:eastAsia="Arial" w:hAnsi="Arial"/>
                <w:sz w:val="18"/>
                <w:szCs w:val="18"/>
                <w:color w:val="auto"/>
              </w:rPr>
              <w:t>March 1, 2021</w:t>
            </w:r>
          </w:p>
        </w:tc>
        <w:tc>
          <w:tcPr>
            <w:tcW w:w="1200" w:type="dxa"/>
            <w:vAlign w:val="bottom"/>
            <w:gridSpan w:val="2"/>
          </w:tcPr>
          <w:p>
            <w:pPr>
              <w:ind w:left="540"/>
              <w:spacing w:after="0"/>
              <w:rPr>
                <w:sz w:val="20"/>
                <w:szCs w:val="20"/>
                <w:color w:val="auto"/>
              </w:rPr>
            </w:pPr>
            <w:r>
              <w:rPr>
                <w:rFonts w:ascii="Arial" w:cs="Arial" w:eastAsia="Arial" w:hAnsi="Arial"/>
                <w:sz w:val="18"/>
                <w:szCs w:val="18"/>
                <w:color w:val="auto"/>
              </w:rPr>
              <w:t>4.46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44,500,000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21, 2011</w:t>
            </w:r>
          </w:p>
        </w:tc>
        <w:tc>
          <w:tcPr>
            <w:tcW w:w="21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September 1, 2021</w:t>
            </w:r>
          </w:p>
        </w:tc>
        <w:tc>
          <w:tcPr>
            <w:tcW w:w="8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85"/>
              </w:rPr>
              <w:t>3.38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105,000,000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00" w:type="dxa"/>
            <w:vAlign w:val="bottom"/>
            <w:gridSpan w:val="3"/>
          </w:tcPr>
          <w:p>
            <w:pPr>
              <w:spacing w:after="0"/>
              <w:rPr>
                <w:sz w:val="20"/>
                <w:szCs w:val="20"/>
                <w:color w:val="auto"/>
              </w:rPr>
            </w:pPr>
            <w:r>
              <w:rPr>
                <w:rFonts w:ascii="Arial" w:cs="Arial" w:eastAsia="Arial" w:hAnsi="Arial"/>
                <w:sz w:val="18"/>
                <w:szCs w:val="18"/>
                <w:color w:val="auto"/>
              </w:rPr>
              <w:t>Weighted Average Rate / Total</w:t>
            </w:r>
          </w:p>
        </w:tc>
        <w:tc>
          <w:tcPr>
            <w:tcW w:w="4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ind w:left="540"/>
              <w:spacing w:after="0"/>
              <w:rPr>
                <w:sz w:val="20"/>
                <w:szCs w:val="20"/>
                <w:color w:val="auto"/>
              </w:rPr>
            </w:pPr>
            <w:r>
              <w:rPr>
                <w:rFonts w:ascii="Arial" w:cs="Arial" w:eastAsia="Arial" w:hAnsi="Arial"/>
                <w:sz w:val="18"/>
                <w:szCs w:val="18"/>
                <w:color w:val="auto"/>
              </w:rPr>
              <w:t>3.70%</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150,000,000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7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1980"/>
        <w:spacing w:after="0"/>
        <w:rPr>
          <w:sz w:val="20"/>
          <w:szCs w:val="20"/>
          <w:color w:val="auto"/>
        </w:rPr>
      </w:pPr>
      <w:r>
        <w:rPr>
          <w:rFonts w:ascii="Arial" w:cs="Arial" w:eastAsia="Arial" w:hAnsi="Arial"/>
          <w:sz w:val="13"/>
          <w:szCs w:val="13"/>
          <w:color w:val="auto"/>
        </w:rPr>
        <w:t>(1) Excludes 3.43% of upfront fees.</w:t>
      </w:r>
    </w:p>
    <w:p>
      <w:pPr>
        <w:spacing w:after="0" w:line="177" w:lineRule="exact"/>
        <w:rPr>
          <w:sz w:val="20"/>
          <w:szCs w:val="20"/>
          <w:color w:val="auto"/>
        </w:rPr>
      </w:pPr>
    </w:p>
    <w:p>
      <w:pPr>
        <w:ind w:right="120" w:firstLine="449"/>
        <w:spacing w:after="0" w:line="291" w:lineRule="auto"/>
        <w:rPr>
          <w:sz w:val="20"/>
          <w:szCs w:val="20"/>
          <w:color w:val="auto"/>
        </w:rPr>
      </w:pPr>
      <w:r>
        <w:rPr>
          <w:rFonts w:ascii="Arial" w:cs="Arial" w:eastAsia="Arial" w:hAnsi="Arial"/>
          <w:sz w:val="16"/>
          <w:szCs w:val="16"/>
          <w:color w:val="auto"/>
        </w:rPr>
        <w:t>The SBIC program is designed to stimulate the flow of capital into eligible businesses. Under SBA regulations, SBIC LP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is subject to periodic audits and examinations of its financial statements that are prepared on a basis of accounting other than GAAP (for example, fair value, as defined under ASC 820, is not required to be used for assets or liabilities for such compliance reporting). As of December 31, 2012, SBIC LP was in compliance with its regulatory requirements.</w:t>
      </w:r>
    </w:p>
    <w:p>
      <w:pPr>
        <w:spacing w:after="0" w:line="120"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In June 2011, we received exemptive relief from the SEC allowing us to modify the asset coverage ratio requirement to exclude the SBA debentures from the calculation. Accordingly, our ratio of total assets on a consolidated basis to outstanding indebtedness may be less than 200%, which while providing increased investment flexibility, also increases our exposure to risks associated with leverage.</w:t>
      </w:r>
    </w:p>
    <w:p>
      <w:pPr>
        <w:spacing w:after="0" w:line="140"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Our operating activities used cash of $35.8 million for the three months ended December 31, 2012, primarily for net purchases of investments. Our financing activities provided cash of $59.5 million for the same period, primarily from net borrowings under our Credit Facility and proceeds from our capital stock offering.</w:t>
      </w:r>
    </w:p>
    <w:p>
      <w:pPr>
        <w:spacing w:after="0" w:line="140" w:lineRule="exact"/>
        <w:rPr>
          <w:sz w:val="20"/>
          <w:szCs w:val="20"/>
          <w:color w:val="auto"/>
        </w:rPr>
      </w:pPr>
    </w:p>
    <w:p>
      <w:pPr>
        <w:ind w:right="60" w:firstLine="449"/>
        <w:spacing w:after="0" w:line="331" w:lineRule="auto"/>
        <w:rPr>
          <w:sz w:val="20"/>
          <w:szCs w:val="20"/>
          <w:color w:val="auto"/>
        </w:rPr>
      </w:pPr>
      <w:r>
        <w:rPr>
          <w:rFonts w:ascii="Arial" w:cs="Arial" w:eastAsia="Arial" w:hAnsi="Arial"/>
          <w:sz w:val="16"/>
          <w:szCs w:val="16"/>
          <w:color w:val="auto"/>
        </w:rPr>
        <w:t>Our operating activities provided cash of $31.7 million for the three months ended December 31, 2011, primarily from net proceeds from the disposition of investments. Our financing activities used cash of $61.2 million for the same period, primarily from net repayments under our Credit Facility.</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459" w:right="3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90" w:lineRule="exact"/>
        <w:rPr>
          <w:sz w:val="20"/>
          <w:szCs w:val="20"/>
          <w:color w:val="auto"/>
        </w:rPr>
      </w:pPr>
    </w:p>
    <w:p>
      <w:pPr>
        <w:ind w:right="140" w:firstLine="449"/>
        <w:spacing w:after="0" w:line="268" w:lineRule="auto"/>
        <w:rPr>
          <w:sz w:val="20"/>
          <w:szCs w:val="20"/>
          <w:color w:val="auto"/>
        </w:rPr>
      </w:pPr>
      <w:r>
        <w:rPr>
          <w:rFonts w:ascii="Arial" w:cs="Arial" w:eastAsia="Arial" w:hAnsi="Arial"/>
          <w:sz w:val="18"/>
          <w:szCs w:val="18"/>
          <w:color w:val="auto"/>
        </w:rPr>
        <w:t>A summary of our significant contractual payment obligations as of December 31, 2012 including, borrowings under our multi-currency Credit Facility and other contractual obligations,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spacing w:after="0"/>
              <w:rPr>
                <w:sz w:val="20"/>
                <w:szCs w:val="20"/>
                <w:color w:val="auto"/>
              </w:rPr>
            </w:pPr>
            <w:r>
              <w:rPr>
                <w:rFonts w:ascii="Arial" w:cs="Arial" w:eastAsia="Arial" w:hAnsi="Arial"/>
                <w:sz w:val="13"/>
                <w:szCs w:val="13"/>
                <w:b w:val="1"/>
                <w:bCs w:val="1"/>
                <w:color w:val="auto"/>
              </w:rPr>
              <w:t>Payments due by period (in millions)</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1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w w:val="88"/>
              </w:rPr>
              <w:t>Less than</w:t>
            </w:r>
          </w:p>
        </w:tc>
        <w:tc>
          <w:tcPr>
            <w:tcW w:w="760" w:type="dxa"/>
            <w:vAlign w:val="bottom"/>
            <w:gridSpan w:val="2"/>
          </w:tcPr>
          <w:p>
            <w:pPr>
              <w:jc w:val="right"/>
              <w:ind w:right="16"/>
              <w:spacing w:after="0" w:line="129" w:lineRule="exact"/>
              <w:rPr>
                <w:sz w:val="20"/>
                <w:szCs w:val="20"/>
                <w:color w:val="auto"/>
              </w:rPr>
            </w:pPr>
            <w:r>
              <w:rPr>
                <w:rFonts w:ascii="Arial" w:cs="Arial" w:eastAsia="Arial" w:hAnsi="Arial"/>
                <w:sz w:val="13"/>
                <w:szCs w:val="13"/>
                <w:b w:val="1"/>
                <w:bCs w:val="1"/>
                <w:color w:val="auto"/>
              </w:rPr>
              <w:t>1-3</w:t>
            </w:r>
          </w:p>
        </w:tc>
        <w:tc>
          <w:tcPr>
            <w:tcW w:w="880" w:type="dxa"/>
            <w:vAlign w:val="bottom"/>
            <w:gridSpan w:val="2"/>
          </w:tcPr>
          <w:p>
            <w:pPr>
              <w:jc w:val="right"/>
              <w:ind w:right="77"/>
              <w:spacing w:after="0" w:line="129" w:lineRule="exact"/>
              <w:rPr>
                <w:sz w:val="20"/>
                <w:szCs w:val="20"/>
                <w:color w:val="auto"/>
              </w:rPr>
            </w:pPr>
            <w:r>
              <w:rPr>
                <w:rFonts w:ascii="Arial" w:cs="Arial" w:eastAsia="Arial" w:hAnsi="Arial"/>
                <w:sz w:val="13"/>
                <w:szCs w:val="13"/>
                <w:b w:val="1"/>
                <w:bCs w:val="1"/>
                <w:color w:val="auto"/>
              </w:rPr>
              <w:t>3-5</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w w:val="93"/>
              </w:rPr>
              <w:t>More than</w:t>
            </w:r>
          </w:p>
        </w:tc>
        <w:tc>
          <w:tcPr>
            <w:tcW w:w="100" w:type="dxa"/>
            <w:vAlign w:val="bottom"/>
          </w:tcPr>
          <w:p>
            <w:pPr>
              <w:spacing w:after="0"/>
              <w:rPr>
                <w:sz w:val="11"/>
                <w:szCs w:val="11"/>
                <w:color w:val="auto"/>
              </w:rPr>
            </w:pPr>
          </w:p>
        </w:tc>
      </w:tr>
      <w:tr>
        <w:trPr>
          <w:trHeight w:val="161"/>
        </w:trPr>
        <w:tc>
          <w:tcPr>
            <w:tcW w:w="11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880" w:type="dxa"/>
            <w:vAlign w:val="bottom"/>
            <w:gridSpan w:val="2"/>
          </w:tcPr>
          <w:p>
            <w:pPr>
              <w:ind w:left="100"/>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3"/>
                <w:szCs w:val="13"/>
                <w:b w:val="1"/>
                <w:bCs w:val="1"/>
                <w:color w:val="auto"/>
              </w:rPr>
              <w:t>1 year</w:t>
            </w:r>
          </w:p>
        </w:tc>
        <w:tc>
          <w:tcPr>
            <w:tcW w:w="4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b w:val="1"/>
                <w:bCs w:val="1"/>
                <w:color w:val="auto"/>
                <w:w w:val="88"/>
              </w:rPr>
              <w:t>years</w:t>
            </w:r>
          </w:p>
        </w:tc>
        <w:tc>
          <w:tcPr>
            <w:tcW w:w="38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years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b w:val="1"/>
                <w:bCs w:val="1"/>
                <w:color w:val="auto"/>
              </w:rPr>
              <w:t>5 years</w:t>
            </w:r>
          </w:p>
        </w:tc>
      </w:tr>
      <w:tr>
        <w:trPr>
          <w:trHeight w:val="210"/>
        </w:trPr>
        <w:tc>
          <w:tcPr>
            <w:tcW w:w="70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Credit Facility</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$ 211.5</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center"/>
              <w:ind w:left="38"/>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85"/>
              </w:rPr>
              <w:t>$—</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$211.5</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7060" w:type="dxa"/>
            <w:vAlign w:val="bottom"/>
            <w:gridSpan w:val="2"/>
          </w:tcPr>
          <w:p>
            <w:pPr>
              <w:spacing w:after="0"/>
              <w:rPr>
                <w:sz w:val="20"/>
                <w:szCs w:val="20"/>
                <w:color w:val="auto"/>
              </w:rPr>
            </w:pPr>
            <w:r>
              <w:rPr>
                <w:rFonts w:ascii="Arial" w:cs="Arial" w:eastAsia="Arial" w:hAnsi="Arial"/>
                <w:sz w:val="18"/>
                <w:szCs w:val="18"/>
                <w:color w:val="auto"/>
              </w:rPr>
              <w:t>SBA debentures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center"/>
              <w:ind w:left="38"/>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9"/>
                <w:szCs w:val="19"/>
                <w:color w:val="auto"/>
              </w:rPr>
            </w:pPr>
          </w:p>
        </w:tc>
        <w:tc>
          <w:tcPr>
            <w:tcW w:w="3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5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9"/>
                <w:szCs w:val="19"/>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Total debt outstanding </w:t>
            </w:r>
            <w:r>
              <w:rPr>
                <w:rFonts w:ascii="Arial" w:cs="Arial" w:eastAsia="Arial" w:hAnsi="Arial"/>
                <w:sz w:val="11"/>
                <w:szCs w:val="11"/>
                <w:color w:val="auto"/>
              </w:rPr>
              <w:t>(1)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center"/>
              <w:ind w:left="38"/>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r>
      <w:tr>
        <w:trPr>
          <w:trHeight w:val="223"/>
        </w:trPr>
        <w:tc>
          <w:tcPr>
            <w:tcW w:w="7060" w:type="dxa"/>
            <w:vAlign w:val="bottom"/>
            <w:gridSpan w:val="2"/>
          </w:tcPr>
          <w:p>
            <w:pPr>
              <w:spacing w:after="0"/>
              <w:rPr>
                <w:sz w:val="20"/>
                <w:szCs w:val="20"/>
                <w:color w:val="auto"/>
              </w:rPr>
            </w:pPr>
            <w:r>
              <w:rPr>
                <w:rFonts w:ascii="Arial" w:cs="Arial" w:eastAsia="Arial" w:hAnsi="Arial"/>
                <w:sz w:val="18"/>
                <w:szCs w:val="18"/>
                <w:color w:val="auto"/>
              </w:rPr>
              <w:t xml:space="preserve">Unfunded investments </w:t>
            </w:r>
            <w:r>
              <w:rPr>
                <w:rFonts w:ascii="Arial" w:cs="Arial" w:eastAsia="Arial" w:hAnsi="Arial"/>
                <w:sz w:val="11"/>
                <w:szCs w:val="11"/>
                <w:color w:val="auto"/>
              </w:rPr>
              <w:t>(2)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center"/>
              <w:ind w:left="78"/>
              <w:spacing w:after="0"/>
              <w:rPr>
                <w:sz w:val="20"/>
                <w:szCs w:val="20"/>
                <w:color w:val="auto"/>
              </w:rPr>
            </w:pPr>
            <w:r>
              <w:rPr>
                <w:rFonts w:ascii="Arial" w:cs="Arial" w:eastAsia="Arial" w:hAnsi="Arial"/>
                <w:sz w:val="18"/>
                <w:szCs w:val="18"/>
                <w:color w:val="auto"/>
                <w:w w:val="85"/>
              </w:rPr>
              <w:t>17.4</w:t>
            </w:r>
          </w:p>
        </w:tc>
        <w:tc>
          <w:tcPr>
            <w:tcW w:w="40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380" w:type="dxa"/>
            <w:vAlign w:val="bottom"/>
          </w:tcPr>
          <w:p>
            <w:pPr>
              <w:spacing w:after="0"/>
              <w:rPr>
                <w:sz w:val="19"/>
                <w:szCs w:val="19"/>
                <w:color w:val="auto"/>
              </w:rPr>
            </w:pPr>
          </w:p>
        </w:tc>
        <w:tc>
          <w:tcPr>
            <w:tcW w:w="5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388.3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center"/>
              <w:ind w:left="78"/>
              <w:spacing w:after="0"/>
              <w:rPr>
                <w:sz w:val="20"/>
                <w:szCs w:val="20"/>
                <w:color w:val="auto"/>
              </w:rPr>
            </w:pPr>
            <w:r>
              <w:rPr>
                <w:rFonts w:ascii="Arial" w:cs="Arial" w:eastAsia="Arial" w:hAnsi="Arial"/>
                <w:sz w:val="18"/>
                <w:szCs w:val="18"/>
                <w:color w:val="auto"/>
                <w:w w:val="85"/>
              </w:rPr>
              <w:t>17.4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$ 8.7</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211.5</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00" w:type="dxa"/>
            <w:vAlign w:val="bottom"/>
            <w:shd w:val="clear" w:color="auto" w:fill="CCEEFF"/>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20" w:type="dxa"/>
            <w:vAlign w:val="bottom"/>
            <w:tcBorders>
              <w:bottom w:val="single" w:sz="8" w:color="auto"/>
            </w:tcBorders>
          </w:tcPr>
          <w:p>
            <w:pPr>
              <w:spacing w:after="0"/>
              <w:rPr>
                <w:sz w:val="8"/>
                <w:szCs w:val="8"/>
                <w:color w:val="auto"/>
              </w:rPr>
            </w:pPr>
          </w:p>
        </w:tc>
        <w:tc>
          <w:tcPr>
            <w:tcW w:w="59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40" w:hanging="452"/>
        <w:spacing w:after="0" w:line="25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weighted average interest rate on the total debt outstanding as of December 31, 2012 was 3.29% exclusive of the fee on the undrawn commitment of 0.50% on the Credit Facility and 3.43% of upfront fees on SBIC LP’s SBA debentures.</w:t>
      </w: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Unfunded debt investments described in the Consolidated Statement of Assets and Liabilities represent unfunded delayed draws on investments.</w:t>
      </w:r>
    </w:p>
    <w:p>
      <w:pPr>
        <w:spacing w:after="0" w:line="188" w:lineRule="exact"/>
        <w:rPr>
          <w:sz w:val="20"/>
          <w:szCs w:val="20"/>
          <w:color w:val="auto"/>
        </w:rPr>
      </w:pPr>
    </w:p>
    <w:p>
      <w:pPr>
        <w:ind w:right="80" w:firstLine="449"/>
        <w:spacing w:after="0" w:line="291" w:lineRule="auto"/>
        <w:rPr>
          <w:sz w:val="20"/>
          <w:szCs w:val="20"/>
          <w:color w:val="auto"/>
        </w:rPr>
      </w:pPr>
      <w:r>
        <w:rPr>
          <w:rFonts w:ascii="Arial" w:cs="Arial" w:eastAsia="Arial" w:hAnsi="Arial"/>
          <w:sz w:val="16"/>
          <w:szCs w:val="16"/>
          <w:color w:val="auto"/>
        </w:rPr>
        <w:t>We have entered into certain contracts under which we have material future commitments. Under our Investment Management Agreement, which was most recently reapproved in February 2013, PennantPark Investment Advisers serves as our Investment Adviser in accordance with the terms of that Investment Management Agreement. PennantPark Investment, through the Investment Adviser, provides similar services to our SBIC Funds under their investment management agreements with us. Our SBIC Funds’ investment management agreement do not affect the management or incentive fees that we pay to the Investment Adviser on a consolidated basis. Payments under our Investment Management Agreement in each reporting period are equal to (1) a management fee equal to a percentage of the value of our average adjusted gross assets and (2) an incentive fee based on our performance.</w:t>
      </w:r>
    </w:p>
    <w:p>
      <w:pPr>
        <w:spacing w:after="0" w:line="120" w:lineRule="exact"/>
        <w:rPr>
          <w:sz w:val="20"/>
          <w:szCs w:val="20"/>
          <w:color w:val="auto"/>
        </w:rPr>
      </w:pPr>
    </w:p>
    <w:p>
      <w:pPr>
        <w:ind w:right="80" w:firstLine="449"/>
        <w:spacing w:after="0" w:line="288" w:lineRule="auto"/>
        <w:rPr>
          <w:sz w:val="20"/>
          <w:szCs w:val="20"/>
          <w:color w:val="auto"/>
        </w:rPr>
      </w:pPr>
      <w:r>
        <w:rPr>
          <w:rFonts w:ascii="Arial" w:cs="Arial" w:eastAsia="Arial" w:hAnsi="Arial"/>
          <w:sz w:val="16"/>
          <w:szCs w:val="16"/>
          <w:color w:val="auto"/>
        </w:rPr>
        <w:t>Under our Administration Agreement, which was most recently reapproved in February 2013, PennantPark Investment Administration furnishes us with office facilities and administrative services necessary to conduct our day-to-day operations. PennantPark Investment, through the Administrator, provides similar services to our SBIC Funds under their administration agreements, which are intended to have no effect on the consolidated administration fee. If requested to provide managerial assistance to our portfolio companies, PennantPark Investment Advisers or PennantPark Investment Administration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w:t>
      </w:r>
    </w:p>
    <w:p>
      <w:pPr>
        <w:spacing w:after="0" w:line="124" w:lineRule="exact"/>
        <w:rPr>
          <w:sz w:val="20"/>
          <w:szCs w:val="20"/>
          <w:color w:val="auto"/>
        </w:rPr>
      </w:pPr>
    </w:p>
    <w:p>
      <w:pPr>
        <w:ind w:right="80" w:firstLine="449"/>
        <w:spacing w:after="0" w:line="306"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currently engage in no off-balance sheet arrangements, including any risk management of commodity pricing or other hedging practices.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459"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and Distributions</w:t>
      </w:r>
    </w:p>
    <w:p>
      <w:pPr>
        <w:spacing w:after="0" w:line="90" w:lineRule="exact"/>
        <w:rPr>
          <w:sz w:val="20"/>
          <w:szCs w:val="20"/>
          <w:color w:val="auto"/>
        </w:rPr>
      </w:pPr>
    </w:p>
    <w:p>
      <w:pPr>
        <w:ind w:right="40" w:firstLine="449"/>
        <w:spacing w:after="0" w:line="283" w:lineRule="auto"/>
        <w:rPr>
          <w:sz w:val="20"/>
          <w:szCs w:val="20"/>
          <w:color w:val="auto"/>
        </w:rPr>
      </w:pPr>
      <w:r>
        <w:rPr>
          <w:rFonts w:ascii="Arial" w:cs="Arial" w:eastAsia="Arial" w:hAnsi="Arial"/>
          <w:sz w:val="16"/>
          <w:szCs w:val="16"/>
          <w:color w:val="auto"/>
        </w:rPr>
        <w:t>In order to qualify as a RIC and to not be subject to corporate-level tax on income, we are required, under Subchapter M of the Code, to distribute annually dividends of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net ordinary income for the calendar year, (2) 98.2% of our realized net capital gains for the one-year period ending on October 31 of the calendar year and</w:t>
      </w:r>
    </w:p>
    <w:p>
      <w:pPr>
        <w:spacing w:after="0" w:line="2" w:lineRule="exact"/>
        <w:rPr>
          <w:sz w:val="20"/>
          <w:szCs w:val="20"/>
          <w:color w:val="auto"/>
        </w:rPr>
      </w:pPr>
    </w:p>
    <w:p>
      <w:pPr>
        <w:ind w:right="180" w:firstLine="8"/>
        <w:spacing w:after="0" w:line="295" w:lineRule="auto"/>
        <w:tabs>
          <w:tab w:leader="none" w:pos="2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net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 additional liquidity. For the three months ended December 31, 2012, and 2011, we elected to retain a portion of our calendar year income and incurred an excise tax of approximately $0.1 million.</w:t>
      </w:r>
    </w:p>
    <w:p>
      <w:pPr>
        <w:spacing w:after="0" w:line="115" w:lineRule="exact"/>
        <w:rPr>
          <w:sz w:val="20"/>
          <w:szCs w:val="20"/>
          <w:color w:val="auto"/>
        </w:rPr>
      </w:pPr>
    </w:p>
    <w:p>
      <w:pPr>
        <w:ind w:firstLine="449"/>
        <w:spacing w:after="0" w:line="294" w:lineRule="auto"/>
        <w:rPr>
          <w:sz w:val="20"/>
          <w:szCs w:val="20"/>
          <w:color w:val="auto"/>
        </w:rPr>
      </w:pPr>
      <w:r>
        <w:rPr>
          <w:rFonts w:ascii="Arial" w:cs="Arial" w:eastAsia="Arial" w:hAnsi="Arial"/>
          <w:sz w:val="16"/>
          <w:szCs w:val="16"/>
          <w:color w:val="auto"/>
        </w:rPr>
        <w:t>During the three months ended December 31, 2012 and 2011, we declared dividends of $0.28 and $0.28 per share, respectively, for total dividends of $18.6 million and $12.8 million, respectively. We monitor available net investment income to determine if a return of capital for taxation purposes may occur for the fiscal year. To the extent our taxable earnings fall below the total amount of our distributions for any given fiscal year, a portion of those distributions may be deemed to be a return of capital to our common stockholders. Tax characteristics of all distributions will be reported to stockholders on Form 1099-DIV after the end of the calendar year and in our periodic reports filed with the Securities Exchange Commission.</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make quarterly dividends to our stockholders. Our quarterly dividends, if any, are determined by our board of directors.</w:t>
      </w:r>
    </w:p>
    <w:p>
      <w:pPr>
        <w:spacing w:after="0" w:line="194"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40"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ratio for borrowings applicable to us as a BDC under the 1940 Act and/or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90"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On January 22, 2013, we issued $67.5 million in aggregate principal amount of 6.25% senior notes due 2025 for net proceeds of $65.2 million (the “2025 Notes”) after underwriting discounts and offering costs. Interest on the 2025 Notes is paid quarterly on February 1, May 1, August 1 and November 1, at a rate of 6.25% per year, commencing on May 1, 2013. The 2025 Notes mature on February 1, 2025. We may redeem the Notes in whole or in part at any time or from time to time on or after February 1, 2016. The 2025 Notes are general, unsecured obligations and will rank equal in right of payment with all of our existing and future senior unsecured indebtedness. The proceeds from the sale of the 2025 Notes are being used to repay indebtedness owed under the Credit Facility, to invest in new or existing portfolio companies, or for other general corporate or strategic purposes.</w:t>
      </w:r>
    </w:p>
    <w:p>
      <w:pPr>
        <w:spacing w:after="0" w:line="120"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Effective January 24, 2013, our wholly-owned subsidiary, PennantPark SBIC II LP, received a license from the SBA to operate as an SBIC under the 1958 Act. As an SBIC, PennantPark SBIC II LP will be subject to a variety of regulations and oversight by the SBA concerning, among other things, the size and nature of the companies in which it may invest as well as the structure of those investments.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459"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firstLine="449"/>
        <w:spacing w:after="0" w:line="294" w:lineRule="auto"/>
        <w:rPr>
          <w:sz w:val="20"/>
          <w:szCs w:val="20"/>
          <w:color w:val="auto"/>
        </w:rPr>
      </w:pPr>
      <w:r>
        <w:rPr>
          <w:rFonts w:ascii="Arial" w:cs="Arial" w:eastAsia="Arial" w:hAnsi="Arial"/>
          <w:sz w:val="16"/>
          <w:szCs w:val="16"/>
          <w:color w:val="auto"/>
        </w:rPr>
        <w:t>We are subject to financial market risks, including changes in interest rates. As of December 31, 2012, our portfolio consisted of 66% fixed-rate and 34% variable-rate investments (including 29% with a LIBOR, or prime floor). The variable-rate loans are usually based on a floating LIBOR rate and typically have durations of three months after which they reset to current market interest rates. Variable rate investments subject to a floor generally reset by reference to the current market index after one to six months only if the index exceeds the floor. In regards to variable rate instruments with a floor, we do not benefit from increases in interest rates until such rates exceed the floor and thereafter benefit from market rates above any such floor.</w:t>
      </w:r>
    </w:p>
    <w:p>
      <w:pPr>
        <w:spacing w:after="0" w:line="115" w:lineRule="exact"/>
        <w:rPr>
          <w:sz w:val="20"/>
          <w:szCs w:val="20"/>
          <w:color w:val="auto"/>
        </w:rPr>
      </w:pPr>
    </w:p>
    <w:p>
      <w:pPr>
        <w:ind w:right="160" w:firstLine="449"/>
        <w:spacing w:after="0" w:line="294" w:lineRule="auto"/>
        <w:rPr>
          <w:sz w:val="20"/>
          <w:szCs w:val="20"/>
          <w:color w:val="auto"/>
        </w:rPr>
      </w:pPr>
      <w:r>
        <w:rPr>
          <w:rFonts w:ascii="Arial" w:cs="Arial" w:eastAsia="Arial" w:hAnsi="Arial"/>
          <w:sz w:val="16"/>
          <w:szCs w:val="16"/>
          <w:color w:val="auto"/>
        </w:rPr>
        <w:t>Assuming that the current balance sheet were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balance sheet and other business developments that could affect net increase in net assets resulting from operations, or net income. Accordingly, no assurances can be given that actual results would not differ materially from the statement above.</w:t>
      </w:r>
    </w:p>
    <w:p>
      <w:pPr>
        <w:spacing w:after="0" w:line="115"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the rate at which we borrow funds and the rate at which we invest these funds. As a result, there can be no assurance that a significant change in market interest rates will not have a material adverse effect on our net investment income.</w:t>
      </w:r>
    </w:p>
    <w:p>
      <w:pPr>
        <w:spacing w:after="0" w:line="140" w:lineRule="exact"/>
        <w:rPr>
          <w:sz w:val="20"/>
          <w:szCs w:val="20"/>
          <w:color w:val="auto"/>
        </w:rPr>
      </w:pPr>
    </w:p>
    <w:p>
      <w:pPr>
        <w:ind w:right="260" w:firstLine="449"/>
        <w:spacing w:after="0" w:line="298" w:lineRule="auto"/>
        <w:rPr>
          <w:sz w:val="20"/>
          <w:szCs w:val="20"/>
          <w:color w:val="auto"/>
        </w:rPr>
      </w:pPr>
      <w:r>
        <w:rPr>
          <w:rFonts w:ascii="Arial" w:cs="Arial" w:eastAsia="Arial" w:hAnsi="Arial"/>
          <w:sz w:val="16"/>
          <w:szCs w:val="16"/>
          <w:color w:val="auto"/>
        </w:rPr>
        <w:t>We may hedge against interest rate fluctuations by using standard hedging instruments such as futures, options and forward contracts subject to the requirements of the 1940 Act and applicable commodities laws. While hedging activities may insulate us against adverse changes in interest rates, they may also limit our ability to participate in benefits of lower interest rates with respect to our portfolio of investments with fixed interest rates. During the periods covered by this Report, we did not engage in interest rate hedging activities.</w:t>
      </w:r>
    </w:p>
    <w:p>
      <w:pPr>
        <w:spacing w:after="0" w:line="22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60" w:firstLine="449"/>
        <w:spacing w:after="0" w:line="288" w:lineRule="auto"/>
        <w:rPr>
          <w:sz w:val="20"/>
          <w:szCs w:val="20"/>
          <w:color w:val="auto"/>
        </w:rPr>
      </w:pPr>
      <w:r>
        <w:rPr>
          <w:rFonts w:ascii="Arial" w:cs="Arial" w:eastAsia="Arial" w:hAnsi="Arial"/>
          <w:sz w:val="16"/>
          <w:szCs w:val="16"/>
          <w:color w:val="auto"/>
        </w:rPr>
        <w:t>As of the period covered by this Report,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are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19" w:lineRule="exact"/>
        <w:rPr>
          <w:sz w:val="20"/>
          <w:szCs w:val="20"/>
          <w:color w:val="auto"/>
        </w:rPr>
      </w:pPr>
    </w:p>
    <w:p>
      <w:pPr>
        <w:ind w:right="660" w:firstLine="449"/>
        <w:spacing w:after="0" w:line="268"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quarter ended December 31, 2012 that have materially affected, or are reasonably likely to materially affect, our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459" w:right="3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280" w:firstLine="449"/>
        <w:spacing w:after="0" w:line="294" w:lineRule="auto"/>
        <w:rPr>
          <w:sz w:val="20"/>
          <w:szCs w:val="20"/>
          <w:color w:val="auto"/>
        </w:rPr>
      </w:pPr>
      <w:r>
        <w:rPr>
          <w:rFonts w:ascii="Arial" w:cs="Arial" w:eastAsia="Arial" w:hAnsi="Arial"/>
          <w:sz w:val="16"/>
          <w:szCs w:val="16"/>
          <w:color w:val="auto"/>
        </w:rPr>
        <w:t>Neither we nor our Investment Adviser nor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23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140" w:firstLine="449"/>
        <w:spacing w:after="0" w:line="291" w:lineRule="auto"/>
        <w:rPr>
          <w:sz w:val="20"/>
          <w:szCs w:val="20"/>
          <w:color w:val="auto"/>
        </w:rPr>
      </w:pPr>
      <w:r>
        <w:rPr>
          <w:rFonts w:ascii="Arial" w:cs="Arial" w:eastAsia="Arial" w:hAnsi="Arial"/>
          <w:sz w:val="16"/>
          <w:szCs w:val="16"/>
          <w:color w:val="auto"/>
        </w:rPr>
        <w:t>Before you invest in our securities, you should be aware of various risks, including those described below. You should carefully consider these risk factors, together with all of the other information included in this Report, before you decide whether to make an investment in our securities. The risks set out below are not the only risks we face. Additional risks and uncertainties not currently known to us or that we currently deem to be immaterial also may have a material adverse effect on our business, financial condition and/or operating results. If any of the following events occur, our business, financial condition and results of operations could be materially adversely affected. In such case, our net asset value and the trading price of our common stock, or any securities we may issue, could decline, and you may lose all or part of your investment.</w:t>
      </w:r>
    </w:p>
    <w:p>
      <w:pPr>
        <w:spacing w:after="0" w:line="114" w:lineRule="exact"/>
        <w:rPr>
          <w:sz w:val="20"/>
          <w:szCs w:val="20"/>
          <w:color w:val="auto"/>
        </w:rPr>
      </w:pPr>
    </w:p>
    <w:p>
      <w:pPr>
        <w:ind w:right="120" w:firstLine="449"/>
        <w:spacing w:after="0" w:line="275" w:lineRule="auto"/>
        <w:rPr>
          <w:sz w:val="20"/>
          <w:szCs w:val="20"/>
          <w:color w:val="auto"/>
        </w:rPr>
      </w:pPr>
      <w:r>
        <w:rPr>
          <w:rFonts w:ascii="Arial" w:cs="Arial" w:eastAsia="Arial" w:hAnsi="Arial"/>
          <w:sz w:val="18"/>
          <w:szCs w:val="18"/>
          <w:b w:val="1"/>
          <w:bCs w:val="1"/>
          <w:color w:val="auto"/>
        </w:rPr>
        <w:t>The 2025 Notes are unsecured and therefore are effectively subordinated to any secured indebtedness we have currently incurred or may incur in the future.</w:t>
      </w:r>
    </w:p>
    <w:p>
      <w:pPr>
        <w:spacing w:after="0" w:line="126"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The 2025 Notes are not secured by any of our assets or any of the assets of our subsidiaries. As a result, the 2025 Notes are effectively subordinated to any secured indebtedness we or our subsidiaries have currently incurred and may incur in the future (or any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2025 Notes. As of December 31, 2012, we had $211.5 million outstanding under the Credit Facility. The Credit Facility is secured by substantially all of the assets in our portfolio (other than assets held by our SBIC Funds), and the indebtedness under the Credit Facility is therefore effectively senior in right of payment to the 2025 Notes to the extent of the value of such assets.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2025 Notes are structurally subordinated to the indebtedness and other liabilities of our subsidiaries.</w:t>
      </w:r>
    </w:p>
    <w:p>
      <w:pPr>
        <w:spacing w:after="0" w:line="177" w:lineRule="exact"/>
        <w:rPr>
          <w:sz w:val="20"/>
          <w:szCs w:val="20"/>
          <w:color w:val="auto"/>
        </w:rPr>
      </w:pPr>
    </w:p>
    <w:p>
      <w:pPr>
        <w:ind w:firstLine="449"/>
        <w:spacing w:after="0" w:line="256" w:lineRule="auto"/>
        <w:rPr>
          <w:sz w:val="20"/>
          <w:szCs w:val="20"/>
          <w:color w:val="auto"/>
        </w:rPr>
      </w:pPr>
      <w:r>
        <w:rPr>
          <w:rFonts w:ascii="Arial" w:cs="Arial" w:eastAsia="Arial" w:hAnsi="Arial"/>
          <w:sz w:val="18"/>
          <w:szCs w:val="18"/>
          <w:color w:val="auto"/>
        </w:rPr>
        <w:t>The 2025 Notes are obligations exclusively of PennantPark Investment Corporation and not of any of our subsidiaries. None of our subsidiaries are or act as a guarantor of the 2025 Notes and the 2025 Notes are not required to be guaranteed by any subsidiaries we may acquire or create in the future. Our secured indebtedness with respect to the SBA debentures is held through our SBIC Funds. The assets of any such subsidiaries are not directly available to satisfy the claims of our creditors, including holders of the 2025 Notes.</w:t>
      </w:r>
    </w:p>
    <w:p>
      <w:pPr>
        <w:spacing w:after="0" w:line="143"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Except to the extent we are a creditor with recognized claims against our subsidiaries, all claims of creditors (including holders of preferred stock, if any, of our subsidiaries) will have priority over our equity interests in such subsidiaries (and therefore the claims of our creditors, including holders of the 2025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2025 Notes are structurally subordinated to all indebtedness and other liabilities (including trade payables) of our subsidiaries and any subsidiaries that we may in the future acquire or establish as financing vehicles or otherwise. As of December 31, 2012, SBIC LP had $150.0 million of SBA debentures outstanding. All of such indebtedness is structurally senior to the 2025 Notes. In addition, our subsidiaries may incur substantial additional indebtedness in the future, all of which would be structurally senior to the 2025 Notes.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indenture under which the 2025 Notes were issued contains limited protection for holders of the 2025 Notes.</w:t>
      </w:r>
    </w:p>
    <w:p>
      <w:pPr>
        <w:spacing w:after="0" w:line="177" w:lineRule="exact"/>
        <w:rPr>
          <w:sz w:val="20"/>
          <w:szCs w:val="20"/>
          <w:color w:val="auto"/>
        </w:rPr>
      </w:pPr>
    </w:p>
    <w:p>
      <w:pPr>
        <w:ind w:right="40" w:firstLine="449"/>
        <w:spacing w:after="0" w:line="256" w:lineRule="auto"/>
        <w:rPr>
          <w:sz w:val="20"/>
          <w:szCs w:val="20"/>
          <w:color w:val="auto"/>
        </w:rPr>
      </w:pPr>
      <w:r>
        <w:rPr>
          <w:rFonts w:ascii="Arial" w:cs="Arial" w:eastAsia="Arial" w:hAnsi="Arial"/>
          <w:sz w:val="18"/>
          <w:szCs w:val="18"/>
          <w:color w:val="auto"/>
        </w:rPr>
        <w:t>The indenture under which the 2025 Notes were issued offers limited protection to holders of the 2025 Notes. The terms of the indenture and the 2025 Notes do not restrict our or any of our subsidiaries’ ability to engage in, or otherwise be a party to, a variety of corporate transactions, circumstances or events that could have an adverse impact on investment in the 2025 Notes. In particular, the terms of the indenture and the 2025 Notes do not place any restrictions on our or our subsidiaries’ ability to:</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459"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880" w:right="20" w:hanging="319"/>
        <w:spacing w:after="0" w:line="288" w:lineRule="auto"/>
        <w:tabs>
          <w:tab w:leader="none" w:pos="8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issue securities or otherwise incur additional indebtedness or other obligations, including (1) any indebtedness or other obligations that would be equal in right of payment to the 2025 Notes, (2) any indebtedness or other obligations that would be secured and therefore rank effectively senior in right of payment to the 2025 Notes to the extent of the values of the assets securing such debt, (3) indebtedness of ours that is guaranteed by one or more of our subsidiaries and which therefore would rank structurally senior to the 2025 Notes and (4) securities, indebtedness or other obligations issued or incurred by our subsidiaries that would be senior in right of payment to our equity interests in our subsidiaries and therefore would rank structurally senior in right of payment to the 2025 Notes with respect to the assets of our subsidiaries, in each case other than an incurrence of indebtedness or other obligation that would cause a violation of Section 18(a)(1)(A) as modified by Section 61(a)(1) of the 1940 Act or any successor provisions;</w:t>
      </w:r>
    </w:p>
    <w:p>
      <w:pPr>
        <w:spacing w:after="0" w:line="42" w:lineRule="exact"/>
        <w:rPr>
          <w:rFonts w:ascii="Arial" w:cs="Arial" w:eastAsia="Arial" w:hAnsi="Arial"/>
          <w:sz w:val="16"/>
          <w:szCs w:val="16"/>
          <w:color w:val="auto"/>
        </w:rPr>
      </w:pPr>
    </w:p>
    <w:p>
      <w:pPr>
        <w:ind w:left="880" w:right="60" w:hanging="319"/>
        <w:spacing w:after="0" w:line="268"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 dividends on, or purchase or redeem or make any payments in respect of, capital stock or other securities ranking junior in right of payment to the 2025 Notes;</w:t>
      </w:r>
    </w:p>
    <w:p>
      <w:pPr>
        <w:spacing w:after="0" w:line="50" w:lineRule="exact"/>
        <w:rPr>
          <w:rFonts w:ascii="Arial" w:cs="Arial" w:eastAsia="Arial" w:hAnsi="Arial"/>
          <w:sz w:val="18"/>
          <w:szCs w:val="18"/>
          <w:color w:val="auto"/>
        </w:rPr>
      </w:pPr>
    </w:p>
    <w:p>
      <w:pPr>
        <w:ind w:left="880" w:hanging="31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sell assets (other than certain limited restrictions on our ability to consolidate, merge or sell all or substantially all of our assets);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create liens (including liens on the shares of our subsidiaries) or enter into sale and leaseback transactions;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investments; or</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create restrictions on the payment of dividends or other amounts to us from our subsidiaries.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the indenture does not require us to offer to purchase the 2025 Notes in connection with a change of control or any other event.</w:t>
      </w:r>
    </w:p>
    <w:p>
      <w:pPr>
        <w:spacing w:after="0" w:line="194" w:lineRule="exact"/>
        <w:rPr>
          <w:sz w:val="20"/>
          <w:szCs w:val="20"/>
          <w:color w:val="auto"/>
        </w:rPr>
      </w:pPr>
    </w:p>
    <w:p>
      <w:pPr>
        <w:ind w:right="120" w:firstLine="449"/>
        <w:spacing w:after="0" w:line="306" w:lineRule="auto"/>
        <w:rPr>
          <w:sz w:val="20"/>
          <w:szCs w:val="20"/>
          <w:color w:val="auto"/>
        </w:rPr>
      </w:pPr>
      <w:r>
        <w:rPr>
          <w:rFonts w:ascii="Arial" w:cs="Arial" w:eastAsia="Arial" w:hAnsi="Arial"/>
          <w:sz w:val="16"/>
          <w:szCs w:val="16"/>
          <w:color w:val="auto"/>
        </w:rPr>
        <w:t>Furthermore, the terms of the indenture and the 2025 Notes do not protect holders of the 2025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except as required under the 1940 Act.</w:t>
      </w:r>
    </w:p>
    <w:p>
      <w:pPr>
        <w:spacing w:after="0" w:line="106" w:lineRule="exact"/>
        <w:rPr>
          <w:sz w:val="20"/>
          <w:szCs w:val="20"/>
          <w:color w:val="auto"/>
        </w:rPr>
      </w:pPr>
    </w:p>
    <w:p>
      <w:pPr>
        <w:ind w:right="280" w:firstLine="449"/>
        <w:spacing w:after="0" w:line="259" w:lineRule="auto"/>
        <w:rPr>
          <w:sz w:val="20"/>
          <w:szCs w:val="20"/>
          <w:color w:val="auto"/>
        </w:rPr>
      </w:pPr>
      <w:r>
        <w:rPr>
          <w:rFonts w:ascii="Arial" w:cs="Arial" w:eastAsia="Arial" w:hAnsi="Arial"/>
          <w:sz w:val="18"/>
          <w:szCs w:val="18"/>
          <w:color w:val="auto"/>
        </w:rPr>
        <w:t>Our ability to recapitalize, incur additional debt and take a number of other actions that are not limited by the terms of the 2025 Notes may have important consequences for a holder of the 2025 Notes, including making it more difficult for us to satisfy our obligations with respect to the 2025 Notes or negatively affecting the trading value of the 2025 Notes.</w:t>
      </w:r>
    </w:p>
    <w:p>
      <w:pPr>
        <w:spacing w:after="0" w:line="140" w:lineRule="exact"/>
        <w:rPr>
          <w:sz w:val="20"/>
          <w:szCs w:val="20"/>
          <w:color w:val="auto"/>
        </w:rPr>
      </w:pPr>
    </w:p>
    <w:p>
      <w:pPr>
        <w:jc w:val="both"/>
        <w:ind w:firstLine="449"/>
        <w:spacing w:after="0" w:line="306" w:lineRule="auto"/>
        <w:rPr>
          <w:sz w:val="20"/>
          <w:szCs w:val="20"/>
          <w:color w:val="auto"/>
        </w:rPr>
      </w:pPr>
      <w:r>
        <w:rPr>
          <w:rFonts w:ascii="Arial" w:cs="Arial" w:eastAsia="Arial" w:hAnsi="Arial"/>
          <w:sz w:val="16"/>
          <w:szCs w:val="16"/>
          <w:color w:val="auto"/>
        </w:rPr>
        <w:t>Certain of our current debt instruments include more protections for their holders than the indenture and the 2025 Notes. In addition, other debt we issue or incur in the future could contain more protections for its holders than the indenture and the 2025 Notes, including additional covenants and events of default. The issuance or incurrence of any such debt with incremental protections could affect the market for and trading levels and prices of the 2025 Notes.</w:t>
      </w:r>
    </w:p>
    <w:p>
      <w:pPr>
        <w:spacing w:after="0" w:line="100" w:lineRule="exact"/>
        <w:rPr>
          <w:sz w:val="20"/>
          <w:szCs w:val="20"/>
          <w:color w:val="auto"/>
        </w:rPr>
      </w:pPr>
    </w:p>
    <w:p>
      <w:pPr>
        <w:jc w:val="both"/>
        <w:ind w:right="200" w:firstLine="449"/>
        <w:spacing w:after="0" w:line="262" w:lineRule="auto"/>
        <w:rPr>
          <w:sz w:val="20"/>
          <w:szCs w:val="20"/>
          <w:color w:val="auto"/>
        </w:rPr>
      </w:pPr>
      <w:r>
        <w:rPr>
          <w:rFonts w:ascii="Arial" w:cs="Arial" w:eastAsia="Arial" w:hAnsi="Arial"/>
          <w:sz w:val="18"/>
          <w:szCs w:val="18"/>
          <w:b w:val="1"/>
          <w:bCs w:val="1"/>
          <w:color w:val="auto"/>
        </w:rPr>
        <w:t>An active trading market for the 2025 Notes may not develop, which could limit the market price of the 2025 Notes or the ability of holders of the 2025 Notes to sell them. If a rating agency assigns the 2025 Notes a non-investment grade rating, the 2025 Notes may be subject to greater price volatility than similar securities without such a rating.</w:t>
      </w:r>
    </w:p>
    <w:p>
      <w:pPr>
        <w:spacing w:after="0" w:line="138" w:lineRule="exact"/>
        <w:rPr>
          <w:sz w:val="20"/>
          <w:szCs w:val="20"/>
          <w:color w:val="auto"/>
        </w:rPr>
      </w:pPr>
    </w:p>
    <w:p>
      <w:pPr>
        <w:ind w:right="60" w:firstLine="449"/>
        <w:spacing w:after="0" w:line="287" w:lineRule="auto"/>
        <w:rPr>
          <w:sz w:val="20"/>
          <w:szCs w:val="20"/>
          <w:color w:val="auto"/>
        </w:rPr>
      </w:pPr>
      <w:r>
        <w:rPr>
          <w:rFonts w:ascii="Arial" w:cs="Arial" w:eastAsia="Arial" w:hAnsi="Arial"/>
          <w:sz w:val="16"/>
          <w:szCs w:val="16"/>
          <w:color w:val="auto"/>
        </w:rPr>
        <w:t>The 2025 Notes are a new issue of debt securities. Although we recently listed the 2025 Notes on the New York Stock Exchange we cannot provide any assurances that an active trading market will develop for the 2025 Notes or that holders of the 2025 Notes will be able to sell their 2025 Notes. If the 2025 Notes are traded after their initial issuance, they may trade at a discount from their initial offering price depending on prevailing interest rates, the market for similar securities, our credit ratings, general economic conditions, our financial condition, performance and prospects and other factors. If a rating agency assigns the 2025 Notes a non-investment grade rating, the 2025 Notes may be subject to greater price volatility than securities of similar maturity without such a non-investment grade rating. The underwriters may discontinue any market-making in the 2025 Notes at any time at their sole discretion. Accordingly, we cannot assure holders of the 2025 Notes that a liquid trading market will develop for the 2025 Notes, that they will be able to sell their 2025 Notes at a particular time or that the price you receive when you sell will be favorable. To the extent an active trading market does not develop, the liquidity and trading price for the 2025 Notes may be harmed. Accordingly, holders of the 2025 Notes may be required to bear the financial risk of an investment in the 2025 Notes for an indefinite period of time.</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20" w:top="459" w:right="3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FATCA withholding may apply to payments to certain foreign entities.</w:t>
      </w:r>
    </w:p>
    <w:p>
      <w:pPr>
        <w:spacing w:after="0" w:line="96" w:lineRule="exact"/>
        <w:rPr>
          <w:sz w:val="20"/>
          <w:szCs w:val="20"/>
          <w:color w:val="auto"/>
        </w:rPr>
      </w:pPr>
    </w:p>
    <w:p>
      <w:pPr>
        <w:ind w:right="80" w:firstLine="449"/>
        <w:spacing w:after="0" w:line="294" w:lineRule="auto"/>
        <w:rPr>
          <w:sz w:val="20"/>
          <w:szCs w:val="20"/>
          <w:color w:val="auto"/>
        </w:rPr>
      </w:pPr>
      <w:r>
        <w:rPr>
          <w:rFonts w:ascii="Arial" w:cs="Arial" w:eastAsia="Arial" w:hAnsi="Arial"/>
          <w:sz w:val="16"/>
          <w:szCs w:val="16"/>
          <w:color w:val="auto"/>
        </w:rPr>
        <w:t>Payments made under the 2025 Notes to a foreign financial institution or non-financial foreign entity (including such an institution or entity acting as an intermediary) may be subject to a U.S. withholding tax of 30% under a law (commonly known as “FATCA”) that was enacted in 2010. This tax may apply to certain payments of interest as well as payments made upon maturity, redemption, or sale of the 2025 Notes, unless the foreign financial institution or non-financial foreign entity complies with certain information reporting, withholding, identification, certification and related requirements imposed by FATCA. Holders of the 2025 Notes should consult their own tax advisors regarding FATCA and how it may affect their investment in the 2025 Notes.</w:t>
      </w:r>
    </w:p>
    <w:p>
      <w:pPr>
        <w:spacing w:after="0" w:line="115"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In addition to the risk factors above and other information set forth in this Report, you should consider carefully the factors discussed in Part I “Item 1A. Risk Factors” in our Annual Report on Form 10-K for the fiscal year ended September 30, 2012, which could materially affect our business, financial condition and/or operating results.</w:t>
      </w:r>
    </w:p>
    <w:p>
      <w:pPr>
        <w:spacing w:after="0" w:line="25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320" w:top="459" w:right="3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Unless specifically indicated otherwise, the following exhibits are incorporated by reference to exhibits previously filed with the SEC:</w:t>
      </w:r>
    </w:p>
    <w:p>
      <w:pPr>
        <w:spacing w:after="0" w:line="212" w:lineRule="exact"/>
        <w:rPr>
          <w:sz w:val="20"/>
          <w:szCs w:val="20"/>
          <w:color w:val="auto"/>
        </w:rPr>
      </w:pPr>
    </w:p>
    <w:p>
      <w:pPr>
        <w:ind w:left="880" w:right="60" w:hanging="789"/>
        <w:spacing w:after="0" w:line="268" w:lineRule="auto"/>
        <w:tabs>
          <w:tab w:leader="none" w:pos="8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Articles of Incorporation (Incorporated by reference to the Registrant’s Pre-Effective Amendment No.1 to the Registration Statement on Form N-2/A (File No. 333-140092), filed on March 5, 2007).</w:t>
      </w:r>
    </w:p>
    <w:p>
      <w:pPr>
        <w:spacing w:after="0" w:line="78" w:lineRule="exact"/>
        <w:rPr>
          <w:sz w:val="20"/>
          <w:szCs w:val="20"/>
          <w:color w:val="auto"/>
        </w:rPr>
      </w:pPr>
    </w:p>
    <w:p>
      <w:pPr>
        <w:ind w:left="880" w:right="120" w:hanging="789"/>
        <w:spacing w:after="0" w:line="268" w:lineRule="auto"/>
        <w:tabs>
          <w:tab w:leader="none" w:pos="8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Amended and Restated Bylaws of the Registrant (Incorporated by reference to Exhibit 3.2 to the Registrant’s Annual Report on Form 10-K (File No. 814-00736), filed on November 16, 2011).</w:t>
      </w:r>
    </w:p>
    <w:p>
      <w:pPr>
        <w:spacing w:after="0" w:line="78" w:lineRule="exact"/>
        <w:rPr>
          <w:sz w:val="20"/>
          <w:szCs w:val="20"/>
          <w:color w:val="auto"/>
        </w:rPr>
      </w:pPr>
    </w:p>
    <w:p>
      <w:pPr>
        <w:ind w:left="100"/>
        <w:spacing w:after="0"/>
        <w:tabs>
          <w:tab w:leader="none" w:pos="8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Form of Share Certificate (Incorporated by reference to Exhibit 99(d)(1) to the Registrant’s Registration Statement on Form N-2 (File No. 333-</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150033), filed on April 2, 2008).</w:t>
      </w:r>
    </w:p>
    <w:p>
      <w:pPr>
        <w:spacing w:after="0" w:line="111" w:lineRule="exact"/>
        <w:rPr>
          <w:sz w:val="20"/>
          <w:szCs w:val="20"/>
          <w:color w:val="auto"/>
        </w:rPr>
      </w:pPr>
    </w:p>
    <w:p>
      <w:pPr>
        <w:ind w:left="880" w:hanging="872"/>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Computation of Per Share Earnings (included in the notes to the Consolidated Financial Statements contained in this Report).</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31.1 *</w:t>
      </w:r>
      <w:r>
        <w:rPr>
          <w:rFonts w:ascii="Arial" w:cs="Arial" w:eastAsia="Arial" w:hAnsi="Arial"/>
          <w:sz w:val="16"/>
          <w:szCs w:val="16"/>
          <w:color w:val="auto"/>
        </w:rPr>
        <w:t>Certification of Chief Executive Officer pursuant to Rule 13a-14 of the Securities Exchange Act of 1934, as amended.</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31.2 *</w:t>
      </w:r>
      <w:r>
        <w:rPr>
          <w:rFonts w:ascii="Arial" w:cs="Arial" w:eastAsia="Arial" w:hAnsi="Arial"/>
          <w:sz w:val="16"/>
          <w:szCs w:val="16"/>
          <w:color w:val="auto"/>
        </w:rPr>
        <w:t>Certification of Chief Financial Officer pursuant to Rule 13a-14 of the Securities Exchange Act of 1934, as amended.</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32.1 *</w:t>
      </w:r>
      <w:r>
        <w:rPr>
          <w:rFonts w:ascii="Arial" w:cs="Arial" w:eastAsia="Arial" w:hAnsi="Arial"/>
          <w:sz w:val="16"/>
          <w:szCs w:val="16"/>
          <w:color w:val="auto"/>
        </w:rPr>
        <w:t>Certification of Chief Executive Officer pursuant to Section 906 of The Sarbanes-Oxley Act of 2002.</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32.2 *</w:t>
      </w:r>
      <w:r>
        <w:rPr>
          <w:rFonts w:ascii="Arial" w:cs="Arial" w:eastAsia="Arial" w:hAnsi="Arial"/>
          <w:sz w:val="16"/>
          <w:szCs w:val="16"/>
          <w:color w:val="auto"/>
        </w:rPr>
        <w:t>Certification of Chief Financial Officer pursuant to Section 906 of The Sarbanes-Oxley Act of 2002.</w:t>
      </w:r>
    </w:p>
    <w:p>
      <w:pPr>
        <w:spacing w:after="0" w:line="117" w:lineRule="exact"/>
        <w:rPr>
          <w:sz w:val="20"/>
          <w:szCs w:val="20"/>
          <w:color w:val="auto"/>
        </w:rPr>
      </w:pPr>
    </w:p>
    <w:p>
      <w:pPr>
        <w:ind w:left="880" w:hanging="876"/>
        <w:spacing w:after="0" w:line="268" w:lineRule="auto"/>
        <w:tabs>
          <w:tab w:leader="none" w:pos="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Privacy Policy of the Registrant (Incorporated by reference to Exhibit 99.1 to the Registrant’s Annual Report on Form 10-K (File No. 814-00736), filed on November 16,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12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60"/>
          </w:cols>
          <w:pgMar w:left="320" w:top="459" w:right="4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49"/>
        <w:spacing w:after="0" w:line="268" w:lineRule="auto"/>
        <w:rPr>
          <w:sz w:val="20"/>
          <w:szCs w:val="20"/>
          <w:color w:val="auto"/>
        </w:rPr>
      </w:pPr>
      <w:r>
        <w:rPr>
          <w:rFonts w:ascii="Arial" w:cs="Arial" w:eastAsia="Arial" w:hAnsi="Arial"/>
          <w:sz w:val="18"/>
          <w:szCs w:val="18"/>
          <w:color w:val="auto"/>
        </w:rPr>
        <w:t>Pursuant to the requirements of Section 13(a) or 15(d) of the Securities Exchange Act of 1934, the registrant has duly caused this Report on Form 10-Q to be signed on its behalf by the undersigned, thereunto duly authorized.</w:t>
      </w:r>
    </w:p>
    <w:p>
      <w:pPr>
        <w:spacing w:after="0" w:line="172"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PENNANTPARK INVESTMENT CORPORATION</w:t>
      </w:r>
    </w:p>
    <w:p>
      <w:pPr>
        <w:spacing w:after="0" w:line="117" w:lineRule="exact"/>
        <w:rPr>
          <w:sz w:val="20"/>
          <w:szCs w:val="20"/>
          <w:color w:val="auto"/>
        </w:rPr>
      </w:pPr>
    </w:p>
    <w:p>
      <w:pPr>
        <w:spacing w:after="0"/>
        <w:tabs>
          <w:tab w:leader="none" w:pos="5480" w:val="left"/>
          <w:tab w:leader="none" w:pos="7700" w:val="left"/>
          <w:tab w:leader="none" w:pos="8040" w:val="left"/>
        </w:tabs>
        <w:rPr>
          <w:sz w:val="20"/>
          <w:szCs w:val="20"/>
          <w:color w:val="auto"/>
        </w:rPr>
      </w:pPr>
      <w:r>
        <w:rPr>
          <w:rFonts w:ascii="Arial" w:cs="Arial" w:eastAsia="Arial" w:hAnsi="Arial"/>
          <w:sz w:val="18"/>
          <w:szCs w:val="18"/>
          <w:color w:val="auto"/>
        </w:rPr>
        <w:t>Date: February 6,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10795</wp:posOffset>
            </wp:positionV>
            <wp:extent cx="335153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0"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Arthur H. Penn</w:t>
      </w:r>
    </w:p>
    <w:p>
      <w:pPr>
        <w:spacing w:after="0" w:line="21"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Chief Executive Officer</w:t>
      </w:r>
    </w:p>
    <w:p>
      <w:pPr>
        <w:spacing w:after="0" w:line="219" w:lineRule="exact"/>
        <w:rPr>
          <w:sz w:val="20"/>
          <w:szCs w:val="20"/>
          <w:color w:val="auto"/>
        </w:rPr>
      </w:pPr>
    </w:p>
    <w:p>
      <w:pPr>
        <w:spacing w:after="0"/>
        <w:tabs>
          <w:tab w:leader="none" w:pos="5480" w:val="left"/>
          <w:tab w:leader="none" w:pos="7880" w:val="left"/>
          <w:tab w:leader="none" w:pos="8200" w:val="left"/>
        </w:tabs>
        <w:rPr>
          <w:sz w:val="20"/>
          <w:szCs w:val="20"/>
          <w:color w:val="auto"/>
        </w:rPr>
      </w:pPr>
      <w:r>
        <w:rPr>
          <w:rFonts w:ascii="Arial" w:cs="Arial" w:eastAsia="Arial" w:hAnsi="Arial"/>
          <w:sz w:val="18"/>
          <w:szCs w:val="18"/>
          <w:color w:val="auto"/>
        </w:rPr>
        <w:t>Date: February 6,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10795</wp:posOffset>
            </wp:positionV>
            <wp:extent cx="33515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0"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Aviv Efrat</w:t>
      </w:r>
    </w:p>
    <w:p>
      <w:pPr>
        <w:spacing w:after="0" w:line="21"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(Principal Accounting and Financial Officer)</w:t>
      </w:r>
    </w:p>
    <w:p>
      <w:pPr>
        <w:spacing w:after="0" w:line="1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00"/>
          </w:cols>
          <w:pgMar w:left="320" w:top="459" w:right="47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right="3500" w:firstLine="3505"/>
        <w:spacing w:after="0" w:line="441" w:lineRule="auto"/>
        <w:rPr>
          <w:sz w:val="20"/>
          <w:szCs w:val="20"/>
          <w:color w:val="auto"/>
        </w:rPr>
      </w:pPr>
      <w:r>
        <w:rPr>
          <w:rFonts w:ascii="Arial" w:cs="Arial" w:eastAsia="Arial" w:hAnsi="Arial"/>
          <w:sz w:val="18"/>
          <w:szCs w:val="18"/>
          <w:b w:val="1"/>
          <w:bCs w:val="1"/>
          <w:color w:val="auto"/>
        </w:rPr>
        <w:t xml:space="preserve">CERTIFICATION OF CHIEF EXECUTIVE OFFICER </w:t>
      </w:r>
      <w:r>
        <w:rPr>
          <w:rFonts w:ascii="Arial" w:cs="Arial" w:eastAsia="Arial" w:hAnsi="Arial"/>
          <w:sz w:val="18"/>
          <w:szCs w:val="18"/>
          <w:color w:val="auto"/>
        </w:rPr>
        <w:t>I, Arthur H. Penn, Chief Executive Officer of PennantPark Investment Corporation, certify that:</w:t>
      </w:r>
    </w:p>
    <w:p>
      <w:pPr>
        <w:spacing w:after="0" w:line="1"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Report on Form 10-Q of PennantPark Investment Corporation;</w:t>
      </w:r>
    </w:p>
    <w:p>
      <w:pPr>
        <w:spacing w:after="0" w:line="171" w:lineRule="exact"/>
        <w:rPr>
          <w:rFonts w:ascii="Arial" w:cs="Arial" w:eastAsia="Arial" w:hAnsi="Arial"/>
          <w:sz w:val="18"/>
          <w:szCs w:val="18"/>
          <w:color w:val="auto"/>
        </w:rPr>
      </w:pPr>
    </w:p>
    <w:p>
      <w:pPr>
        <w:ind w:firstLine="8"/>
        <w:spacing w:after="0" w:line="331" w:lineRule="auto"/>
        <w:tabs>
          <w:tab w:leader="none" w:pos="175"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6"/>
          <w:szCs w:val="16"/>
          <w:color w:val="auto"/>
        </w:rPr>
      </w:pPr>
    </w:p>
    <w:p>
      <w:pPr>
        <w:ind w:right="80" w:firstLine="8"/>
        <w:spacing w:after="0" w:line="331" w:lineRule="auto"/>
        <w:tabs>
          <w:tab w:leader="none" w:pos="175"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86" w:lineRule="exact"/>
        <w:rPr>
          <w:rFonts w:ascii="Arial" w:cs="Arial" w:eastAsia="Arial" w:hAnsi="Arial"/>
          <w:sz w:val="16"/>
          <w:szCs w:val="16"/>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w:t>
      </w:r>
    </w:p>
    <w:p>
      <w:pPr>
        <w:spacing w:after="0" w:line="15"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(as defined in Exchange Act Rules 13a-15(e) and 15d-15(e)) and internal control over financial reporting (as defined in Exchange Act Rules 13a-15(f) and 15d-15(f)) for the company and have:</w:t>
      </w:r>
    </w:p>
    <w:p>
      <w:pPr>
        <w:spacing w:after="0" w:line="139" w:lineRule="exact"/>
        <w:rPr>
          <w:sz w:val="20"/>
          <w:szCs w:val="20"/>
          <w:color w:val="auto"/>
        </w:rPr>
      </w:pPr>
    </w:p>
    <w:p>
      <w:pPr>
        <w:jc w:val="both"/>
        <w:ind w:right="240" w:firstLine="8"/>
        <w:spacing w:after="0" w:line="259" w:lineRule="auto"/>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subsidiaries, is made known to us by others within those entities, particularly during the period in which this Report is being prepared; and</w:t>
      </w:r>
    </w:p>
    <w:p>
      <w:pPr>
        <w:spacing w:after="0" w:line="139" w:lineRule="exact"/>
        <w:rPr>
          <w:rFonts w:ascii="Arial" w:cs="Arial" w:eastAsia="Arial" w:hAnsi="Arial"/>
          <w:sz w:val="18"/>
          <w:szCs w:val="18"/>
          <w:color w:val="auto"/>
        </w:rPr>
      </w:pPr>
    </w:p>
    <w:p>
      <w:pPr>
        <w:ind w:right="280" w:firstLine="8"/>
        <w:spacing w:after="0" w:line="259" w:lineRule="auto"/>
        <w:tabs>
          <w:tab w:leader="none" w:pos="19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 and</w:t>
      </w:r>
    </w:p>
    <w:p>
      <w:pPr>
        <w:spacing w:after="0" w:line="139" w:lineRule="exact"/>
        <w:rPr>
          <w:rFonts w:ascii="Arial" w:cs="Arial" w:eastAsia="Arial" w:hAnsi="Arial"/>
          <w:sz w:val="18"/>
          <w:szCs w:val="18"/>
          <w:color w:val="auto"/>
        </w:rPr>
      </w:pPr>
    </w:p>
    <w:p>
      <w:pPr>
        <w:ind w:right="140" w:firstLine="8"/>
        <w:spacing w:after="0" w:line="268" w:lineRule="auto"/>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180" w:firstLine="8"/>
        <w:spacing w:after="0" w:line="331" w:lineRule="auto"/>
        <w:tabs>
          <w:tab w:leader="none" w:pos="19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7" w:lineRule="exact"/>
        <w:rPr>
          <w:sz w:val="20"/>
          <w:szCs w:val="20"/>
          <w:color w:val="auto"/>
        </w:rPr>
      </w:pPr>
    </w:p>
    <w:p>
      <w:pPr>
        <w:ind w:right="760" w:firstLine="8"/>
        <w:spacing w:after="0" w:line="331" w:lineRule="auto"/>
        <w:tabs>
          <w:tab w:leader="none" w:pos="17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87" w:lineRule="exact"/>
        <w:rPr>
          <w:sz w:val="20"/>
          <w:szCs w:val="20"/>
          <w:color w:val="auto"/>
        </w:rPr>
      </w:pPr>
    </w:p>
    <w:p>
      <w:pPr>
        <w:ind w:right="380" w:firstLine="8"/>
        <w:spacing w:after="0" w:line="268" w:lineRule="auto"/>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1" w:lineRule="exact"/>
        <w:rPr>
          <w:rFonts w:ascii="Arial" w:cs="Arial" w:eastAsia="Arial" w:hAnsi="Arial"/>
          <w:sz w:val="18"/>
          <w:szCs w:val="18"/>
          <w:color w:val="auto"/>
        </w:rPr>
      </w:pPr>
    </w:p>
    <w:p>
      <w:pPr>
        <w:ind w:right="620" w:firstLine="8"/>
        <w:spacing w:after="0" w:line="268" w:lineRule="auto"/>
        <w:tabs>
          <w:tab w:leader="none" w:pos="19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6, 2013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5"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right="3520" w:firstLine="3529"/>
        <w:spacing w:after="0" w:line="441" w:lineRule="auto"/>
        <w:rPr>
          <w:sz w:val="20"/>
          <w:szCs w:val="20"/>
          <w:color w:val="auto"/>
        </w:rPr>
      </w:pPr>
      <w:r>
        <w:rPr>
          <w:rFonts w:ascii="Arial" w:cs="Arial" w:eastAsia="Arial" w:hAnsi="Arial"/>
          <w:sz w:val="18"/>
          <w:szCs w:val="18"/>
          <w:b w:val="1"/>
          <w:bCs w:val="1"/>
          <w:color w:val="auto"/>
        </w:rPr>
        <w:t xml:space="preserve">CERTIFICATION OF CHIEF FINANCIAL OFFICER </w:t>
      </w:r>
      <w:r>
        <w:rPr>
          <w:rFonts w:ascii="Arial" w:cs="Arial" w:eastAsia="Arial" w:hAnsi="Arial"/>
          <w:sz w:val="18"/>
          <w:szCs w:val="18"/>
          <w:color w:val="auto"/>
        </w:rPr>
        <w:t>I, Aviv Efrat, Chief Financial Officer of PennantPark Investment Corporation, certify that:</w:t>
      </w:r>
    </w:p>
    <w:p>
      <w:pPr>
        <w:spacing w:after="0" w:line="1"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Report on Form 10-Q of PennantPark Investment Corporation;</w:t>
      </w:r>
    </w:p>
    <w:p>
      <w:pPr>
        <w:spacing w:after="0" w:line="171" w:lineRule="exact"/>
        <w:rPr>
          <w:rFonts w:ascii="Arial" w:cs="Arial" w:eastAsia="Arial" w:hAnsi="Arial"/>
          <w:sz w:val="18"/>
          <w:szCs w:val="18"/>
          <w:color w:val="auto"/>
        </w:rPr>
      </w:pPr>
    </w:p>
    <w:p>
      <w:pPr>
        <w:ind w:firstLine="8"/>
        <w:spacing w:after="0" w:line="331" w:lineRule="auto"/>
        <w:tabs>
          <w:tab w:leader="none" w:pos="175"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6"/>
          <w:szCs w:val="16"/>
          <w:color w:val="auto"/>
        </w:rPr>
      </w:pPr>
    </w:p>
    <w:p>
      <w:pPr>
        <w:ind w:right="80" w:firstLine="8"/>
        <w:spacing w:after="0" w:line="331" w:lineRule="auto"/>
        <w:tabs>
          <w:tab w:leader="none" w:pos="175"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86" w:lineRule="exact"/>
        <w:rPr>
          <w:rFonts w:ascii="Arial" w:cs="Arial" w:eastAsia="Arial" w:hAnsi="Arial"/>
          <w:sz w:val="16"/>
          <w:szCs w:val="16"/>
          <w:color w:val="auto"/>
        </w:rPr>
      </w:pPr>
    </w:p>
    <w:p>
      <w:pPr>
        <w:jc w:val="both"/>
        <w:ind w:right="20" w:firstLine="8"/>
        <w:spacing w:after="0" w:line="369" w:lineRule="auto"/>
        <w:tabs>
          <w:tab w:leader="none" w:pos="175"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company’s other certifying officer and I are responsible for establishing and maintaining disclosure controls and procedures (as defined in Exchange Act Rules 13a-15(e) and 15d-15(e)) internal control over financial reporting (as defined in Exchange Act Rules 13a-15(f) and 15d-15(f)) for the company and have:</w:t>
      </w:r>
    </w:p>
    <w:p>
      <w:pPr>
        <w:spacing w:after="0" w:line="64" w:lineRule="exact"/>
        <w:rPr>
          <w:sz w:val="20"/>
          <w:szCs w:val="20"/>
          <w:color w:val="auto"/>
        </w:rPr>
      </w:pPr>
    </w:p>
    <w:p>
      <w:pPr>
        <w:jc w:val="both"/>
        <w:ind w:right="240" w:firstLine="8"/>
        <w:spacing w:after="0" w:line="259" w:lineRule="auto"/>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subsidiaries, is made known to us by others within those entities, particularly during the period in which this Report is being prepared; and</w:t>
      </w:r>
    </w:p>
    <w:p>
      <w:pPr>
        <w:spacing w:after="0" w:line="139" w:lineRule="exact"/>
        <w:rPr>
          <w:rFonts w:ascii="Arial" w:cs="Arial" w:eastAsia="Arial" w:hAnsi="Arial"/>
          <w:sz w:val="18"/>
          <w:szCs w:val="18"/>
          <w:color w:val="auto"/>
        </w:rPr>
      </w:pPr>
    </w:p>
    <w:p>
      <w:pPr>
        <w:ind w:right="280" w:firstLine="8"/>
        <w:spacing w:after="0" w:line="259" w:lineRule="auto"/>
        <w:tabs>
          <w:tab w:leader="none" w:pos="19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 and</w:t>
      </w:r>
    </w:p>
    <w:p>
      <w:pPr>
        <w:spacing w:after="0" w:line="139" w:lineRule="exact"/>
        <w:rPr>
          <w:rFonts w:ascii="Arial" w:cs="Arial" w:eastAsia="Arial" w:hAnsi="Arial"/>
          <w:sz w:val="18"/>
          <w:szCs w:val="18"/>
          <w:color w:val="auto"/>
        </w:rPr>
      </w:pPr>
    </w:p>
    <w:p>
      <w:pPr>
        <w:ind w:right="140" w:firstLine="8"/>
        <w:spacing w:after="0" w:line="268" w:lineRule="auto"/>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180" w:firstLine="8"/>
        <w:spacing w:after="0" w:line="331" w:lineRule="auto"/>
        <w:tabs>
          <w:tab w:leader="none" w:pos="19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7" w:lineRule="exact"/>
        <w:rPr>
          <w:sz w:val="20"/>
          <w:szCs w:val="20"/>
          <w:color w:val="auto"/>
        </w:rPr>
      </w:pPr>
    </w:p>
    <w:p>
      <w:pPr>
        <w:ind w:right="760" w:firstLine="8"/>
        <w:spacing w:after="0" w:line="331" w:lineRule="auto"/>
        <w:tabs>
          <w:tab w:leader="none" w:pos="17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87" w:lineRule="exact"/>
        <w:rPr>
          <w:sz w:val="20"/>
          <w:szCs w:val="20"/>
          <w:color w:val="auto"/>
        </w:rPr>
      </w:pPr>
    </w:p>
    <w:p>
      <w:pPr>
        <w:ind w:right="380" w:firstLine="8"/>
        <w:spacing w:after="0" w:line="268" w:lineRule="auto"/>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1" w:lineRule="exact"/>
        <w:rPr>
          <w:rFonts w:ascii="Arial" w:cs="Arial" w:eastAsia="Arial" w:hAnsi="Arial"/>
          <w:sz w:val="18"/>
          <w:szCs w:val="18"/>
          <w:color w:val="auto"/>
        </w:rPr>
      </w:pPr>
    </w:p>
    <w:p>
      <w:pPr>
        <w:ind w:right="620" w:firstLine="8"/>
        <w:spacing w:after="0" w:line="268" w:lineRule="auto"/>
        <w:tabs>
          <w:tab w:leader="none" w:pos="19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6, 2013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5"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65"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In connection with this Report on Form 10-Q for the three months ended December 31, 2012 (the “Report”) of PennantPark Investment Corporation (the “Registrant”), as filed with the Securities and Exchange Commission on the date hereof, I, Arthur H. Penn, Chief Executive Officer of the Registrant, hereby certify, to the best of my knowledge, that:</w:t>
      </w:r>
    </w:p>
    <w:p>
      <w:pPr>
        <w:spacing w:after="0" w:line="180" w:lineRule="exact"/>
        <w:rPr>
          <w:sz w:val="20"/>
          <w:szCs w:val="20"/>
          <w:color w:val="auto"/>
        </w:rPr>
      </w:pPr>
    </w:p>
    <w:p>
      <w:pPr>
        <w:ind w:left="900" w:hanging="447"/>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13" w:lineRule="exact"/>
        <w:rPr>
          <w:rFonts w:ascii="Arial" w:cs="Arial" w:eastAsia="Arial" w:hAnsi="Arial"/>
          <w:sz w:val="16"/>
          <w:szCs w:val="16"/>
          <w:color w:val="auto"/>
        </w:rPr>
      </w:pPr>
    </w:p>
    <w:p>
      <w:pPr>
        <w:ind w:left="900" w:hanging="447"/>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6, 2013</w:t>
      </w:r>
    </w:p>
    <w:p>
      <w:pPr>
        <w:sectPr>
          <w:pgSz w:w="11900" w:h="16838" w:orient="portrait"/>
          <w:cols w:equalWidth="0" w:num="1">
            <w:col w:w="11240"/>
          </w:cols>
          <w:pgMar w:left="320" w:top="125"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65" w:lineRule="exact"/>
        <w:rPr>
          <w:sz w:val="20"/>
          <w:szCs w:val="20"/>
          <w:color w:val="auto"/>
        </w:rPr>
      </w:pPr>
    </w:p>
    <w:p>
      <w:pPr>
        <w:jc w:val="both"/>
        <w:ind w:right="40" w:firstLine="449"/>
        <w:spacing w:after="0" w:line="259" w:lineRule="auto"/>
        <w:rPr>
          <w:sz w:val="20"/>
          <w:szCs w:val="20"/>
          <w:color w:val="auto"/>
        </w:rPr>
      </w:pPr>
      <w:r>
        <w:rPr>
          <w:rFonts w:ascii="Arial" w:cs="Arial" w:eastAsia="Arial" w:hAnsi="Arial"/>
          <w:sz w:val="18"/>
          <w:szCs w:val="18"/>
          <w:color w:val="auto"/>
        </w:rPr>
        <w:t>In connection with this Report on Form 10-Q for the three months ended December 31, 2012 (the “Report”) of PennantPark Investment Corporation (the “Registrant”), as filed with the Securities and Exchange Commission on the date hereof, I, Aviv Efrat, Chief Financial Officer of the Registrant, hereby certify, to the best of my knowledge, that:</w:t>
      </w:r>
    </w:p>
    <w:p>
      <w:pPr>
        <w:spacing w:after="0" w:line="180" w:lineRule="exact"/>
        <w:rPr>
          <w:sz w:val="20"/>
          <w:szCs w:val="20"/>
          <w:color w:val="auto"/>
        </w:rPr>
      </w:pPr>
    </w:p>
    <w:p>
      <w:pPr>
        <w:ind w:left="900" w:hanging="447"/>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13" w:lineRule="exact"/>
        <w:rPr>
          <w:rFonts w:ascii="Arial" w:cs="Arial" w:eastAsia="Arial" w:hAnsi="Arial"/>
          <w:sz w:val="16"/>
          <w:szCs w:val="16"/>
          <w:color w:val="auto"/>
        </w:rPr>
      </w:pPr>
    </w:p>
    <w:p>
      <w:pPr>
        <w:ind w:left="900" w:hanging="447"/>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6, 2013</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lowerLetter"/>
      <w:start w:val="1"/>
    </w:lvl>
    <w:lvl w:ilvl="1">
      <w:lvlJc w:val="left"/>
      <w:lvlText w:val="(%2)"/>
      <w:numFmt w:val="decimal"/>
      <w:start w:val="1"/>
    </w:lvl>
  </w:abstractNum>
  <w:abstractNum w:abstractNumId="5">
    <w:nsid w:val="519B500D"/>
    <w:multiLevelType w:val="hybridMultilevel"/>
    <w:lvl w:ilvl="0">
      <w:lvlJc w:val="left"/>
      <w:lvlText w:val="(%1)"/>
      <w:numFmt w:val="lowerLetter"/>
      <w:start w:val="2"/>
    </w:lvl>
    <w:lvl w:ilvl="1">
      <w:lvlJc w:val="left"/>
      <w:lvlText w:val="%2"/>
      <w:numFmt w:val="decimal"/>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10"/>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lowerLetter"/>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3"/>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1"/>
      <w:numFmt w:val="decimal"/>
      <w:start w:val="1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decimal"/>
      <w:start w:val="5"/>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decimal"/>
      <w:start w:val="5"/>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2020-05-05T15:09:40Z</dcterms:created>
  <dcterms:modified xsi:type="dcterms:W3CDTF">2020-05-05T15:09:40Z</dcterms:modified>
</cp:coreProperties>
</file>