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February 7,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0" w:lineRule="exact"/>
        <w:rPr>
          <w:sz w:val="24"/>
          <w:szCs w:val="24"/>
          <w:color w:val="auto"/>
        </w:rPr>
      </w:pPr>
    </w:p>
    <w:p>
      <w:pPr>
        <w:spacing w:after="0" w:line="2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February 7, 2018, PennantPark Investment Corporation issued a press release announcing its financial results for the first fiscal quarter ended December 31, 2017. A copy of the press release is furnished as Exhibit 99.1 to this report pursuant to Item 2.02 on Form 8-K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of PennantPark Investment Corporation dated February 7,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4840" w:type="dxa"/>
            <w:vAlign w:val="bottom"/>
            <w:gridSpan w:val="3"/>
          </w:tcPr>
          <w:p>
            <w:pPr>
              <w:ind w:left="190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February 7, 2018</w:t>
            </w:r>
          </w:p>
        </w:tc>
        <w:tc>
          <w:tcPr>
            <w:tcW w:w="4840" w:type="dxa"/>
            <w:vAlign w:val="bottom"/>
            <w:gridSpan w:val="3"/>
          </w:tcPr>
          <w:p>
            <w:pPr>
              <w:ind w:left="1900"/>
              <w:spacing w:after="0"/>
              <w:rPr>
                <w:sz w:val="20"/>
                <w:szCs w:val="20"/>
                <w:color w:val="auto"/>
              </w:rPr>
            </w:pPr>
            <w:r>
              <w:rPr>
                <w:rFonts w:ascii="Arial" w:cs="Arial" w:eastAsia="Arial" w:hAnsi="Arial"/>
                <w:sz w:val="18"/>
                <w:szCs w:val="18"/>
                <w:color w:val="auto"/>
              </w:rPr>
              <w:t>By: /s/ Aviv Efrat</w:t>
            </w:r>
          </w:p>
        </w:tc>
      </w:tr>
      <w:tr>
        <w:trPr>
          <w:trHeight w:val="222"/>
        </w:trPr>
        <w:tc>
          <w:tcPr>
            <w:tcW w:w="3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spacing w:after="0" w:line="13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PennantPark Investment Corporation Announces Financial Results for the Quarter Ended December 31, 2017</w:t>
      </w:r>
    </w:p>
    <w:p>
      <w:pPr>
        <w:spacing w:after="0" w:line="224" w:lineRule="exact"/>
        <w:rPr>
          <w:sz w:val="20"/>
          <w:szCs w:val="20"/>
          <w:color w:val="auto"/>
        </w:rPr>
      </w:pPr>
    </w:p>
    <w:p>
      <w:pPr>
        <w:ind w:right="480"/>
        <w:spacing w:after="0" w:line="250" w:lineRule="auto"/>
        <w:rPr>
          <w:sz w:val="20"/>
          <w:szCs w:val="20"/>
          <w:color w:val="auto"/>
        </w:rPr>
      </w:pPr>
      <w:r>
        <w:rPr>
          <w:rFonts w:ascii="Arial" w:cs="Arial" w:eastAsia="Arial" w:hAnsi="Arial"/>
          <w:sz w:val="22"/>
          <w:szCs w:val="22"/>
          <w:color w:val="auto"/>
        </w:rPr>
        <w:t>NEW YORK, Feb. 07, 2018 (GLOBE NEWSWIRE) -- PennantPark Investment Corporation (NASDAQ:PNNT) announced today financial results for the first fiscal quarter ended December 31, 2017.</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Quarter ended December 31, 2017</w:t>
      </w:r>
    </w:p>
    <w:p>
      <w:pPr>
        <w:spacing w:after="0"/>
        <w:rPr>
          <w:sz w:val="20"/>
          <w:szCs w:val="20"/>
          <w:color w:val="auto"/>
        </w:rPr>
      </w:pPr>
      <w:r>
        <w:rPr>
          <w:rFonts w:ascii="Arial" w:cs="Arial" w:eastAsia="Arial" w:hAnsi="Arial"/>
          <w:sz w:val="22"/>
          <w:szCs w:val="22"/>
          <w:color w:val="auto"/>
        </w:rPr>
        <w:t>($ in millions, except per share amounts)</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4120" w:type="dxa"/>
            <w:vAlign w:val="bottom"/>
          </w:tcPr>
          <w:p>
            <w:pPr>
              <w:spacing w:after="0"/>
              <w:rPr>
                <w:sz w:val="20"/>
                <w:szCs w:val="20"/>
                <w:color w:val="auto"/>
              </w:rPr>
            </w:pPr>
            <w:r>
              <w:rPr>
                <w:rFonts w:ascii="Arial" w:cs="Arial" w:eastAsia="Arial" w:hAnsi="Arial"/>
                <w:sz w:val="22"/>
                <w:szCs w:val="22"/>
                <w:color w:val="auto"/>
              </w:rPr>
              <w:t>Assets and Liabilities:</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4120" w:type="dxa"/>
            <w:vAlign w:val="bottom"/>
          </w:tcPr>
          <w:p>
            <w:pPr>
              <w:ind w:left="100"/>
              <w:spacing w:after="0"/>
              <w:rPr>
                <w:sz w:val="20"/>
                <w:szCs w:val="20"/>
                <w:color w:val="auto"/>
              </w:rPr>
            </w:pPr>
            <w:r>
              <w:rPr>
                <w:rFonts w:ascii="Arial" w:cs="Arial" w:eastAsia="Arial" w:hAnsi="Arial"/>
                <w:sz w:val="22"/>
                <w:szCs w:val="22"/>
                <w:color w:val="auto"/>
              </w:rPr>
              <w:t>Investment portfolio</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60" w:type="dxa"/>
            <w:vAlign w:val="bottom"/>
          </w:tcPr>
          <w:p>
            <w:pPr>
              <w:jc w:val="right"/>
              <w:ind w:right="92"/>
              <w:spacing w:after="0"/>
              <w:rPr>
                <w:sz w:val="20"/>
                <w:szCs w:val="20"/>
                <w:color w:val="auto"/>
              </w:rPr>
            </w:pPr>
            <w:r>
              <w:rPr>
                <w:rFonts w:ascii="Arial" w:cs="Arial" w:eastAsia="Arial" w:hAnsi="Arial"/>
                <w:sz w:val="22"/>
                <w:szCs w:val="22"/>
                <w:color w:val="auto"/>
                <w:w w:val="87"/>
              </w:rPr>
              <w:t>1,100.6</w:t>
            </w:r>
          </w:p>
        </w:tc>
      </w:tr>
      <w:tr>
        <w:trPr>
          <w:trHeight w:val="270"/>
        </w:trPr>
        <w:tc>
          <w:tcPr>
            <w:tcW w:w="4120" w:type="dxa"/>
            <w:vAlign w:val="bottom"/>
          </w:tcPr>
          <w:p>
            <w:pPr>
              <w:ind w:left="100"/>
              <w:spacing w:after="0"/>
              <w:rPr>
                <w:sz w:val="20"/>
                <w:szCs w:val="20"/>
                <w:color w:val="auto"/>
              </w:rPr>
            </w:pPr>
            <w:r>
              <w:rPr>
                <w:rFonts w:ascii="Arial" w:cs="Arial" w:eastAsia="Arial" w:hAnsi="Arial"/>
                <w:sz w:val="22"/>
                <w:szCs w:val="22"/>
                <w:color w:val="auto"/>
              </w:rPr>
              <w:t>Net assets</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60" w:type="dxa"/>
            <w:vAlign w:val="bottom"/>
          </w:tcPr>
          <w:p>
            <w:pPr>
              <w:jc w:val="right"/>
              <w:ind w:right="92"/>
              <w:spacing w:after="0"/>
              <w:rPr>
                <w:sz w:val="20"/>
                <w:szCs w:val="20"/>
                <w:color w:val="auto"/>
              </w:rPr>
            </w:pPr>
            <w:r>
              <w:rPr>
                <w:rFonts w:ascii="Arial" w:cs="Arial" w:eastAsia="Arial" w:hAnsi="Arial"/>
                <w:sz w:val="22"/>
                <w:szCs w:val="22"/>
                <w:color w:val="auto"/>
              </w:rPr>
              <w:t>646.3</w:t>
            </w:r>
          </w:p>
        </w:tc>
      </w:tr>
      <w:tr>
        <w:trPr>
          <w:trHeight w:val="274"/>
        </w:trPr>
        <w:tc>
          <w:tcPr>
            <w:tcW w:w="4120" w:type="dxa"/>
            <w:vAlign w:val="bottom"/>
          </w:tcPr>
          <w:p>
            <w:pPr>
              <w:ind w:left="100"/>
              <w:spacing w:after="0"/>
              <w:rPr>
                <w:sz w:val="20"/>
                <w:szCs w:val="20"/>
                <w:color w:val="auto"/>
              </w:rPr>
            </w:pPr>
            <w:r>
              <w:rPr>
                <w:rFonts w:ascii="Arial" w:cs="Arial" w:eastAsia="Arial" w:hAnsi="Arial"/>
                <w:sz w:val="22"/>
                <w:szCs w:val="22"/>
                <w:color w:val="auto"/>
              </w:rPr>
              <w:t>Net asset value per share</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60" w:type="dxa"/>
            <w:vAlign w:val="bottom"/>
          </w:tcPr>
          <w:p>
            <w:pPr>
              <w:jc w:val="right"/>
              <w:ind w:right="92"/>
              <w:spacing w:after="0"/>
              <w:rPr>
                <w:sz w:val="20"/>
                <w:szCs w:val="20"/>
                <w:color w:val="auto"/>
              </w:rPr>
            </w:pPr>
            <w:r>
              <w:rPr>
                <w:rFonts w:ascii="Arial" w:cs="Arial" w:eastAsia="Arial" w:hAnsi="Arial"/>
                <w:sz w:val="22"/>
                <w:szCs w:val="22"/>
                <w:color w:val="auto"/>
              </w:rPr>
              <w:t>9.10</w:t>
            </w:r>
          </w:p>
        </w:tc>
      </w:tr>
      <w:tr>
        <w:trPr>
          <w:trHeight w:val="536"/>
        </w:trPr>
        <w:tc>
          <w:tcPr>
            <w:tcW w:w="4120" w:type="dxa"/>
            <w:vAlign w:val="bottom"/>
          </w:tcPr>
          <w:p>
            <w:pPr>
              <w:ind w:left="100"/>
              <w:spacing w:after="0"/>
              <w:rPr>
                <w:sz w:val="20"/>
                <w:szCs w:val="20"/>
                <w:color w:val="auto"/>
              </w:rPr>
            </w:pPr>
            <w:r>
              <w:rPr>
                <w:rFonts w:ascii="Arial" w:cs="Arial" w:eastAsia="Arial" w:hAnsi="Arial"/>
                <w:sz w:val="22"/>
                <w:szCs w:val="22"/>
                <w:color w:val="auto"/>
              </w:rPr>
              <w:t>Credit Facility</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60" w:type="dxa"/>
            <w:vAlign w:val="bottom"/>
          </w:tcPr>
          <w:p>
            <w:pPr>
              <w:jc w:val="right"/>
              <w:ind w:right="92"/>
              <w:spacing w:after="0"/>
              <w:rPr>
                <w:sz w:val="20"/>
                <w:szCs w:val="20"/>
                <w:color w:val="auto"/>
              </w:rPr>
            </w:pPr>
            <w:r>
              <w:rPr>
                <w:rFonts w:ascii="Arial" w:cs="Arial" w:eastAsia="Arial" w:hAnsi="Arial"/>
                <w:sz w:val="22"/>
                <w:szCs w:val="22"/>
                <w:color w:val="auto"/>
              </w:rPr>
              <w:t>76.6</w:t>
            </w:r>
          </w:p>
        </w:tc>
      </w:tr>
      <w:tr>
        <w:trPr>
          <w:trHeight w:val="270"/>
        </w:trPr>
        <w:tc>
          <w:tcPr>
            <w:tcW w:w="4120" w:type="dxa"/>
            <w:vAlign w:val="bottom"/>
          </w:tcPr>
          <w:p>
            <w:pPr>
              <w:ind w:left="100"/>
              <w:spacing w:after="0"/>
              <w:rPr>
                <w:sz w:val="20"/>
                <w:szCs w:val="20"/>
                <w:color w:val="auto"/>
              </w:rPr>
            </w:pPr>
            <w:r>
              <w:rPr>
                <w:rFonts w:ascii="Arial" w:cs="Arial" w:eastAsia="Arial" w:hAnsi="Arial"/>
                <w:sz w:val="22"/>
                <w:szCs w:val="22"/>
                <w:color w:val="auto"/>
              </w:rPr>
              <w:t>2019 Notes</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60" w:type="dxa"/>
            <w:vAlign w:val="bottom"/>
          </w:tcPr>
          <w:p>
            <w:pPr>
              <w:jc w:val="right"/>
              <w:ind w:right="92"/>
              <w:spacing w:after="0"/>
              <w:rPr>
                <w:sz w:val="20"/>
                <w:szCs w:val="20"/>
                <w:color w:val="auto"/>
              </w:rPr>
            </w:pPr>
            <w:r>
              <w:rPr>
                <w:rFonts w:ascii="Arial" w:cs="Arial" w:eastAsia="Arial" w:hAnsi="Arial"/>
                <w:sz w:val="22"/>
                <w:szCs w:val="22"/>
                <w:color w:val="auto"/>
              </w:rPr>
              <w:t>254.0</w:t>
            </w:r>
          </w:p>
        </w:tc>
      </w:tr>
      <w:tr>
        <w:trPr>
          <w:trHeight w:val="274"/>
        </w:trPr>
        <w:tc>
          <w:tcPr>
            <w:tcW w:w="4120" w:type="dxa"/>
            <w:vAlign w:val="bottom"/>
          </w:tcPr>
          <w:p>
            <w:pPr>
              <w:ind w:left="100"/>
              <w:spacing w:after="0"/>
              <w:rPr>
                <w:sz w:val="20"/>
                <w:szCs w:val="20"/>
                <w:color w:val="auto"/>
              </w:rPr>
            </w:pPr>
            <w:r>
              <w:rPr>
                <w:rFonts w:ascii="Arial" w:cs="Arial" w:eastAsia="Arial" w:hAnsi="Arial"/>
                <w:sz w:val="22"/>
                <w:szCs w:val="22"/>
                <w:color w:val="auto"/>
              </w:rPr>
              <w:t>SBA debentures</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60" w:type="dxa"/>
            <w:vAlign w:val="bottom"/>
          </w:tcPr>
          <w:p>
            <w:pPr>
              <w:jc w:val="right"/>
              <w:ind w:right="92"/>
              <w:spacing w:after="0"/>
              <w:rPr>
                <w:sz w:val="20"/>
                <w:szCs w:val="20"/>
                <w:color w:val="auto"/>
              </w:rPr>
            </w:pPr>
            <w:r>
              <w:rPr>
                <w:rFonts w:ascii="Arial" w:cs="Arial" w:eastAsia="Arial" w:hAnsi="Arial"/>
                <w:sz w:val="22"/>
                <w:szCs w:val="22"/>
                <w:color w:val="auto"/>
              </w:rPr>
              <w:t>179.7</w:t>
            </w:r>
          </w:p>
        </w:tc>
      </w:tr>
      <w:tr>
        <w:trPr>
          <w:trHeight w:val="509"/>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4"/>
        </w:trPr>
        <w:tc>
          <w:tcPr>
            <w:tcW w:w="4120" w:type="dxa"/>
            <w:vAlign w:val="bottom"/>
          </w:tcPr>
          <w:p>
            <w:pPr>
              <w:spacing w:after="0"/>
              <w:rPr>
                <w:sz w:val="20"/>
                <w:szCs w:val="20"/>
                <w:color w:val="auto"/>
              </w:rPr>
            </w:pPr>
            <w:r>
              <w:rPr>
                <w:rFonts w:ascii="Arial" w:cs="Arial" w:eastAsia="Arial" w:hAnsi="Arial"/>
                <w:sz w:val="22"/>
                <w:szCs w:val="22"/>
                <w:color w:val="auto"/>
              </w:rPr>
              <w:t>Yield on debt investments at quarter-end</w:t>
            </w:r>
          </w:p>
        </w:tc>
        <w:tc>
          <w:tcPr>
            <w:tcW w:w="2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22"/>
                <w:szCs w:val="22"/>
                <w:color w:val="auto"/>
              </w:rPr>
              <w:t>11.8</w:t>
            </w:r>
          </w:p>
        </w:tc>
      </w:tr>
      <w:tr>
        <w:trPr>
          <w:trHeight w:val="536"/>
        </w:trPr>
        <w:tc>
          <w:tcPr>
            <w:tcW w:w="4120" w:type="dxa"/>
            <w:vAlign w:val="bottom"/>
          </w:tcPr>
          <w:p>
            <w:pPr>
              <w:spacing w:after="0"/>
              <w:rPr>
                <w:sz w:val="20"/>
                <w:szCs w:val="20"/>
                <w:color w:val="auto"/>
              </w:rPr>
            </w:pPr>
            <w:r>
              <w:rPr>
                <w:rFonts w:ascii="Arial" w:cs="Arial" w:eastAsia="Arial" w:hAnsi="Arial"/>
                <w:sz w:val="22"/>
                <w:szCs w:val="22"/>
                <w:color w:val="auto"/>
              </w:rPr>
              <w:t>Operating Results: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4120" w:type="dxa"/>
            <w:vAlign w:val="bottom"/>
          </w:tcPr>
          <w:p>
            <w:pPr>
              <w:ind w:left="100"/>
              <w:spacing w:after="0"/>
              <w:rPr>
                <w:sz w:val="20"/>
                <w:szCs w:val="20"/>
                <w:color w:val="auto"/>
              </w:rPr>
            </w:pPr>
            <w:r>
              <w:rPr>
                <w:rFonts w:ascii="Arial" w:cs="Arial" w:eastAsia="Arial" w:hAnsi="Arial"/>
                <w:sz w:val="22"/>
                <w:szCs w:val="22"/>
                <w:color w:val="auto"/>
              </w:rPr>
              <w:t>Net investment income</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60" w:type="dxa"/>
            <w:vAlign w:val="bottom"/>
          </w:tcPr>
          <w:p>
            <w:pPr>
              <w:jc w:val="right"/>
              <w:ind w:right="92"/>
              <w:spacing w:after="0"/>
              <w:rPr>
                <w:sz w:val="20"/>
                <w:szCs w:val="20"/>
                <w:color w:val="auto"/>
              </w:rPr>
            </w:pPr>
            <w:r>
              <w:rPr>
                <w:rFonts w:ascii="Arial" w:cs="Arial" w:eastAsia="Arial" w:hAnsi="Arial"/>
                <w:sz w:val="22"/>
                <w:szCs w:val="22"/>
                <w:color w:val="auto"/>
              </w:rPr>
              <w:t>14.2</w:t>
            </w:r>
          </w:p>
        </w:tc>
      </w:tr>
      <w:tr>
        <w:trPr>
          <w:trHeight w:val="270"/>
        </w:trPr>
        <w:tc>
          <w:tcPr>
            <w:tcW w:w="4120" w:type="dxa"/>
            <w:vAlign w:val="bottom"/>
          </w:tcPr>
          <w:p>
            <w:pPr>
              <w:ind w:left="100"/>
              <w:spacing w:after="0"/>
              <w:rPr>
                <w:sz w:val="20"/>
                <w:szCs w:val="20"/>
                <w:color w:val="auto"/>
              </w:rPr>
            </w:pPr>
            <w:r>
              <w:rPr>
                <w:rFonts w:ascii="Arial" w:cs="Arial" w:eastAsia="Arial" w:hAnsi="Arial"/>
                <w:sz w:val="22"/>
                <w:szCs w:val="22"/>
                <w:color w:val="auto"/>
              </w:rPr>
              <w:t>Net investment income per share</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60" w:type="dxa"/>
            <w:vAlign w:val="bottom"/>
          </w:tcPr>
          <w:p>
            <w:pPr>
              <w:jc w:val="right"/>
              <w:ind w:right="92"/>
              <w:spacing w:after="0"/>
              <w:rPr>
                <w:sz w:val="20"/>
                <w:szCs w:val="20"/>
                <w:color w:val="auto"/>
              </w:rPr>
            </w:pPr>
            <w:r>
              <w:rPr>
                <w:rFonts w:ascii="Arial" w:cs="Arial" w:eastAsia="Arial" w:hAnsi="Arial"/>
                <w:sz w:val="22"/>
                <w:szCs w:val="22"/>
                <w:color w:val="auto"/>
              </w:rPr>
              <w:t>0.20</w:t>
            </w:r>
          </w:p>
        </w:tc>
      </w:tr>
      <w:tr>
        <w:trPr>
          <w:trHeight w:val="274"/>
        </w:trPr>
        <w:tc>
          <w:tcPr>
            <w:tcW w:w="4120" w:type="dxa"/>
            <w:vAlign w:val="bottom"/>
          </w:tcPr>
          <w:p>
            <w:pPr>
              <w:ind w:left="100"/>
              <w:spacing w:after="0"/>
              <w:rPr>
                <w:sz w:val="20"/>
                <w:szCs w:val="20"/>
                <w:color w:val="auto"/>
              </w:rPr>
            </w:pPr>
            <w:r>
              <w:rPr>
                <w:rFonts w:ascii="Arial" w:cs="Arial" w:eastAsia="Arial" w:hAnsi="Arial"/>
                <w:sz w:val="22"/>
                <w:szCs w:val="22"/>
                <w:color w:val="auto"/>
              </w:rPr>
              <w:t>Distributions declared per share</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60" w:type="dxa"/>
            <w:vAlign w:val="bottom"/>
          </w:tcPr>
          <w:p>
            <w:pPr>
              <w:jc w:val="right"/>
              <w:ind w:right="92"/>
              <w:spacing w:after="0"/>
              <w:rPr>
                <w:sz w:val="20"/>
                <w:szCs w:val="20"/>
                <w:color w:val="auto"/>
              </w:rPr>
            </w:pPr>
            <w:r>
              <w:rPr>
                <w:rFonts w:ascii="Arial" w:cs="Arial" w:eastAsia="Arial" w:hAnsi="Arial"/>
                <w:sz w:val="22"/>
                <w:szCs w:val="22"/>
                <w:color w:val="auto"/>
              </w:rPr>
              <w:t>0.18</w:t>
            </w:r>
          </w:p>
        </w:tc>
      </w:tr>
      <w:tr>
        <w:trPr>
          <w:trHeight w:val="536"/>
        </w:trPr>
        <w:tc>
          <w:tcPr>
            <w:tcW w:w="4120" w:type="dxa"/>
            <w:vAlign w:val="bottom"/>
          </w:tcPr>
          <w:p>
            <w:pPr>
              <w:spacing w:after="0"/>
              <w:rPr>
                <w:sz w:val="20"/>
                <w:szCs w:val="20"/>
                <w:color w:val="auto"/>
              </w:rPr>
            </w:pPr>
            <w:r>
              <w:rPr>
                <w:rFonts w:ascii="Arial" w:cs="Arial" w:eastAsia="Arial" w:hAnsi="Arial"/>
                <w:sz w:val="22"/>
                <w:szCs w:val="22"/>
                <w:color w:val="auto"/>
              </w:rPr>
              <w:t>Portfolio Activity:</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4120" w:type="dxa"/>
            <w:vAlign w:val="bottom"/>
          </w:tcPr>
          <w:p>
            <w:pPr>
              <w:ind w:left="100"/>
              <w:spacing w:after="0"/>
              <w:rPr>
                <w:sz w:val="20"/>
                <w:szCs w:val="20"/>
                <w:color w:val="auto"/>
              </w:rPr>
            </w:pPr>
            <w:r>
              <w:rPr>
                <w:rFonts w:ascii="Arial" w:cs="Arial" w:eastAsia="Arial" w:hAnsi="Arial"/>
                <w:sz w:val="22"/>
                <w:szCs w:val="22"/>
                <w:color w:val="auto"/>
              </w:rPr>
              <w:t>Purchases of investments</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60" w:type="dxa"/>
            <w:vAlign w:val="bottom"/>
          </w:tcPr>
          <w:p>
            <w:pPr>
              <w:jc w:val="right"/>
              <w:ind w:right="92"/>
              <w:spacing w:after="0"/>
              <w:rPr>
                <w:sz w:val="20"/>
                <w:szCs w:val="20"/>
                <w:color w:val="auto"/>
              </w:rPr>
            </w:pPr>
            <w:r>
              <w:rPr>
                <w:rFonts w:ascii="Arial" w:cs="Arial" w:eastAsia="Arial" w:hAnsi="Arial"/>
                <w:sz w:val="22"/>
                <w:szCs w:val="22"/>
                <w:color w:val="auto"/>
              </w:rPr>
              <w:t>138.4</w:t>
            </w:r>
          </w:p>
        </w:tc>
      </w:tr>
      <w:tr>
        <w:trPr>
          <w:trHeight w:val="274"/>
        </w:trPr>
        <w:tc>
          <w:tcPr>
            <w:tcW w:w="4120" w:type="dxa"/>
            <w:vAlign w:val="bottom"/>
          </w:tcPr>
          <w:p>
            <w:pPr>
              <w:ind w:left="100"/>
              <w:spacing w:after="0"/>
              <w:rPr>
                <w:sz w:val="20"/>
                <w:szCs w:val="20"/>
                <w:color w:val="auto"/>
              </w:rPr>
            </w:pPr>
            <w:r>
              <w:rPr>
                <w:rFonts w:ascii="Arial" w:cs="Arial" w:eastAsia="Arial" w:hAnsi="Arial"/>
                <w:sz w:val="22"/>
                <w:szCs w:val="22"/>
                <w:color w:val="auto"/>
              </w:rPr>
              <w:t>Sales and repayments of investments</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60" w:type="dxa"/>
            <w:vAlign w:val="bottom"/>
          </w:tcPr>
          <w:p>
            <w:pPr>
              <w:jc w:val="right"/>
              <w:ind w:right="92"/>
              <w:spacing w:after="0"/>
              <w:rPr>
                <w:sz w:val="20"/>
                <w:szCs w:val="20"/>
                <w:color w:val="auto"/>
              </w:rPr>
            </w:pPr>
            <w:r>
              <w:rPr>
                <w:rFonts w:ascii="Arial" w:cs="Arial" w:eastAsia="Arial" w:hAnsi="Arial"/>
                <w:sz w:val="22"/>
                <w:szCs w:val="22"/>
                <w:color w:val="auto"/>
              </w:rPr>
              <w:t>192.3</w:t>
            </w:r>
          </w:p>
        </w:tc>
      </w:tr>
      <w:tr>
        <w:trPr>
          <w:trHeight w:val="536"/>
        </w:trPr>
        <w:tc>
          <w:tcPr>
            <w:tcW w:w="4120" w:type="dxa"/>
            <w:vAlign w:val="bottom"/>
          </w:tcPr>
          <w:p>
            <w:pPr>
              <w:ind w:left="100"/>
              <w:spacing w:after="0"/>
              <w:rPr>
                <w:sz w:val="20"/>
                <w:szCs w:val="20"/>
                <w:color w:val="auto"/>
              </w:rPr>
            </w:pPr>
            <w:r>
              <w:rPr>
                <w:rFonts w:ascii="Arial" w:cs="Arial" w:eastAsia="Arial" w:hAnsi="Arial"/>
                <w:sz w:val="22"/>
                <w:szCs w:val="22"/>
                <w:color w:val="auto"/>
                <w:w w:val="92"/>
              </w:rPr>
              <w:t>Number of new portfolio companies invested</w:t>
            </w:r>
          </w:p>
        </w:tc>
        <w:tc>
          <w:tcPr>
            <w:tcW w:w="220" w:type="dxa"/>
            <w:vAlign w:val="bottom"/>
          </w:tcPr>
          <w:p>
            <w:pPr>
              <w:spacing w:after="0"/>
              <w:rPr>
                <w:sz w:val="24"/>
                <w:szCs w:val="24"/>
                <w:color w:val="auto"/>
              </w:rPr>
            </w:pPr>
          </w:p>
        </w:tc>
        <w:tc>
          <w:tcPr>
            <w:tcW w:w="860" w:type="dxa"/>
            <w:vAlign w:val="bottom"/>
          </w:tcPr>
          <w:p>
            <w:pPr>
              <w:jc w:val="right"/>
              <w:ind w:right="92"/>
              <w:spacing w:after="0"/>
              <w:rPr>
                <w:sz w:val="20"/>
                <w:szCs w:val="20"/>
                <w:color w:val="auto"/>
              </w:rPr>
            </w:pPr>
            <w:r>
              <w:rPr>
                <w:rFonts w:ascii="Arial" w:cs="Arial" w:eastAsia="Arial" w:hAnsi="Arial"/>
                <w:sz w:val="22"/>
                <w:szCs w:val="22"/>
                <w:color w:val="auto"/>
              </w:rPr>
              <w:t>5</w:t>
            </w:r>
          </w:p>
        </w:tc>
      </w:tr>
      <w:tr>
        <w:trPr>
          <w:trHeight w:val="243"/>
        </w:trPr>
        <w:tc>
          <w:tcPr>
            <w:tcW w:w="4120" w:type="dxa"/>
            <w:vAlign w:val="bottom"/>
          </w:tcPr>
          <w:p>
            <w:pPr>
              <w:ind w:left="100"/>
              <w:spacing w:after="0" w:line="243" w:lineRule="exact"/>
              <w:rPr>
                <w:sz w:val="20"/>
                <w:szCs w:val="20"/>
                <w:color w:val="auto"/>
              </w:rPr>
            </w:pPr>
            <w:r>
              <w:rPr>
                <w:rFonts w:ascii="Arial" w:cs="Arial" w:eastAsia="Arial" w:hAnsi="Arial"/>
                <w:sz w:val="22"/>
                <w:szCs w:val="22"/>
                <w:color w:val="auto"/>
              </w:rPr>
              <w:t>Number of existing portfolio companies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22"/>
                <w:szCs w:val="22"/>
                <w:color w:val="auto"/>
              </w:rPr>
              <w:t>invested</w:t>
            </w:r>
          </w:p>
        </w:tc>
        <w:tc>
          <w:tcPr>
            <w:tcW w:w="2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22"/>
                <w:szCs w:val="22"/>
                <w:color w:val="auto"/>
              </w:rPr>
              <w:t>7</w:t>
            </w:r>
          </w:p>
        </w:tc>
      </w:tr>
      <w:tr>
        <w:trPr>
          <w:trHeight w:val="274"/>
        </w:trPr>
        <w:tc>
          <w:tcPr>
            <w:tcW w:w="4120" w:type="dxa"/>
            <w:vAlign w:val="bottom"/>
          </w:tcPr>
          <w:p>
            <w:pPr>
              <w:ind w:left="100"/>
              <w:spacing w:after="0"/>
              <w:rPr>
                <w:sz w:val="20"/>
                <w:szCs w:val="20"/>
                <w:color w:val="auto"/>
              </w:rPr>
            </w:pPr>
            <w:r>
              <w:rPr>
                <w:rFonts w:ascii="Arial" w:cs="Arial" w:eastAsia="Arial" w:hAnsi="Arial"/>
                <w:sz w:val="22"/>
                <w:szCs w:val="22"/>
                <w:color w:val="auto"/>
              </w:rPr>
              <w:t>Number of ending portfolio companies</w:t>
            </w:r>
          </w:p>
        </w:tc>
        <w:tc>
          <w:tcPr>
            <w:tcW w:w="2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22"/>
                <w:szCs w:val="22"/>
                <w:color w:val="auto"/>
              </w:rPr>
              <w:t>57</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FEBRUARY 8, 2018</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PennantPark Investment Corporation (“we,” “our,” “us” or “Company”) will host a conference call at 10:00 a.m. (Eastern Time) on Thursday, February 8, 2018 to discuss its financial results. All interested parties are welcome to participate. You can access the conference call by dialing toll-free (888) 394-8218 approximately 5-10 minutes prior to the call. International callers should dial</w:t>
      </w:r>
    </w:p>
    <w:p>
      <w:pPr>
        <w:spacing w:after="0" w:line="1" w:lineRule="exact"/>
        <w:rPr>
          <w:sz w:val="20"/>
          <w:szCs w:val="20"/>
          <w:color w:val="auto"/>
        </w:rPr>
      </w:pPr>
    </w:p>
    <w:p>
      <w:pPr>
        <w:jc w:val="both"/>
        <w:ind w:firstLine="8"/>
        <w:spacing w:after="0" w:line="234" w:lineRule="auto"/>
        <w:tabs>
          <w:tab w:leader="none" w:pos="572" w:val="left"/>
        </w:tabs>
        <w:numPr>
          <w:ilvl w:val="0"/>
          <w:numId w:val="2"/>
        </w:numPr>
        <w:rPr>
          <w:rFonts w:ascii="Arial" w:cs="Arial" w:eastAsia="Arial" w:hAnsi="Arial"/>
          <w:sz w:val="22"/>
          <w:szCs w:val="22"/>
          <w:color w:val="auto"/>
        </w:rPr>
      </w:pPr>
      <w:r>
        <w:rPr>
          <w:rFonts w:ascii="Arial" w:cs="Arial" w:eastAsia="Arial" w:hAnsi="Arial"/>
          <w:sz w:val="22"/>
          <w:szCs w:val="22"/>
          <w:color w:val="auto"/>
        </w:rPr>
        <w:t>701-0225. All callers should reference PennantPark Investment Corporation. An archived replay of the call will be available through February 22, 2018 by calling toll-free (888) 203-1112. International callers please dial (719) 457-0820. For all phone replays, please reference conference ID #8118668.</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We entered into the Second Amended and Restated Investment Advisory Management Agreement, dated February 6, 2018, between the Company and PennantPark Investment Advisers, LLC to implement the previously announced permanent reductions in base management and incentive fees. Under the agreement, (i) base management fees are 1.50% of the Company’s “average adjusted gross assets”, (ii) the income-based incentive fee is 17.5% of the Company’s pre-incentive fee net investment income (subject to a 7.00% annualized “hurdle rate” and 100% “catch-up” with a ceiling of 8.4848%) and (iii) the capital gains incentive fee is 17.5% of the Company’s cumulative net realized capital gains.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Subsequent to quarter-end, $21.2 million of our equity investments have been monetized.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December 31, 2017, our portfolio totaled $1,100.6 million and consisted of $444.9 million of first lien secured debt, $375.6 million of second lien secured debt, $107.2 million of subordinated debt and $172.9 million of preferred and common equity. Our debt portfolio consisted of 82% variable-rate investments (including 12% where London Interbank Offered Rate, or LIBOR, was below the floor) and 18% fixed-rate investments. As of December 31, 2017, we had no companies on non-accrual. Overall, the</w:t>
      </w:r>
    </w:p>
    <w:p>
      <w:pPr>
        <w:sectPr>
          <w:pgSz w:w="11900" w:h="16970" w:orient="portrait"/>
          <w:cols w:equalWidth="0" w:num="1">
            <w:col w:w="11240"/>
          </w:cols>
          <w:pgMar w:left="320" w:top="112" w:right="339" w:bottom="0" w:gutter="0" w:footer="0" w:header="0"/>
        </w:sectPr>
      </w:pPr>
    </w:p>
    <w:bookmarkStart w:id="4" w:name="page5"/>
    <w:bookmarkEnd w:id="4"/>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portfolio had net unrealized depreciation of $63.2 million as of December 31, 2017. Our overall portfolio consisted of 57 companies with an average investment size of $19.3 million, had a weighted average yield on interest bearing debt investments of 11.8% and was invested 40% in first lien secured debt, 34% in second lien secured debt, 10% in subordinated debt and 16% in preferred and common equity.</w:t>
      </w:r>
    </w:p>
    <w:p>
      <w:pPr>
        <w:spacing w:after="0" w:line="18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As of September 30, 2017, our portfolio totaled $1,153.6 million and consisted of $466.1 million of first lien secured debt, $399.5 million of second lien secured debt, $120.7 million of subordinated debt and $167.3 million of preferred and common equity. Our debt portfolio consisted of 82% variable-rate investments (including 13% where LIBOR was below the floor) and 18% fixed-rate investments. As of September 30, 2017, we had no companies on non-accrual. Overall, the portfolio had net unrealized depreciation of $56.4 million as of September 30, 2017. Our overall portfolio consisted of 55 companies with an average investment size of $21.0 million, had a weighted average yield on interest bearing debt investments of 11.5% and was invested 40% in first lien secured debt, 35% in second lien secured debt, 10% in subordinated debt and 15% in preferred and common equity.</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December 31, 2017, we invested $138.4 million in five new and seven existing portfolio companies with a weighted average yield on debt investments of 10.8%. Sales and repayments of investments for the three months ended December 31, 2017 totaled $192.3 million.</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December 31, 2016, we invested $229.2 million in nine new and seven existing portfolio companies with a weighted average yield on debt investments of 11.2%. Sales and repayments of investments for the three months ended December 31, 2016 totaled $64.2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months ended December 31, 2017 and 2016.</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Investment income for the three months ended December 31, 2017 was $28.7 million and was attributable to $12.7 million from first lien secured debt, $12.9 million from second lien secured debt and $3.1 million from subordinated debt, respectively. Investment income for the three months ended December 31, 2016 was $31.9 million and was attributable to $13.2 million from first lien secured debt, $12.7 million from second lien secured debt, $4.9 million from subordinated debt and $1.1 million from preferred and common equity. The decrease in investment income compared to the same period in the prior year was primarily due to a reduction of our portfolio at cost.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Net expenses for the three months ended December 31, 2017 totaled $14.5 million. Base management fee for the same period totaled $4.8 million (after a base management fee waiver of $0.9 million), incentive fee totaled $2.7 million (after an incentive fee waiver of $0.5 million), debt related interest and expenses totaled $5.9 million and general and administrative expenses totaled $1.1 million. Net expenses for the three months ended December 31, 2016 totaled $16.8 million. Base management fee for the same period totaled $5.3 million (after a base management fee waiver of $1.0 million), incentive fee totaled $2.9 million (after an incentive fee waiver of $0.5 million), debt related interest and expenses totaled $6.7 million, general and administrative expenses totaled $1.5 million and provision for taxes totaled $0.4 million. The decrease in expenses compared to the same period in the prior year was primarily due to a decrease in debt related interest and expenses and base management fees.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Net investment income totaled $14.2 million, or $0.20 per share, for the three months ended December 31, 2017, and $15.0 million, or $0.21 per share, for the three months ended December 31, 2016. The decrease in net investment income per share compared to the same period in the prior year was primarily due to a reduction of our portfolio at cost.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Sales and repayments of investments for the three months ended December 31, 2017 totaled $192.3 million and net realized gains totaled $3.8 million. Sales and repayments of investments for the three months ended December 31, 2016 totaled $64.2 million and net realized losses totaled $22.2 million. The change in realized gains (losses) was primarily due to changes in the market conditions of our investments and the values at which they were realized.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Credit Facility and Notes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three months ended December 31, 2017 and 2016, we reported net change in unrealized (depreciation) appreciation on investments of $(6.8) million and $25.4 million, respectively. As of December 31, 2017 and September 30, 2017, our net unrealized depreciation on investments totaled $63.2 million and $56.4 million, respectively. The net change in unrealized (depreciation) appreciation on our investments was driven primarily by changes in the capital market conditions, the financial performance of certain portfolio companies and the reversal of unrealized depreciation (appreciation) of investments that were realized.</w:t>
      </w:r>
    </w:p>
    <w:p>
      <w:pPr>
        <w:spacing w:after="0" w:line="18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For the three months ended December 31, 2017, our multi-currency, senior secured revolving credit facility, as amended and restated, or the Credit Facility, and our 4.50% notes due 2019, or 2019 Notes, had a net change in unrealized depreciation of $1.1</w:t>
      </w:r>
    </w:p>
    <w:p>
      <w:pPr>
        <w:sectPr>
          <w:pgSz w:w="11900" w:h="17008" w:orient="portrait"/>
          <w:cols w:equalWidth="0" w:num="1">
            <w:col w:w="11240"/>
          </w:cols>
          <w:pgMar w:left="320" w:top="118" w:right="339" w:bottom="0" w:gutter="0" w:footer="0" w:header="0"/>
        </w:sectPr>
      </w:pPr>
    </w:p>
    <w:bookmarkStart w:id="5" w:name="page6"/>
    <w:bookmarkEnd w:id="5"/>
    <w:p>
      <w:pPr>
        <w:jc w:val="both"/>
        <w:spacing w:after="0" w:line="287" w:lineRule="auto"/>
        <w:rPr>
          <w:sz w:val="20"/>
          <w:szCs w:val="20"/>
          <w:color w:val="auto"/>
        </w:rPr>
      </w:pPr>
      <w:r>
        <w:rPr>
          <w:rFonts w:ascii="Arial" w:cs="Arial" w:eastAsia="Arial" w:hAnsi="Arial"/>
          <w:sz w:val="19"/>
          <w:szCs w:val="19"/>
          <w:color w:val="auto"/>
        </w:rPr>
        <w:t>million. For the three months ended December 31, 2016, our Credit Facility, our 2019 Notes, and our 6.25% notes due 2025 had a net change in unrealized depreciation of $5.8 million. As of December 31, 2017 and September 30, 2017, net unrealized appreciation on the Credit Facility and the 2019 Notes totaled $1.2 million and $2.3 million, respectively. The change in net unrealized depreciation compared to the same period in the prior year was primarily due to changes in the capital markets.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Net change in net assets resulting from operations totaled $12.3 million, or $0.18 per share, for the three months ended December 31, 2017. This compares to a net change in net assets resulting from operations of $24.0 million, or $0.34 per share, for the three months ended December 31, 2016. The decrease in the net change in net assets from operations compared to the same period in the prior year was primarily due to the reduction of our portfolio and depreciation of our investments.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annualized weighted average cost of debt for the three months ended December 31, 2017 and 2016, inclusive of the fee on the undrawn commitment and amendment costs on the Credit Facility, amortized upfront fees on Small Business Administration, or SBA, debentures and debt issuance costs, was 4.32% and 4.51%, respectively.</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December 31, 2017 and September 30, 2017, there was $79.4 million in outstanding borrowings under the Credit Facility. The Credit Facility had a weighted average interest rate of 2.47% and 2.42%, respectively, exclusive of the fee on undrawn commitments of 0.375%, as of December 31, 2017 and September 30, 2017. As of December 31, 2017 and September 30, 2017, we had $365.6 million of unused borrowing capacity under our Credit Facility, subject to regulatory restrictions.</w:t>
      </w:r>
    </w:p>
    <w:p>
      <w:pPr>
        <w:spacing w:after="0" w:line="14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As of December 31, 2017 and September 30, 2017, we had $250.0 million in aggregate principal amount of 2019 Notes outstanding, with a fixed interest rate of 4.50% per year. As of December 31, 2017 and September 30, 2017, we had $300.0 million in SBA debt commitments, respectively, of which $184.0 million and $199.0 million was drawn, respectively.</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December 31, 2017 and September 30, 2017, we had cash and cash equivalents of $72.8 million and $38.2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operating activities provided cash of $62.4 million for the three months ended December 31, 2017, and our financing activities used cash of $27.8 million for the same period. Our operating activities provided cash from sales and repayments on our investments and our financing activities used cash primarily to pay distributions to stockholders and repay the SBA debentures.</w:t>
      </w:r>
    </w:p>
    <w:p>
      <w:pPr>
        <w:spacing w:after="0" w:line="134" w:lineRule="exact"/>
        <w:rPr>
          <w:sz w:val="20"/>
          <w:szCs w:val="20"/>
          <w:color w:val="auto"/>
        </w:rPr>
      </w:pPr>
    </w:p>
    <w:p>
      <w:pPr>
        <w:jc w:val="both"/>
        <w:ind w:right="20"/>
        <w:spacing w:after="0" w:line="257" w:lineRule="auto"/>
        <w:rPr>
          <w:sz w:val="20"/>
          <w:szCs w:val="20"/>
          <w:color w:val="auto"/>
        </w:rPr>
      </w:pPr>
      <w:r>
        <w:rPr>
          <w:rFonts w:ascii="Arial" w:cs="Arial" w:eastAsia="Arial" w:hAnsi="Arial"/>
          <w:sz w:val="21"/>
          <w:szCs w:val="21"/>
          <w:color w:val="auto"/>
        </w:rPr>
        <w:t>Our operating activities used cash of $108.3 million for the three months ended December 31, 2016, and our financing activities provided cash of $77.9 million for the same period. Our operating activities used cash primarily for our investment activities and our financing activities provided cash primarily for net borrowings under the Credit Facility.</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During the three months ended December 31, 2017 and 2016, we declared distributions of $0.18 and $0.28 per share, respectively, for total distributions of $12.8 million and $19.9 million, respectively. We monitor available net investment income to determine if a return of capital for taxation purposes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Securities and Exchange Commission, or the SEC.</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our website at www.pennantpark.com.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ASSETS AND LIABILITIES</w:t>
      </w:r>
    </w:p>
    <w:p>
      <w:pPr>
        <w:sectPr>
          <w:pgSz w:w="11900" w:h="16838" w:orient="portrait"/>
          <w:cols w:equalWidth="0" w:num="1">
            <w:col w:w="11240"/>
          </w:cols>
          <w:pgMar w:left="320" w:top="118" w:right="339"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left="7920"/>
        <w:spacing w:after="0"/>
        <w:rPr>
          <w:sz w:val="20"/>
          <w:szCs w:val="20"/>
          <w:color w:val="auto"/>
        </w:rPr>
      </w:pPr>
      <w:r>
        <w:rPr>
          <w:rFonts w:ascii="Arial" w:cs="Arial" w:eastAsia="Arial" w:hAnsi="Arial"/>
          <w:sz w:val="19"/>
          <w:szCs w:val="19"/>
          <w:b w:val="1"/>
          <w:bCs w:val="1"/>
          <w:color w:val="auto"/>
        </w:rPr>
        <w:t>December 31,</w:t>
      </w:r>
    </w:p>
    <w:p>
      <w:pPr>
        <w:spacing w:after="0" w:line="49" w:lineRule="exact"/>
        <w:rPr>
          <w:sz w:val="20"/>
          <w:szCs w:val="20"/>
          <w:color w:val="auto"/>
        </w:rPr>
      </w:pPr>
    </w:p>
    <w:p>
      <w:pPr>
        <w:jc w:val="center"/>
        <w:ind w:left="7920"/>
        <w:spacing w:after="0"/>
        <w:rPr>
          <w:sz w:val="20"/>
          <w:szCs w:val="20"/>
          <w:color w:val="auto"/>
        </w:rPr>
      </w:pPr>
      <w:r>
        <w:rPr>
          <w:rFonts w:ascii="Arial" w:cs="Arial" w:eastAsia="Arial" w:hAnsi="Arial"/>
          <w:sz w:val="22"/>
          <w:szCs w:val="22"/>
          <w:b w:val="1"/>
          <w:bCs w:val="1"/>
          <w:color w:val="auto"/>
        </w:rPr>
        <w:t>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jc w:val="center"/>
        <w:ind w:right="260"/>
        <w:spacing w:after="0"/>
        <w:rPr>
          <w:sz w:val="20"/>
          <w:szCs w:val="20"/>
          <w:color w:val="auto"/>
        </w:rPr>
      </w:pPr>
      <w:r>
        <w:rPr>
          <w:rFonts w:ascii="Arial" w:cs="Arial" w:eastAsia="Arial" w:hAnsi="Arial"/>
          <w:sz w:val="19"/>
          <w:szCs w:val="19"/>
          <w:b w:val="1"/>
          <w:bCs w:val="1"/>
          <w:color w:val="auto"/>
        </w:rPr>
        <w:t>September 30,</w:t>
      </w:r>
    </w:p>
    <w:p>
      <w:pPr>
        <w:spacing w:after="0" w:line="49" w:lineRule="exact"/>
        <w:rPr>
          <w:sz w:val="20"/>
          <w:szCs w:val="20"/>
          <w:color w:val="auto"/>
        </w:rPr>
      </w:pPr>
    </w:p>
    <w:p>
      <w:pPr>
        <w:jc w:val="center"/>
        <w:ind w:right="260"/>
        <w:spacing w:after="0"/>
        <w:rPr>
          <w:sz w:val="20"/>
          <w:szCs w:val="20"/>
          <w:color w:val="auto"/>
        </w:rPr>
      </w:pPr>
      <w:r>
        <w:rPr>
          <w:rFonts w:ascii="Arial" w:cs="Arial" w:eastAsia="Arial" w:hAnsi="Arial"/>
          <w:sz w:val="22"/>
          <w:szCs w:val="22"/>
          <w:b w:val="1"/>
          <w:bCs w:val="1"/>
          <w:color w:val="auto"/>
        </w:rPr>
        <w:t>2017</w:t>
      </w:r>
    </w:p>
    <w:p>
      <w:pPr>
        <w:spacing w:after="0" w:line="3" w:lineRule="exact"/>
        <w:rPr>
          <w:sz w:val="20"/>
          <w:szCs w:val="20"/>
          <w:color w:val="auto"/>
        </w:rPr>
      </w:pPr>
    </w:p>
    <w:p>
      <w:pPr>
        <w:sectPr>
          <w:pgSz w:w="11900" w:h="16838" w:orient="portrait"/>
          <w:cols w:equalWidth="0" w:num="2">
            <w:col w:w="9180" w:space="480"/>
            <w:col w:w="1580"/>
          </w:cols>
          <w:pgMar w:left="320" w:top="118" w:right="339" w:bottom="0" w:gutter="0" w:footer="0" w:header="0"/>
          <w:type w:val="continuous"/>
        </w:sectPr>
      </w:pPr>
    </w:p>
    <w:p>
      <w:pPr>
        <w:ind w:left="8020"/>
        <w:spacing w:after="0"/>
        <w:rPr>
          <w:sz w:val="20"/>
          <w:szCs w:val="20"/>
          <w:color w:val="auto"/>
        </w:rPr>
      </w:pPr>
      <w:r>
        <w:rPr>
          <w:rFonts w:ascii="Arial" w:cs="Arial" w:eastAsia="Arial" w:hAnsi="Arial"/>
          <w:sz w:val="19"/>
          <w:szCs w:val="19"/>
          <w:b w:val="1"/>
          <w:bCs w:val="1"/>
          <w:color w:val="auto"/>
        </w:rPr>
        <w:t>(unaudited)</w:t>
      </w:r>
    </w:p>
    <w:p>
      <w:pPr>
        <w:sectPr>
          <w:pgSz w:w="11900" w:h="16838" w:orient="portrait"/>
          <w:cols w:equalWidth="0" w:num="1">
            <w:col w:w="11240"/>
          </w:cols>
          <w:pgMar w:left="320" w:top="118" w:right="339" w:bottom="0" w:gutter="0" w:footer="0" w:header="0"/>
          <w:type w:val="continuous"/>
        </w:sectPr>
      </w:pP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-123190</wp:posOffset>
            </wp:positionV>
            <wp:extent cx="2134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ectPr>
          <w:pgSz w:w="11900" w:h="16838" w:orient="portrait"/>
          <w:cols w:equalWidth="0" w:num="1">
            <w:col w:w="11240"/>
          </w:cols>
          <w:pgMar w:left="320" w:top="118" w:right="33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71"/>
        </w:trPr>
        <w:tc>
          <w:tcPr>
            <w:tcW w:w="776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43"/>
        </w:trPr>
        <w:tc>
          <w:tcPr>
            <w:tcW w:w="7760" w:type="dxa"/>
            <w:vAlign w:val="bottom"/>
          </w:tcPr>
          <w:p>
            <w:pPr>
              <w:ind w:left="260"/>
              <w:spacing w:after="0" w:line="243" w:lineRule="exact"/>
              <w:rPr>
                <w:sz w:val="20"/>
                <w:szCs w:val="20"/>
                <w:color w:val="auto"/>
              </w:rPr>
            </w:pPr>
            <w:r>
              <w:rPr>
                <w:rFonts w:ascii="Arial" w:cs="Arial" w:eastAsia="Arial" w:hAnsi="Arial"/>
                <w:sz w:val="22"/>
                <w:szCs w:val="22"/>
                <w:color w:val="auto"/>
                <w:w w:val="92"/>
              </w:rPr>
              <w:t>Non-controlled, non-affiliated investments (cost—$774,071,408 and $824,106,322,</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76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60" w:type="dxa"/>
            <w:vAlign w:val="bottom"/>
          </w:tcPr>
          <w:p>
            <w:pPr>
              <w:jc w:val="right"/>
              <w:spacing w:after="0"/>
              <w:rPr>
                <w:sz w:val="20"/>
                <w:szCs w:val="20"/>
                <w:color w:val="auto"/>
              </w:rPr>
            </w:pPr>
            <w:r>
              <w:rPr>
                <w:rFonts w:ascii="Arial" w:cs="Arial" w:eastAsia="Arial" w:hAnsi="Arial"/>
                <w:sz w:val="22"/>
                <w:szCs w:val="22"/>
                <w:color w:val="auto"/>
              </w:rPr>
              <w:t>801,023,017</w:t>
            </w:r>
          </w:p>
        </w:tc>
        <w:tc>
          <w:tcPr>
            <w:tcW w:w="180" w:type="dxa"/>
            <w:vAlign w:val="bottom"/>
          </w:tcPr>
          <w:p>
            <w:pPr>
              <w:spacing w:after="0"/>
              <w:rPr>
                <w:sz w:val="23"/>
                <w:szCs w:val="23"/>
                <w:color w:val="auto"/>
              </w:rPr>
            </w:pP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1380" w:type="dxa"/>
            <w:vAlign w:val="bottom"/>
          </w:tcPr>
          <w:p>
            <w:pPr>
              <w:jc w:val="right"/>
              <w:spacing w:after="0"/>
              <w:rPr>
                <w:sz w:val="20"/>
                <w:szCs w:val="20"/>
                <w:color w:val="auto"/>
              </w:rPr>
            </w:pPr>
            <w:r>
              <w:rPr>
                <w:rFonts w:ascii="Arial" w:cs="Arial" w:eastAsia="Arial" w:hAnsi="Arial"/>
                <w:sz w:val="22"/>
                <w:szCs w:val="22"/>
                <w:color w:val="auto"/>
              </w:rPr>
              <w:t>849,351,548</w:t>
            </w:r>
          </w:p>
        </w:tc>
        <w:tc>
          <w:tcPr>
            <w:tcW w:w="80" w:type="dxa"/>
            <w:vAlign w:val="bottom"/>
          </w:tcPr>
          <w:p>
            <w:pPr>
              <w:spacing w:after="0"/>
              <w:rPr>
                <w:sz w:val="23"/>
                <w:szCs w:val="23"/>
                <w:color w:val="auto"/>
              </w:rPr>
            </w:pPr>
          </w:p>
        </w:tc>
      </w:tr>
      <w:tr>
        <w:trPr>
          <w:trHeight w:val="243"/>
        </w:trPr>
        <w:tc>
          <w:tcPr>
            <w:tcW w:w="7760" w:type="dxa"/>
            <w:vAlign w:val="bottom"/>
          </w:tcPr>
          <w:p>
            <w:pPr>
              <w:ind w:left="260"/>
              <w:spacing w:after="0" w:line="243" w:lineRule="exact"/>
              <w:rPr>
                <w:sz w:val="20"/>
                <w:szCs w:val="20"/>
                <w:color w:val="auto"/>
              </w:rPr>
            </w:pPr>
            <w:r>
              <w:rPr>
                <w:rFonts w:ascii="Arial" w:cs="Arial" w:eastAsia="Arial" w:hAnsi="Arial"/>
                <w:sz w:val="22"/>
                <w:szCs w:val="22"/>
                <w:color w:val="auto"/>
                <w:w w:val="98"/>
              </w:rPr>
              <w:t>Non-controlled, affiliated investments (cost—$186,604,156 and $185,799,943,</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76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192,144,595</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189,674,977</w:t>
            </w:r>
          </w:p>
        </w:tc>
        <w:tc>
          <w:tcPr>
            <w:tcW w:w="80" w:type="dxa"/>
            <w:vAlign w:val="bottom"/>
          </w:tcPr>
          <w:p>
            <w:pPr>
              <w:spacing w:after="0"/>
              <w:rPr>
                <w:sz w:val="23"/>
                <w:szCs w:val="23"/>
                <w:color w:val="auto"/>
              </w:rPr>
            </w:pPr>
          </w:p>
        </w:tc>
      </w:tr>
      <w:tr>
        <w:trPr>
          <w:trHeight w:val="243"/>
        </w:trPr>
        <w:tc>
          <w:tcPr>
            <w:tcW w:w="7760" w:type="dxa"/>
            <w:vAlign w:val="bottom"/>
          </w:tcPr>
          <w:p>
            <w:pPr>
              <w:ind w:left="260"/>
              <w:spacing w:after="0" w:line="243" w:lineRule="exact"/>
              <w:rPr>
                <w:sz w:val="20"/>
                <w:szCs w:val="20"/>
                <w:color w:val="auto"/>
              </w:rPr>
            </w:pPr>
            <w:r>
              <w:rPr>
                <w:rFonts w:ascii="Arial" w:cs="Arial" w:eastAsia="Arial" w:hAnsi="Arial"/>
                <w:sz w:val="22"/>
                <w:szCs w:val="22"/>
                <w:color w:val="auto"/>
              </w:rPr>
              <w:t>Controlled, affiliated investments (cost—$203,199,235 and $200,120,407,</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4"/>
        </w:trPr>
        <w:tc>
          <w:tcPr>
            <w:tcW w:w="776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107,453,444</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114,550,983</w:t>
            </w:r>
          </w:p>
        </w:tc>
        <w:tc>
          <w:tcPr>
            <w:tcW w:w="80" w:type="dxa"/>
            <w:vAlign w:val="bottom"/>
          </w:tcPr>
          <w:p>
            <w:pPr>
              <w:spacing w:after="0"/>
              <w:rPr>
                <w:sz w:val="23"/>
                <w:szCs w:val="23"/>
                <w:color w:val="auto"/>
              </w:rPr>
            </w:pPr>
          </w:p>
        </w:tc>
      </w:tr>
      <w:tr>
        <w:trPr>
          <w:trHeight w:val="259"/>
        </w:trPr>
        <w:tc>
          <w:tcPr>
            <w:tcW w:w="7760" w:type="dxa"/>
            <w:vAlign w:val="bottom"/>
          </w:tcPr>
          <w:p>
            <w:pPr>
              <w:ind w:left="260"/>
              <w:spacing w:after="0"/>
              <w:rPr>
                <w:sz w:val="20"/>
                <w:szCs w:val="20"/>
                <w:color w:val="auto"/>
              </w:rPr>
            </w:pPr>
            <w:r>
              <w:rPr>
                <w:rFonts w:ascii="Arial" w:cs="Arial" w:eastAsia="Arial" w:hAnsi="Arial"/>
                <w:sz w:val="22"/>
                <w:szCs w:val="22"/>
                <w:color w:val="auto"/>
                <w:w w:val="98"/>
              </w:rPr>
              <w:t>Total of investments (cost—$1,163,874,799 and $1,210,026,672, respectively)</w:t>
            </w: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w w:val="93"/>
              </w:rPr>
              <w:t>1,100,621,056</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w w:val="95"/>
              </w:rPr>
              <w:t>1,153,577,508</w:t>
            </w:r>
          </w:p>
        </w:tc>
        <w:tc>
          <w:tcPr>
            <w:tcW w:w="80" w:type="dxa"/>
            <w:vAlign w:val="bottom"/>
          </w:tcPr>
          <w:p>
            <w:pPr>
              <w:spacing w:after="0"/>
              <w:rPr>
                <w:sz w:val="22"/>
                <w:szCs w:val="22"/>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Cash and cash equivalents (cost—$72,781,092 and $38,182,373, respectively)</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72,832,675</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38,202,068</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Interest receivable</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7,759,810</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5,906,976</w:t>
            </w:r>
          </w:p>
        </w:tc>
        <w:tc>
          <w:tcPr>
            <w:tcW w:w="80" w:type="dxa"/>
            <w:vAlign w:val="bottom"/>
          </w:tcPr>
          <w:p>
            <w:pPr>
              <w:spacing w:after="0"/>
              <w:rPr>
                <w:sz w:val="23"/>
                <w:szCs w:val="23"/>
                <w:color w:val="auto"/>
              </w:rPr>
            </w:pPr>
          </w:p>
        </w:tc>
      </w:tr>
      <w:tr>
        <w:trPr>
          <w:trHeight w:val="274"/>
        </w:trPr>
        <w:tc>
          <w:tcPr>
            <w:tcW w:w="776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2,979,549</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4,509,289</w:t>
            </w:r>
          </w:p>
        </w:tc>
        <w:tc>
          <w:tcPr>
            <w:tcW w:w="80" w:type="dxa"/>
            <w:vAlign w:val="bottom"/>
          </w:tcPr>
          <w:p>
            <w:pPr>
              <w:spacing w:after="0"/>
              <w:rPr>
                <w:sz w:val="23"/>
                <w:szCs w:val="23"/>
                <w:color w:val="auto"/>
              </w:rPr>
            </w:pPr>
          </w:p>
        </w:tc>
      </w:tr>
      <w:tr>
        <w:trPr>
          <w:trHeight w:val="267"/>
        </w:trPr>
        <w:tc>
          <w:tcPr>
            <w:tcW w:w="776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3"/>
              </w:rPr>
              <w:t>1,184,193,090</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5"/>
              </w:rPr>
              <w:t>1,202,195,841</w:t>
            </w:r>
          </w:p>
        </w:tc>
        <w:tc>
          <w:tcPr>
            <w:tcW w:w="80" w:type="dxa"/>
            <w:vAlign w:val="bottom"/>
          </w:tcPr>
          <w:p>
            <w:pPr>
              <w:spacing w:after="0"/>
              <w:rPr>
                <w:sz w:val="23"/>
                <w:szCs w:val="23"/>
                <w:color w:val="auto"/>
              </w:rPr>
            </w:pPr>
          </w:p>
        </w:tc>
      </w:tr>
      <w:tr>
        <w:trPr>
          <w:trHeight w:val="256"/>
        </w:trPr>
        <w:tc>
          <w:tcPr>
            <w:tcW w:w="776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Distributions payable</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12,790,950</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12,790,950</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200" w:type="dxa"/>
            <w:vAlign w:val="bottom"/>
          </w:tcPr>
          <w:p>
            <w:pPr>
              <w:spacing w:after="0"/>
              <w:rPr>
                <w:sz w:val="23"/>
                <w:szCs w:val="23"/>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1,014,000</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Credit Facility payable (cost—$79,392,900 and $79,392,900, respectively)</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76,578,075</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76,037,341</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2019 Notes payable (par—$250,000,000)</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253,997,500</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255,665,000</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w w:val="95"/>
              </w:rPr>
              <w:t>SBA debentures payable, net (par—$184,000,000 and $199,000,000, respectively)</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179,739,718</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194,364,653</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Base management fee payable, net</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4,817,516</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4,845,237</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Performance-based incentive fee payable, net</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2,675,573</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2,270,008</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5,507,033</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6,876,756</w:t>
            </w:r>
          </w:p>
        </w:tc>
        <w:tc>
          <w:tcPr>
            <w:tcW w:w="80" w:type="dxa"/>
            <w:vAlign w:val="bottom"/>
          </w:tcPr>
          <w:p>
            <w:pPr>
              <w:spacing w:after="0"/>
              <w:rPr>
                <w:sz w:val="23"/>
                <w:szCs w:val="23"/>
                <w:color w:val="auto"/>
              </w:rPr>
            </w:pPr>
          </w:p>
        </w:tc>
      </w:tr>
      <w:tr>
        <w:trPr>
          <w:trHeight w:val="274"/>
        </w:trPr>
        <w:tc>
          <w:tcPr>
            <w:tcW w:w="7760" w:type="dxa"/>
            <w:vAlign w:val="bottom"/>
          </w:tcPr>
          <w:p>
            <w:pPr>
              <w:spacing w:after="0"/>
              <w:rPr>
                <w:sz w:val="20"/>
                <w:szCs w:val="20"/>
                <w:color w:val="auto"/>
              </w:rPr>
            </w:pPr>
            <w:r>
              <w:rPr>
                <w:rFonts w:ascii="Arial" w:cs="Arial" w:eastAsia="Arial" w:hAnsi="Arial"/>
                <w:sz w:val="22"/>
                <w:szCs w:val="22"/>
                <w:color w:val="auto"/>
              </w:rPr>
              <w:t>Accrued other expenses</w:t>
            </w: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1,773,807</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1,523,425</w:t>
            </w:r>
          </w:p>
        </w:tc>
        <w:tc>
          <w:tcPr>
            <w:tcW w:w="80" w:type="dxa"/>
            <w:vAlign w:val="bottom"/>
          </w:tcPr>
          <w:p>
            <w:pPr>
              <w:spacing w:after="0"/>
              <w:rPr>
                <w:sz w:val="23"/>
                <w:szCs w:val="23"/>
                <w:color w:val="auto"/>
              </w:rPr>
            </w:pPr>
          </w:p>
        </w:tc>
      </w:tr>
      <w:tr>
        <w:trPr>
          <w:trHeight w:val="267"/>
        </w:trPr>
        <w:tc>
          <w:tcPr>
            <w:tcW w:w="776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537,880,172</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555,387,370</w:t>
            </w:r>
          </w:p>
        </w:tc>
        <w:tc>
          <w:tcPr>
            <w:tcW w:w="80" w:type="dxa"/>
            <w:vAlign w:val="bottom"/>
          </w:tcPr>
          <w:p>
            <w:pPr>
              <w:spacing w:after="0"/>
              <w:rPr>
                <w:sz w:val="23"/>
                <w:szCs w:val="23"/>
                <w:color w:val="auto"/>
              </w:rPr>
            </w:pPr>
          </w:p>
        </w:tc>
      </w:tr>
      <w:tr>
        <w:trPr>
          <w:trHeight w:val="250"/>
        </w:trPr>
        <w:tc>
          <w:tcPr>
            <w:tcW w:w="776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200" w:type="dxa"/>
            <w:vAlign w:val="bottom"/>
          </w:tcPr>
          <w:p>
            <w:pPr>
              <w:spacing w:after="0"/>
              <w:rPr>
                <w:sz w:val="21"/>
                <w:szCs w:val="21"/>
                <w:color w:val="auto"/>
              </w:rPr>
            </w:pPr>
          </w:p>
        </w:tc>
        <w:tc>
          <w:tcPr>
            <w:tcW w:w="136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r>
      <w:tr>
        <w:trPr>
          <w:trHeight w:val="276"/>
        </w:trPr>
        <w:tc>
          <w:tcPr>
            <w:tcW w:w="776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Common stock, 71,060,836 shares issued and outstanding</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760" w:type="dxa"/>
            <w:vAlign w:val="bottom"/>
          </w:tcPr>
          <w:p>
            <w:pPr>
              <w:ind w:left="100"/>
              <w:spacing w:after="0"/>
              <w:rPr>
                <w:sz w:val="20"/>
                <w:szCs w:val="20"/>
                <w:color w:val="auto"/>
              </w:rPr>
            </w:pPr>
            <w:r>
              <w:rPr>
                <w:rFonts w:ascii="Arial" w:cs="Arial" w:eastAsia="Arial" w:hAnsi="Arial"/>
                <w:sz w:val="22"/>
                <w:szCs w:val="22"/>
                <w:color w:val="auto"/>
              </w:rPr>
              <w:t>Par value $0.001 per share and 100,000,000 shares authorized</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71,061</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71,061</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818,737,784</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818,737,784</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Undistributed net investment income</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4,710,289</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3,333,195</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Accumulated net realized loss on investments</w:t>
            </w:r>
          </w:p>
        </w:tc>
        <w:tc>
          <w:tcPr>
            <w:tcW w:w="20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22"/>
                <w:szCs w:val="22"/>
                <w:color w:val="auto"/>
              </w:rPr>
              <w:t>(112,824,872)</w:t>
            </w:r>
          </w:p>
        </w:tc>
        <w:tc>
          <w:tcPr>
            <w:tcW w:w="240" w:type="dxa"/>
            <w:vAlign w:val="bottom"/>
          </w:tcPr>
          <w:p>
            <w:pPr>
              <w:spacing w:after="0"/>
              <w:rPr>
                <w:sz w:val="23"/>
                <w:szCs w:val="23"/>
                <w:color w:val="auto"/>
              </w:rPr>
            </w:pPr>
          </w:p>
        </w:tc>
        <w:tc>
          <w:tcPr>
            <w:tcW w:w="1460" w:type="dxa"/>
            <w:vAlign w:val="bottom"/>
            <w:gridSpan w:val="2"/>
          </w:tcPr>
          <w:p>
            <w:pPr>
              <w:jc w:val="right"/>
              <w:spacing w:after="0"/>
              <w:rPr>
                <w:sz w:val="20"/>
                <w:szCs w:val="20"/>
                <w:color w:val="auto"/>
              </w:rPr>
            </w:pPr>
            <w:r>
              <w:rPr>
                <w:rFonts w:ascii="Arial" w:cs="Arial" w:eastAsia="Arial" w:hAnsi="Arial"/>
                <w:sz w:val="22"/>
                <w:szCs w:val="22"/>
                <w:color w:val="auto"/>
              </w:rPr>
              <w:t>(116,598,355)</w:t>
            </w: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Net unrealized depreciation on investments</w:t>
            </w:r>
          </w:p>
        </w:tc>
        <w:tc>
          <w:tcPr>
            <w:tcW w:w="20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22"/>
                <w:szCs w:val="22"/>
                <w:color w:val="auto"/>
              </w:rPr>
              <w:t>(63,198,669)</w:t>
            </w:r>
          </w:p>
        </w:tc>
        <w:tc>
          <w:tcPr>
            <w:tcW w:w="240" w:type="dxa"/>
            <w:vAlign w:val="bottom"/>
          </w:tcPr>
          <w:p>
            <w:pPr>
              <w:spacing w:after="0"/>
              <w:rPr>
                <w:sz w:val="23"/>
                <w:szCs w:val="23"/>
                <w:color w:val="auto"/>
              </w:rPr>
            </w:pPr>
          </w:p>
        </w:tc>
        <w:tc>
          <w:tcPr>
            <w:tcW w:w="1460" w:type="dxa"/>
            <w:vAlign w:val="bottom"/>
            <w:gridSpan w:val="2"/>
          </w:tcPr>
          <w:p>
            <w:pPr>
              <w:jc w:val="right"/>
              <w:spacing w:after="0"/>
              <w:rPr>
                <w:sz w:val="20"/>
                <w:szCs w:val="20"/>
                <w:color w:val="auto"/>
              </w:rPr>
            </w:pPr>
            <w:r>
              <w:rPr>
                <w:rFonts w:ascii="Arial" w:cs="Arial" w:eastAsia="Arial" w:hAnsi="Arial"/>
                <w:sz w:val="22"/>
                <w:szCs w:val="22"/>
                <w:color w:val="auto"/>
              </w:rPr>
              <w:t>(56,425,773)</w:t>
            </w:r>
          </w:p>
        </w:tc>
      </w:tr>
      <w:tr>
        <w:trPr>
          <w:trHeight w:val="274"/>
        </w:trPr>
        <w:tc>
          <w:tcPr>
            <w:tcW w:w="7760" w:type="dxa"/>
            <w:vAlign w:val="bottom"/>
          </w:tcPr>
          <w:p>
            <w:pPr>
              <w:spacing w:after="0"/>
              <w:rPr>
                <w:sz w:val="20"/>
                <w:szCs w:val="20"/>
                <w:color w:val="auto"/>
              </w:rPr>
            </w:pPr>
            <w:r>
              <w:rPr>
                <w:rFonts w:ascii="Arial" w:cs="Arial" w:eastAsia="Arial" w:hAnsi="Arial"/>
                <w:sz w:val="22"/>
                <w:szCs w:val="22"/>
                <w:color w:val="auto"/>
              </w:rPr>
              <w:t>Net unrealized appreciation on debt</w:t>
            </w:r>
          </w:p>
        </w:tc>
        <w:tc>
          <w:tcPr>
            <w:tcW w:w="20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22"/>
                <w:szCs w:val="22"/>
                <w:color w:val="auto"/>
              </w:rPr>
              <w:t>(1,182,675)</w:t>
            </w:r>
          </w:p>
        </w:tc>
        <w:tc>
          <w:tcPr>
            <w:tcW w:w="240" w:type="dxa"/>
            <w:vAlign w:val="bottom"/>
          </w:tcPr>
          <w:p>
            <w:pPr>
              <w:spacing w:after="0"/>
              <w:rPr>
                <w:sz w:val="23"/>
                <w:szCs w:val="23"/>
                <w:color w:val="auto"/>
              </w:rPr>
            </w:pPr>
          </w:p>
        </w:tc>
        <w:tc>
          <w:tcPr>
            <w:tcW w:w="1460" w:type="dxa"/>
            <w:vAlign w:val="bottom"/>
            <w:gridSpan w:val="2"/>
          </w:tcPr>
          <w:p>
            <w:pPr>
              <w:jc w:val="right"/>
              <w:spacing w:after="0"/>
              <w:rPr>
                <w:sz w:val="20"/>
                <w:szCs w:val="20"/>
                <w:color w:val="auto"/>
              </w:rPr>
            </w:pPr>
            <w:r>
              <w:rPr>
                <w:rFonts w:ascii="Arial" w:cs="Arial" w:eastAsia="Arial" w:hAnsi="Arial"/>
                <w:sz w:val="22"/>
                <w:szCs w:val="22"/>
                <w:color w:val="auto"/>
              </w:rPr>
              <w:t>(2,309,441)</w:t>
            </w:r>
          </w:p>
        </w:tc>
      </w:tr>
      <w:tr>
        <w:trPr>
          <w:trHeight w:val="267"/>
        </w:trPr>
        <w:tc>
          <w:tcPr>
            <w:tcW w:w="776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646,312,918</w:t>
            </w:r>
          </w:p>
        </w:tc>
        <w:tc>
          <w:tcPr>
            <w:tcW w:w="18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646,808,471</w:t>
            </w:r>
          </w:p>
        </w:tc>
        <w:tc>
          <w:tcPr>
            <w:tcW w:w="80" w:type="dxa"/>
            <w:vAlign w:val="bottom"/>
          </w:tcPr>
          <w:p>
            <w:pPr>
              <w:spacing w:after="0"/>
              <w:rPr>
                <w:sz w:val="23"/>
                <w:szCs w:val="23"/>
                <w:color w:val="auto"/>
              </w:rPr>
            </w:pPr>
          </w:p>
        </w:tc>
      </w:tr>
      <w:tr>
        <w:trPr>
          <w:trHeight w:val="263"/>
        </w:trPr>
        <w:tc>
          <w:tcPr>
            <w:tcW w:w="776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3"/>
              </w:rPr>
              <w:t>1,184,193,090</w:t>
            </w:r>
          </w:p>
        </w:tc>
        <w:tc>
          <w:tcPr>
            <w:tcW w:w="180" w:type="dxa"/>
            <w:vAlign w:val="bottom"/>
          </w:tcPr>
          <w:p>
            <w:pPr>
              <w:spacing w:after="0"/>
              <w:rPr>
                <w:sz w:val="22"/>
                <w:szCs w:val="22"/>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5"/>
              </w:rPr>
              <w:t>1,202,195,841</w:t>
            </w:r>
          </w:p>
        </w:tc>
        <w:tc>
          <w:tcPr>
            <w:tcW w:w="80" w:type="dxa"/>
            <w:vAlign w:val="bottom"/>
          </w:tcPr>
          <w:p>
            <w:pPr>
              <w:spacing w:after="0"/>
              <w:rPr>
                <w:sz w:val="22"/>
                <w:szCs w:val="22"/>
                <w:color w:val="auto"/>
              </w:rPr>
            </w:pPr>
          </w:p>
        </w:tc>
      </w:tr>
      <w:tr>
        <w:trPr>
          <w:trHeight w:val="21"/>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776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9.10</w:t>
            </w:r>
          </w:p>
        </w:tc>
        <w:tc>
          <w:tcPr>
            <w:tcW w:w="180" w:type="dxa"/>
            <w:vAlign w:val="bottom"/>
          </w:tcPr>
          <w:p>
            <w:pPr>
              <w:spacing w:after="0"/>
              <w:rPr>
                <w:sz w:val="22"/>
                <w:szCs w:val="22"/>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9.10</w:t>
            </w:r>
          </w:p>
        </w:tc>
        <w:tc>
          <w:tcPr>
            <w:tcW w:w="80" w:type="dxa"/>
            <w:vAlign w:val="bottom"/>
          </w:tcPr>
          <w:p>
            <w:pPr>
              <w:spacing w:after="0"/>
              <w:rPr>
                <w:sz w:val="22"/>
                <w:szCs w:val="22"/>
                <w:color w:val="auto"/>
              </w:rPr>
            </w:pPr>
          </w:p>
        </w:tc>
      </w:tr>
      <w:tr>
        <w:trPr>
          <w:trHeight w:val="20"/>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PENNANTPARK INVESTMENT CORPORATION AND SUBSIDIARIES CONSOLIDATED STATEMENTS OF OPERATIONS (Unaudited)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700" w:type="dxa"/>
            <w:vAlign w:val="bottom"/>
          </w:tcPr>
          <w:p>
            <w:pPr>
              <w:spacing w:after="0"/>
              <w:rPr>
                <w:sz w:val="24"/>
                <w:szCs w:val="24"/>
                <w:color w:val="auto"/>
              </w:rPr>
            </w:pPr>
          </w:p>
        </w:tc>
        <w:tc>
          <w:tcPr>
            <w:tcW w:w="340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b w:val="1"/>
                <w:bCs w:val="1"/>
                <w:color w:val="auto"/>
                <w:w w:val="90"/>
              </w:rPr>
              <w:t>Three Months Ended December 31,</w:t>
            </w:r>
          </w:p>
        </w:tc>
      </w:tr>
      <w:tr>
        <w:trPr>
          <w:trHeight w:val="265"/>
        </w:trPr>
        <w:tc>
          <w:tcPr>
            <w:tcW w:w="77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2017</w:t>
            </w:r>
          </w:p>
        </w:tc>
        <w:tc>
          <w:tcPr>
            <w:tcW w:w="2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22"/>
                <w:szCs w:val="22"/>
                <w:b w:val="1"/>
                <w:bCs w:val="1"/>
                <w:color w:val="auto"/>
              </w:rPr>
              <w:t>2016</w:t>
            </w:r>
          </w:p>
        </w:tc>
      </w:tr>
      <w:tr>
        <w:trPr>
          <w:trHeight w:val="256"/>
        </w:trPr>
        <w:tc>
          <w:tcPr>
            <w:tcW w:w="770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21,383,219</w:t>
            </w:r>
          </w:p>
        </w:tc>
        <w:tc>
          <w:tcPr>
            <w:tcW w:w="240" w:type="dxa"/>
            <w:vAlign w:val="bottom"/>
          </w:tcPr>
          <w:p>
            <w:pPr>
              <w:spacing w:after="0"/>
              <w:rPr>
                <w:sz w:val="23"/>
                <w:szCs w:val="23"/>
                <w:color w:val="auto"/>
              </w:rPr>
            </w:pP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21,651,426</w:t>
            </w: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Payment in kind</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1,284,909</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220,704</w:t>
            </w: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1,586,642</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2,102,536</w:t>
            </w: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1,215,834</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2,790,932</w:t>
            </w: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Payment in kind</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1,573,306</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1,434,749</w:t>
            </w: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320" w:type="dxa"/>
            <w:vAlign w:val="bottom"/>
          </w:tcPr>
          <w:p>
            <w:pPr>
              <w:spacing w:after="0"/>
              <w:rPr>
                <w:sz w:val="23"/>
                <w:szCs w:val="23"/>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22,500</w:t>
            </w: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480,430</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179,735</w:t>
            </w: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Payment in kind</w:t>
            </w: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1,144,085</w:t>
            </w:r>
          </w:p>
        </w:tc>
        <w:tc>
          <w:tcPr>
            <w:tcW w:w="2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3,466,329</w:t>
            </w:r>
          </w:p>
        </w:tc>
      </w:tr>
      <w:tr>
        <w:trPr>
          <w:trHeight w:val="267"/>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28,668,425</w:t>
            </w:r>
          </w:p>
        </w:tc>
        <w:tc>
          <w:tcPr>
            <w:tcW w:w="2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31,868,911</w:t>
            </w:r>
          </w:p>
        </w:tc>
      </w:tr>
      <w:tr>
        <w:trPr>
          <w:trHeight w:val="256"/>
        </w:trPr>
        <w:tc>
          <w:tcPr>
            <w:tcW w:w="770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5,735,137</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6,274,782</w:t>
            </w: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3,185,204</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3,374,210</w:t>
            </w: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5,857,378</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6,735,574</w:t>
            </w:r>
          </w:p>
        </w:tc>
      </w:tr>
    </w:tbl>
    <w:p>
      <w:pPr>
        <w:sectPr>
          <w:pgSz w:w="11900" w:h="16838" w:orient="portrait"/>
          <w:cols w:equalWidth="0" w:num="1">
            <w:col w:w="11200"/>
          </w:cols>
          <w:pgMar w:left="340" w:top="118" w:right="359" w:bottom="0" w:gutter="0" w:footer="0" w:header="0"/>
        </w:sectPr>
      </w:pPr>
    </w:p>
    <w:bookmarkStart w:id="7" w:name="page8"/>
    <w:bookmarkEnd w:id="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770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521,625</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894,000</w:t>
            </w:r>
          </w:p>
        </w:tc>
        <w:tc>
          <w:tcPr>
            <w:tcW w:w="80" w:type="dxa"/>
            <w:vAlign w:val="bottom"/>
          </w:tcPr>
          <w:p>
            <w:pPr>
              <w:spacing w:after="0"/>
              <w:rPr>
                <w:sz w:val="23"/>
                <w:szCs w:val="23"/>
                <w:color w:val="auto"/>
              </w:rPr>
            </w:pP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628,290</w:t>
            </w:r>
          </w:p>
        </w:tc>
        <w:tc>
          <w:tcPr>
            <w:tcW w:w="2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668,507</w:t>
            </w:r>
          </w:p>
        </w:tc>
        <w:tc>
          <w:tcPr>
            <w:tcW w:w="80" w:type="dxa"/>
            <w:vAlign w:val="bottom"/>
          </w:tcPr>
          <w:p>
            <w:pPr>
              <w:spacing w:after="0"/>
              <w:rPr>
                <w:sz w:val="23"/>
                <w:szCs w:val="23"/>
                <w:color w:val="auto"/>
              </w:rPr>
            </w:pPr>
          </w:p>
        </w:tc>
      </w:tr>
      <w:tr>
        <w:trPr>
          <w:trHeight w:val="267"/>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Expenses before Management Fees waiver and provision for taxes</w:t>
            </w: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15,927,634</w:t>
            </w:r>
          </w:p>
        </w:tc>
        <w:tc>
          <w:tcPr>
            <w:tcW w:w="2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17,947,073</w:t>
            </w:r>
          </w:p>
        </w:tc>
        <w:tc>
          <w:tcPr>
            <w:tcW w:w="80" w:type="dxa"/>
            <w:vAlign w:val="bottom"/>
          </w:tcPr>
          <w:p>
            <w:pPr>
              <w:spacing w:after="0"/>
              <w:rPr>
                <w:sz w:val="23"/>
                <w:szCs w:val="23"/>
                <w:color w:val="auto"/>
              </w:rPr>
            </w:pPr>
          </w:p>
        </w:tc>
      </w:tr>
      <w:tr>
        <w:trPr>
          <w:trHeight w:val="256"/>
        </w:trPr>
        <w:tc>
          <w:tcPr>
            <w:tcW w:w="7700" w:type="dxa"/>
            <w:vAlign w:val="bottom"/>
          </w:tcPr>
          <w:p>
            <w:pPr>
              <w:ind w:left="260"/>
              <w:spacing w:after="0"/>
              <w:rPr>
                <w:sz w:val="20"/>
                <w:szCs w:val="20"/>
                <w:color w:val="auto"/>
              </w:rPr>
            </w:pPr>
            <w:r>
              <w:rPr>
                <w:rFonts w:ascii="Arial" w:cs="Arial" w:eastAsia="Arial" w:hAnsi="Arial"/>
                <w:sz w:val="22"/>
                <w:szCs w:val="22"/>
                <w:color w:val="auto"/>
              </w:rPr>
              <w:t>Management Fees waiver</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(1,427,253)</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(1,543,839)</w:t>
            </w:r>
          </w:p>
        </w:tc>
        <w:tc>
          <w:tcPr>
            <w:tcW w:w="80" w:type="dxa"/>
            <w:vAlign w:val="bottom"/>
          </w:tcPr>
          <w:p>
            <w:pPr>
              <w:spacing w:after="0"/>
              <w:rPr>
                <w:sz w:val="22"/>
                <w:szCs w:val="22"/>
                <w:color w:val="auto"/>
              </w:rPr>
            </w:pP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320" w:type="dxa"/>
            <w:vAlign w:val="bottom"/>
          </w:tcPr>
          <w:p>
            <w:pPr>
              <w:spacing w:after="0"/>
              <w:rPr>
                <w:sz w:val="23"/>
                <w:szCs w:val="23"/>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425,000</w:t>
            </w:r>
          </w:p>
        </w:tc>
        <w:tc>
          <w:tcPr>
            <w:tcW w:w="80" w:type="dxa"/>
            <w:vAlign w:val="bottom"/>
          </w:tcPr>
          <w:p>
            <w:pPr>
              <w:spacing w:after="0"/>
              <w:rPr>
                <w:sz w:val="23"/>
                <w:szCs w:val="23"/>
                <w:color w:val="auto"/>
              </w:rPr>
            </w:pPr>
          </w:p>
        </w:tc>
      </w:tr>
      <w:tr>
        <w:trPr>
          <w:trHeight w:val="267"/>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Net expenses</w:t>
            </w:r>
          </w:p>
        </w:tc>
        <w:tc>
          <w:tcPr>
            <w:tcW w:w="320" w:type="dxa"/>
            <w:vAlign w:val="bottom"/>
            <w:tcBorders>
              <w:top w:val="single" w:sz="8" w:color="auto"/>
              <w:bottom w:val="single" w:sz="8" w:color="auto"/>
            </w:tcBorders>
          </w:tcPr>
          <w:p>
            <w:pPr>
              <w:spacing w:after="0"/>
              <w:rPr>
                <w:sz w:val="23"/>
                <w:szCs w:val="2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14,500,381</w:t>
            </w:r>
          </w:p>
        </w:tc>
        <w:tc>
          <w:tcPr>
            <w:tcW w:w="24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16,828,234</w:t>
            </w:r>
          </w:p>
        </w:tc>
        <w:tc>
          <w:tcPr>
            <w:tcW w:w="80" w:type="dxa"/>
            <w:vAlign w:val="bottom"/>
          </w:tcPr>
          <w:p>
            <w:pPr>
              <w:spacing w:after="0"/>
              <w:rPr>
                <w:sz w:val="23"/>
                <w:szCs w:val="23"/>
                <w:color w:val="auto"/>
              </w:rPr>
            </w:pPr>
          </w:p>
        </w:tc>
      </w:tr>
      <w:tr>
        <w:trPr>
          <w:trHeight w:val="263"/>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14,168,044</w:t>
            </w:r>
          </w:p>
        </w:tc>
        <w:tc>
          <w:tcPr>
            <w:tcW w:w="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15,040,677</w:t>
            </w:r>
          </w:p>
        </w:tc>
        <w:tc>
          <w:tcPr>
            <w:tcW w:w="80" w:type="dxa"/>
            <w:vAlign w:val="bottom"/>
          </w:tcPr>
          <w:p>
            <w:pPr>
              <w:spacing w:after="0"/>
              <w:rPr>
                <w:sz w:val="22"/>
                <w:szCs w:val="22"/>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22"/>
                <w:szCs w:val="22"/>
                <w:b w:val="1"/>
                <w:bCs w:val="1"/>
                <w:color w:val="auto"/>
              </w:rPr>
              <w:t>Realized and unrealized (loss) gain on investments and debt:</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Net realized gain (loss) on investments on:</w:t>
            </w: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1,793,043</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(22,195,334)</w:t>
            </w: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Non-controlled and controlled, affiliated investments</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1,980,440</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59"/>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Net realized gain (loss) on investments</w:t>
            </w:r>
          </w:p>
        </w:tc>
        <w:tc>
          <w:tcPr>
            <w:tcW w:w="3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3,773,483</w:t>
            </w:r>
          </w:p>
        </w:tc>
        <w:tc>
          <w:tcPr>
            <w:tcW w:w="2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(22,195,334)</w:t>
            </w:r>
          </w:p>
        </w:tc>
        <w:tc>
          <w:tcPr>
            <w:tcW w:w="80" w:type="dxa"/>
            <w:vAlign w:val="bottom"/>
          </w:tcPr>
          <w:p>
            <w:pPr>
              <w:spacing w:after="0"/>
              <w:rPr>
                <w:sz w:val="22"/>
                <w:szCs w:val="22"/>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Net change in unrealized (depreciation) appreciation on:</w:t>
            </w: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1,738,065</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19,636,201</w:t>
            </w: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Non-controlled and controlled, affiliated investments</w:t>
            </w:r>
          </w:p>
        </w:tc>
        <w:tc>
          <w:tcPr>
            <w:tcW w:w="320" w:type="dxa"/>
            <w:vAlign w:val="bottom"/>
          </w:tcPr>
          <w:p>
            <w:pPr>
              <w:spacing w:after="0"/>
              <w:rPr>
                <w:sz w:val="23"/>
                <w:szCs w:val="2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22"/>
                <w:szCs w:val="22"/>
                <w:color w:val="auto"/>
              </w:rPr>
              <w:t>(8,510,961)</w:t>
            </w: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5,736,899</w:t>
            </w:r>
          </w:p>
        </w:tc>
        <w:tc>
          <w:tcPr>
            <w:tcW w:w="80" w:type="dxa"/>
            <w:vAlign w:val="bottom"/>
          </w:tcPr>
          <w:p>
            <w:pPr>
              <w:spacing w:after="0"/>
              <w:rPr>
                <w:sz w:val="23"/>
                <w:szCs w:val="23"/>
                <w:color w:val="auto"/>
              </w:rPr>
            </w:pP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Debt depreciation</w:t>
            </w: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1,126,766</w:t>
            </w:r>
          </w:p>
        </w:tc>
        <w:tc>
          <w:tcPr>
            <w:tcW w:w="2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5,830,684</w:t>
            </w:r>
          </w:p>
        </w:tc>
        <w:tc>
          <w:tcPr>
            <w:tcW w:w="80" w:type="dxa"/>
            <w:vAlign w:val="bottom"/>
          </w:tcPr>
          <w:p>
            <w:pPr>
              <w:spacing w:after="0"/>
              <w:rPr>
                <w:sz w:val="23"/>
                <w:szCs w:val="23"/>
                <w:color w:val="auto"/>
              </w:rPr>
            </w:pPr>
          </w:p>
        </w:tc>
      </w:tr>
      <w:tr>
        <w:trPr>
          <w:trHeight w:val="267"/>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w w:val="91"/>
              </w:rPr>
              <w:t>Net change in unrealized (depreciation) appreciation on investments and debt</w:t>
            </w: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(5,646,130)</w:t>
            </w:r>
          </w:p>
        </w:tc>
        <w:tc>
          <w:tcPr>
            <w:tcW w:w="2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31,203,784</w:t>
            </w:r>
          </w:p>
        </w:tc>
        <w:tc>
          <w:tcPr>
            <w:tcW w:w="80" w:type="dxa"/>
            <w:vAlign w:val="bottom"/>
          </w:tcPr>
          <w:p>
            <w:pPr>
              <w:spacing w:after="0"/>
              <w:rPr>
                <w:sz w:val="23"/>
                <w:szCs w:val="23"/>
                <w:color w:val="auto"/>
              </w:rPr>
            </w:pPr>
          </w:p>
        </w:tc>
      </w:tr>
      <w:tr>
        <w:trPr>
          <w:trHeight w:val="263"/>
        </w:trPr>
        <w:tc>
          <w:tcPr>
            <w:tcW w:w="7700" w:type="dxa"/>
            <w:vAlign w:val="bottom"/>
          </w:tcPr>
          <w:p>
            <w:pPr>
              <w:spacing w:after="0"/>
              <w:rPr>
                <w:sz w:val="20"/>
                <w:szCs w:val="20"/>
                <w:color w:val="auto"/>
              </w:rPr>
            </w:pPr>
            <w:r>
              <w:rPr>
                <w:rFonts w:ascii="Arial" w:cs="Arial" w:eastAsia="Arial" w:hAnsi="Arial"/>
                <w:sz w:val="22"/>
                <w:szCs w:val="22"/>
                <w:b w:val="1"/>
                <w:bCs w:val="1"/>
                <w:color w:val="auto"/>
              </w:rPr>
              <w:t>Net realized and unrealized (loss) gain from investments and debt</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(1,872,647)</w:t>
            </w:r>
          </w:p>
        </w:tc>
        <w:tc>
          <w:tcPr>
            <w:tcW w:w="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9,008,450</w:t>
            </w:r>
          </w:p>
        </w:tc>
        <w:tc>
          <w:tcPr>
            <w:tcW w:w="80" w:type="dxa"/>
            <w:vAlign w:val="bottom"/>
          </w:tcPr>
          <w:p>
            <w:pPr>
              <w:spacing w:after="0"/>
              <w:rPr>
                <w:sz w:val="22"/>
                <w:szCs w:val="22"/>
                <w:color w:val="auto"/>
              </w:rPr>
            </w:pPr>
          </w:p>
        </w:tc>
      </w:tr>
      <w:tr>
        <w:trPr>
          <w:trHeight w:val="264"/>
        </w:trPr>
        <w:tc>
          <w:tcPr>
            <w:tcW w:w="7700" w:type="dxa"/>
            <w:vAlign w:val="bottom"/>
          </w:tcPr>
          <w:p>
            <w:pPr>
              <w:spacing w:after="0"/>
              <w:rPr>
                <w:sz w:val="20"/>
                <w:szCs w:val="20"/>
                <w:color w:val="auto"/>
              </w:rPr>
            </w:pPr>
            <w:r>
              <w:rPr>
                <w:rFonts w:ascii="Arial" w:cs="Arial" w:eastAsia="Arial" w:hAnsi="Arial"/>
                <w:sz w:val="22"/>
                <w:szCs w:val="22"/>
                <w:b w:val="1"/>
                <w:bCs w:val="1"/>
                <w:color w:val="auto"/>
              </w:rPr>
              <w:t>Net increase in net assets resulting from operations</w:t>
            </w: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12,295,397</w:t>
            </w:r>
          </w:p>
        </w:tc>
        <w:tc>
          <w:tcPr>
            <w:tcW w:w="240" w:type="dxa"/>
            <w:vAlign w:val="bottom"/>
          </w:tcPr>
          <w:p>
            <w:pPr>
              <w:spacing w:after="0"/>
              <w:rPr>
                <w:sz w:val="22"/>
                <w:szCs w:val="22"/>
                <w:color w:val="auto"/>
              </w:rPr>
            </w:pP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24,049,127</w:t>
            </w:r>
          </w:p>
        </w:tc>
        <w:tc>
          <w:tcPr>
            <w:tcW w:w="80" w:type="dxa"/>
            <w:vAlign w:val="bottom"/>
          </w:tcPr>
          <w:p>
            <w:pPr>
              <w:spacing w:after="0"/>
              <w:rPr>
                <w:sz w:val="22"/>
                <w:szCs w:val="22"/>
                <w:color w:val="auto"/>
              </w:rPr>
            </w:pPr>
          </w:p>
        </w:tc>
      </w:tr>
      <w:tr>
        <w:trPr>
          <w:trHeight w:val="20"/>
        </w:trPr>
        <w:tc>
          <w:tcPr>
            <w:tcW w:w="7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7700" w:type="dxa"/>
            <w:vAlign w:val="bottom"/>
          </w:tcPr>
          <w:p>
            <w:pPr>
              <w:spacing w:after="0"/>
              <w:rPr>
                <w:sz w:val="20"/>
                <w:szCs w:val="20"/>
                <w:color w:val="auto"/>
              </w:rPr>
            </w:pPr>
            <w:r>
              <w:rPr>
                <w:rFonts w:ascii="Arial" w:cs="Arial" w:eastAsia="Arial" w:hAnsi="Arial"/>
                <w:sz w:val="22"/>
                <w:szCs w:val="22"/>
                <w:color w:val="auto"/>
              </w:rPr>
              <w:t>Net increase in net assets resulting from operations per common share</w:t>
            </w: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0.18</w:t>
            </w:r>
          </w:p>
        </w:tc>
        <w:tc>
          <w:tcPr>
            <w:tcW w:w="240" w:type="dxa"/>
            <w:vAlign w:val="bottom"/>
          </w:tcPr>
          <w:p>
            <w:pPr>
              <w:spacing w:after="0"/>
              <w:rPr>
                <w:sz w:val="22"/>
                <w:szCs w:val="22"/>
                <w:color w:val="auto"/>
              </w:rPr>
            </w:pP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0.34</w:t>
            </w:r>
          </w:p>
        </w:tc>
        <w:tc>
          <w:tcPr>
            <w:tcW w:w="80" w:type="dxa"/>
            <w:vAlign w:val="bottom"/>
          </w:tcPr>
          <w:p>
            <w:pPr>
              <w:spacing w:after="0"/>
              <w:rPr>
                <w:sz w:val="22"/>
                <w:szCs w:val="22"/>
                <w:color w:val="auto"/>
              </w:rPr>
            </w:pPr>
          </w:p>
        </w:tc>
      </w:tr>
      <w:tr>
        <w:trPr>
          <w:trHeight w:val="21"/>
        </w:trPr>
        <w:tc>
          <w:tcPr>
            <w:tcW w:w="7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770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0.20</w:t>
            </w:r>
          </w:p>
        </w:tc>
        <w:tc>
          <w:tcPr>
            <w:tcW w:w="240" w:type="dxa"/>
            <w:vAlign w:val="bottom"/>
          </w:tcPr>
          <w:p>
            <w:pPr>
              <w:spacing w:after="0"/>
              <w:rPr>
                <w:sz w:val="22"/>
                <w:szCs w:val="22"/>
                <w:color w:val="auto"/>
              </w:rPr>
            </w:pP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0.21</w:t>
            </w:r>
          </w:p>
        </w:tc>
        <w:tc>
          <w:tcPr>
            <w:tcW w:w="80" w:type="dxa"/>
            <w:vAlign w:val="bottom"/>
          </w:tcPr>
          <w:p>
            <w:pPr>
              <w:spacing w:after="0"/>
              <w:rPr>
                <w:sz w:val="22"/>
                <w:szCs w:val="22"/>
                <w:color w:val="auto"/>
              </w:rPr>
            </w:pPr>
          </w:p>
        </w:tc>
      </w:tr>
      <w:tr>
        <w:trPr>
          <w:trHeight w:val="21"/>
        </w:trPr>
        <w:tc>
          <w:tcPr>
            <w:tcW w:w="7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231" w:lineRule="auto"/>
        <w:rPr>
          <w:sz w:val="20"/>
          <w:szCs w:val="20"/>
          <w:color w:val="auto"/>
        </w:rPr>
      </w:pPr>
      <w:r>
        <w:rPr>
          <w:rFonts w:ascii="Arial" w:cs="Arial" w:eastAsia="Arial" w:hAnsi="Arial"/>
          <w:sz w:val="22"/>
          <w:szCs w:val="22"/>
          <w:color w:val="auto"/>
        </w:rPr>
        <w:t>Reception: (212) 905-1000</w:t>
      </w:r>
    </w:p>
    <w:p>
      <w:pPr>
        <w:spacing w:after="0"/>
        <w:rPr>
          <w:sz w:val="20"/>
          <w:szCs w:val="20"/>
          <w:color w:val="auto"/>
        </w:rPr>
      </w:pPr>
      <w:r>
        <w:rPr>
          <w:rFonts w:ascii="Arial" w:cs="Arial" w:eastAsia="Arial" w:hAnsi="Arial"/>
          <w:sz w:val="22"/>
          <w:szCs w:val="22"/>
          <w:u w:val="single" w:color="auto"/>
          <w:color w:val="auto"/>
        </w:rPr>
        <w:t>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32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2020-05-05T15:07:27Z</dcterms:created>
  <dcterms:modified xsi:type="dcterms:W3CDTF">2020-05-05T15:07:27Z</dcterms:modified>
</cp:coreProperties>
</file>