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422910</wp:posOffset>
            </wp:positionH>
            <wp:positionV relativeFrom="page">
              <wp:posOffset>849630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340" w:hanging="322"/>
        <w:spacing w:after="0" w:line="183" w:lineRule="auto"/>
        <w:tabs>
          <w:tab w:leader="none" w:pos="340" w:val="left"/>
        </w:tabs>
        <w:numPr>
          <w:ilvl w:val="0"/>
          <w:numId w:val="1"/>
        </w:numPr>
        <w:rPr>
          <w:rFonts w:ascii="MS PGothic" w:cs="MS PGothic" w:eastAsia="MS PGothic" w:hAnsi="MS PGothic"/>
          <w:sz w:val="31"/>
          <w:szCs w:val="31"/>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340" w:hanging="322"/>
        <w:spacing w:after="0" w:line="187" w:lineRule="auto"/>
        <w:tabs>
          <w:tab w:leader="none" w:pos="340" w:val="left"/>
        </w:tabs>
        <w:numPr>
          <w:ilvl w:val="0"/>
          <w:numId w:val="2"/>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480" w:type="dxa"/>
            <w:vAlign w:val="bottom"/>
            <w:tcBorders>
              <w:bottom w:val="single" w:sz="8" w:color="auto"/>
            </w:tcBorders>
          </w:tcPr>
          <w:p>
            <w:pPr>
              <w:spacing w:after="0"/>
              <w:rPr>
                <w:sz w:val="16"/>
                <w:szCs w:val="16"/>
                <w:color w:val="auto"/>
              </w:rPr>
            </w:pPr>
          </w:p>
        </w:tc>
        <w:tc>
          <w:tcPr>
            <w:tcW w:w="3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54"/>
        </w:trPr>
        <w:tc>
          <w:tcPr>
            <w:tcW w:w="6840" w:type="dxa"/>
            <w:vAlign w:val="bottom"/>
            <w:gridSpan w:val="2"/>
          </w:tcPr>
          <w:p>
            <w:pPr>
              <w:jc w:val="center"/>
              <w:ind w:left="3659"/>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814-00736</w:t>
            </w:r>
          </w:p>
        </w:tc>
        <w:tc>
          <w:tcPr>
            <w:tcW w:w="3720" w:type="dxa"/>
            <w:vAlign w:val="bottom"/>
          </w:tcPr>
          <w:p>
            <w:pPr>
              <w:spacing w:after="0"/>
              <w:rPr>
                <w:sz w:val="22"/>
                <w:szCs w:val="22"/>
                <w:color w:val="auto"/>
              </w:rPr>
            </w:pPr>
          </w:p>
        </w:tc>
      </w:tr>
      <w:tr>
        <w:trPr>
          <w:trHeight w:val="74"/>
        </w:trPr>
        <w:tc>
          <w:tcPr>
            <w:tcW w:w="6360" w:type="dxa"/>
            <w:vAlign w:val="bottom"/>
            <w:tcBorders>
              <w:bottom w:val="single" w:sz="8" w:color="auto"/>
            </w:tcBorders>
          </w:tcPr>
          <w:p>
            <w:pPr>
              <w:spacing w:after="0"/>
              <w:rPr>
                <w:sz w:val="6"/>
                <w:szCs w:val="6"/>
                <w:color w:val="auto"/>
              </w:rPr>
            </w:pPr>
          </w:p>
        </w:tc>
        <w:tc>
          <w:tcPr>
            <w:tcW w:w="4200" w:type="dxa"/>
            <w:vAlign w:val="bottom"/>
            <w:tcBorders>
              <w:bottom w:val="single" w:sz="8" w:color="auto"/>
            </w:tcBorders>
            <w:gridSpan w:val="2"/>
          </w:tcPr>
          <w:p>
            <w:pPr>
              <w:spacing w:after="0"/>
              <w:rPr>
                <w:sz w:val="6"/>
                <w:szCs w:val="6"/>
                <w:color w:val="auto"/>
              </w:rPr>
            </w:pPr>
          </w:p>
        </w:tc>
      </w:tr>
      <w:tr>
        <w:trPr>
          <w:trHeight w:val="338"/>
        </w:trPr>
        <w:tc>
          <w:tcPr>
            <w:tcW w:w="10560" w:type="dxa"/>
            <w:vAlign w:val="bottom"/>
            <w:gridSpan w:val="3"/>
          </w:tcPr>
          <w:p>
            <w:pPr>
              <w:jc w:val="center"/>
              <w:spacing w:after="0"/>
              <w:rPr>
                <w:sz w:val="20"/>
                <w:szCs w:val="20"/>
                <w:color w:val="auto"/>
              </w:rPr>
            </w:pPr>
            <w:r>
              <w:rPr>
                <w:rFonts w:ascii="Times New Roman" w:cs="Times New Roman" w:eastAsia="Times New Roman" w:hAnsi="Times New Roman"/>
                <w:sz w:val="28"/>
                <w:szCs w:val="28"/>
                <w:b w:val="1"/>
                <w:bCs w:val="1"/>
                <w:color w:val="auto"/>
                <w:w w:val="98"/>
              </w:rPr>
              <w:t>PENNANTPARK INVESTMENT CORPORATION</w:t>
            </w:r>
          </w:p>
        </w:tc>
      </w:tr>
      <w:tr>
        <w:trPr>
          <w:trHeight w:val="174"/>
        </w:trPr>
        <w:tc>
          <w:tcPr>
            <w:tcW w:w="6840" w:type="dxa"/>
            <w:vAlign w:val="bottom"/>
            <w:gridSpan w:val="2"/>
          </w:tcPr>
          <w:p>
            <w:pPr>
              <w:jc w:val="center"/>
              <w:ind w:left="36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720" w:type="dxa"/>
            <w:vAlign w:val="bottom"/>
          </w:tcPr>
          <w:p>
            <w:pPr>
              <w:spacing w:after="0"/>
              <w:rPr>
                <w:sz w:val="15"/>
                <w:szCs w:val="15"/>
                <w:color w:val="auto"/>
              </w:rPr>
            </w:pPr>
          </w:p>
        </w:tc>
      </w:tr>
      <w:tr>
        <w:trPr>
          <w:trHeight w:val="152"/>
        </w:trPr>
        <w:tc>
          <w:tcPr>
            <w:tcW w:w="6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494"/>
        </w:trPr>
        <w:tc>
          <w:tcPr>
            <w:tcW w:w="684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3720" w:type="dxa"/>
            <w:vAlign w:val="bottom"/>
          </w:tcPr>
          <w:p>
            <w:pPr>
              <w:jc w:val="right"/>
              <w:ind w:right="2067"/>
              <w:spacing w:after="0"/>
              <w:rPr>
                <w:sz w:val="20"/>
                <w:szCs w:val="20"/>
                <w:color w:val="auto"/>
              </w:rPr>
            </w:pPr>
            <w:r>
              <w:rPr>
                <w:rFonts w:ascii="Times New Roman" w:cs="Times New Roman" w:eastAsia="Times New Roman" w:hAnsi="Times New Roman"/>
                <w:sz w:val="16"/>
                <w:szCs w:val="16"/>
                <w:b w:val="1"/>
                <w:bCs w:val="1"/>
                <w:color w:val="auto"/>
              </w:rPr>
              <w:t>20-8250744</w:t>
            </w:r>
          </w:p>
        </w:tc>
      </w:tr>
      <w:tr>
        <w:trPr>
          <w:trHeight w:val="222"/>
        </w:trPr>
        <w:tc>
          <w:tcPr>
            <w:tcW w:w="684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3720" w:type="dxa"/>
            <w:vAlign w:val="bottom"/>
          </w:tcPr>
          <w:p>
            <w:pPr>
              <w:jc w:val="center"/>
              <w:ind w:right="1267"/>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365"/>
        </w:trPr>
        <w:tc>
          <w:tcPr>
            <w:tcW w:w="684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w w:val="97"/>
              </w:rPr>
              <w:t>1691 Michigan Avenue,</w:t>
            </w:r>
          </w:p>
        </w:tc>
        <w:tc>
          <w:tcPr>
            <w:tcW w:w="3720" w:type="dxa"/>
            <w:vAlign w:val="bottom"/>
          </w:tcPr>
          <w:p>
            <w:pPr>
              <w:spacing w:after="0"/>
              <w:rPr>
                <w:sz w:val="24"/>
                <w:szCs w:val="24"/>
                <w:color w:val="auto"/>
              </w:rPr>
            </w:pPr>
          </w:p>
        </w:tc>
      </w:tr>
      <w:tr>
        <w:trPr>
          <w:trHeight w:val="205"/>
        </w:trPr>
        <w:tc>
          <w:tcPr>
            <w:tcW w:w="6840" w:type="dxa"/>
            <w:vAlign w:val="bottom"/>
            <w:gridSpan w:val="2"/>
          </w:tcPr>
          <w:p>
            <w:pPr>
              <w:jc w:val="center"/>
              <w:ind w:right="1540"/>
              <w:spacing w:after="0"/>
              <w:rPr>
                <w:sz w:val="20"/>
                <w:szCs w:val="20"/>
                <w:color w:val="auto"/>
              </w:rPr>
            </w:pPr>
            <w:r>
              <w:rPr>
                <w:rFonts w:ascii="Times New Roman" w:cs="Times New Roman" w:eastAsia="Times New Roman" w:hAnsi="Times New Roman"/>
                <w:sz w:val="16"/>
                <w:szCs w:val="16"/>
                <w:b w:val="1"/>
                <w:bCs w:val="1"/>
                <w:color w:val="auto"/>
                <w:w w:val="97"/>
              </w:rPr>
              <w:t>Miami Beach, Florida</w:t>
            </w:r>
          </w:p>
        </w:tc>
        <w:tc>
          <w:tcPr>
            <w:tcW w:w="3720" w:type="dxa"/>
            <w:vAlign w:val="bottom"/>
          </w:tcPr>
          <w:p>
            <w:pPr>
              <w:jc w:val="right"/>
              <w:ind w:right="2267"/>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74"/>
        </w:trPr>
        <w:tc>
          <w:tcPr>
            <w:tcW w:w="684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jc w:val="center"/>
              <w:ind w:right="1247"/>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40" w:orient="portrait"/>
          <w:cols w:equalWidth="0" w:num="1">
            <w:col w:w="10560"/>
          </w:cols>
          <w:pgMar w:left="660" w:top="1356" w:right="680" w:bottom="1440" w:gutter="0" w:footer="0" w:header="0"/>
        </w:sectPr>
      </w:pPr>
    </w:p>
    <w:p>
      <w:pPr>
        <w:spacing w:after="0" w:line="10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3" w:lineRule="exact"/>
        <w:rPr>
          <w:sz w:val="24"/>
          <w:szCs w:val="24"/>
          <w:color w:val="auto"/>
        </w:rPr>
      </w:pPr>
    </w:p>
    <w:p>
      <w:pPr>
        <w:sectPr>
          <w:pgSz w:w="11900" w:h="16840" w:orient="portrait"/>
          <w:cols w:equalWidth="0" w:num="3">
            <w:col w:w="4000" w:space="720"/>
            <w:col w:w="1960" w:space="720"/>
            <w:col w:w="3160"/>
          </w:cols>
          <w:pgMar w:left="660" w:top="1356" w:right="680"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103" w:lineRule="exact"/>
        <w:rPr>
          <w:sz w:val="24"/>
          <w:szCs w:val="24"/>
          <w:color w:val="auto"/>
        </w:rPr>
      </w:pPr>
    </w:p>
    <w:p>
      <w:pPr>
        <w:sectPr>
          <w:pgSz w:w="11900" w:h="16840" w:orient="portrait"/>
          <w:cols w:equalWidth="0" w:num="3">
            <w:col w:w="4380" w:space="720"/>
            <w:col w:w="2080" w:space="720"/>
            <w:col w:w="2660"/>
          </w:cols>
          <w:pgMar w:left="660" w:top="1356" w:right="680" w:bottom="1440" w:gutter="0" w:footer="0" w:header="0"/>
          <w:type w:val="continuous"/>
        </w:sectPr>
      </w:pPr>
    </w:p>
    <w:p>
      <w:pPr>
        <w:ind w:right="120" w:firstLine="46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r>
        <w:rPr>
          <w:rFonts w:ascii="MS PGothic" w:cs="MS PGothic" w:eastAsia="MS PGothic" w:hAnsi="MS PGothic"/>
          <w:sz w:val="14"/>
          <w:szCs w:val="14"/>
          <w:color w:val="auto"/>
        </w:rPr>
        <w:t>☐</w:t>
      </w:r>
    </w:p>
    <w:p>
      <w:pPr>
        <w:spacing w:after="0" w:line="18" w:lineRule="exact"/>
        <w:rPr>
          <w:sz w:val="24"/>
          <w:szCs w:val="24"/>
          <w:color w:val="auto"/>
        </w:rPr>
      </w:pPr>
    </w:p>
    <w:p>
      <w:pPr>
        <w:ind w:right="480" w:firstLine="46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300" w:firstLine="468"/>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19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78" w:lineRule="exact"/>
        <w:rPr>
          <w:sz w:val="24"/>
          <w:szCs w:val="24"/>
          <w:color w:val="auto"/>
        </w:rPr>
      </w:pPr>
    </w:p>
    <w:p>
      <w:pPr>
        <w:ind w:right="80" w:firstLine="468"/>
        <w:spacing w:after="0" w:line="26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both"/>
        <w:ind w:left="260" w:right="2720" w:firstLine="36"/>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$0.001 par value per share, outstanding as of May 8, 2024 was 65,224,500.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132080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767715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6" w:right="680" w:bottom="1440" w:gutter="0" w:footer="0" w:header="0"/>
          <w:type w:val="continuous"/>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FORM 10-Q FOR THE QUARTER ENDED MARCH 31, 2024</w:t>
      </w:r>
    </w:p>
    <w:p>
      <w:pPr>
        <w:spacing w:after="0" w:line="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60" w:type="dxa"/>
            <w:vAlign w:val="bottom"/>
            <w:gridSpan w:val="12"/>
          </w:tcPr>
          <w:p>
            <w:pPr>
              <w:jc w:val="center"/>
              <w:ind w:right="18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 CONSOLIDATED FINANCIAL INFORMATION</w:t>
              </w:r>
            </w:hyperlink>
          </w:p>
        </w:tc>
        <w:tc>
          <w:tcPr>
            <w:tcW w:w="3660" w:type="dxa"/>
            <w:vAlign w:val="bottom"/>
          </w:tcPr>
          <w:p>
            <w:pPr>
              <w:spacing w:after="0"/>
              <w:rPr>
                <w:sz w:val="12"/>
                <w:szCs w:val="12"/>
                <w:color w:val="auto"/>
              </w:rPr>
            </w:pPr>
          </w:p>
        </w:tc>
      </w:tr>
      <w:tr>
        <w:trPr>
          <w:trHeight w:val="340"/>
        </w:trPr>
        <w:tc>
          <w:tcPr>
            <w:tcW w:w="20" w:type="dxa"/>
            <w:vAlign w:val="bottom"/>
          </w:tcPr>
          <w:p>
            <w:pPr>
              <w:spacing w:after="0"/>
              <w:rPr>
                <w:sz w:val="24"/>
                <w:szCs w:val="24"/>
                <w:color w:val="auto"/>
              </w:rPr>
            </w:pPr>
          </w:p>
        </w:tc>
        <w:tc>
          <w:tcPr>
            <w:tcW w:w="3320" w:type="dxa"/>
            <w:vAlign w:val="bottom"/>
            <w:gridSpan w:val="12"/>
          </w:tcPr>
          <w:p>
            <w:pPr>
              <w:spacing w:after="0"/>
              <w:rPr>
                <w:rFonts w:ascii="Times New Roman" w:cs="Times New Roman" w:eastAsia="Times New Roman" w:hAnsi="Times New Roman"/>
                <w:sz w:val="13"/>
                <w:szCs w:val="13"/>
                <w:b w:val="1"/>
                <w:bCs w:val="1"/>
                <w:color w:val="0000FF"/>
              </w:rPr>
            </w:pPr>
            <w:hyperlink w:anchor="page4">
              <w:r>
                <w:rPr>
                  <w:rFonts w:ascii="Times New Roman" w:cs="Times New Roman" w:eastAsia="Times New Roman" w:hAnsi="Times New Roman"/>
                  <w:sz w:val="13"/>
                  <w:szCs w:val="13"/>
                  <w:b w:val="1"/>
                  <w:bCs w:val="1"/>
                  <w:color w:val="0000FF"/>
                </w:rPr>
                <w:t>Item 1. Consolidated Financial Statements</w:t>
              </w:r>
            </w:hyperlink>
          </w:p>
        </w:tc>
        <w:tc>
          <w:tcPr>
            <w:tcW w:w="3380" w:type="dxa"/>
            <w:vAlign w:val="bottom"/>
            <w:tcBorders>
              <w:top w:val="single" w:sz="8" w:color="0000FF"/>
            </w:tcBorders>
            <w:gridSpan w:val="11"/>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Consolidated Statements of Assets and Liabilities as of March 31, 2024 (unaudited) and September 30, 2023</w:t>
              </w:r>
            </w:hyperlink>
          </w:p>
        </w:tc>
        <w:tc>
          <w:tcPr>
            <w:tcW w:w="820" w:type="dxa"/>
            <w:vAlign w:val="bottom"/>
            <w:gridSpan w:val="3"/>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60" w:type="dxa"/>
            <w:vAlign w:val="bottom"/>
            <w:gridSpan w:val="23"/>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Consolidated Statements of Operations for the three and six months ended March 31, 2024 and 2023 (unaudited)</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6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Consolidated Statements of Changes in Net Assets for the three and six months ended March 31, 2024 and 2023 (unaudited)</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60" w:type="dxa"/>
            <w:vAlign w:val="bottom"/>
            <w:gridSpan w:val="23"/>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Cash Flows for the six months ended March 31, 2024 and 2023 (unaudited)</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tcBorders>
              <w:top w:val="single" w:sz="8" w:color="0000FF"/>
            </w:tcBorders>
            <w:gridSpan w:val="18"/>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Schedules of Investments as of March 31, 2024 (unaudited) and September 30, 2023</w:t>
              </w:r>
            </w:hyperlink>
          </w:p>
        </w:tc>
        <w:tc>
          <w:tcPr>
            <w:tcW w:w="1100" w:type="dxa"/>
            <w:vAlign w:val="bottom"/>
            <w:gridSpan w:val="5"/>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3"/>
                <w:szCs w:val="13"/>
                <w:color w:val="0000FF"/>
              </w:rPr>
            </w:pPr>
            <w:hyperlink w:anchor="page21">
              <w:r>
                <w:rPr>
                  <w:rFonts w:ascii="Times New Roman" w:cs="Times New Roman" w:eastAsia="Times New Roman" w:hAnsi="Times New Roman"/>
                  <w:sz w:val="13"/>
                  <w:szCs w:val="13"/>
                  <w:color w:val="0000FF"/>
                </w:rPr>
                <w:t>Notes to Consolidated Financial Statements (unaudited)</w:t>
              </w:r>
            </w:hyperlink>
          </w:p>
        </w:tc>
        <w:tc>
          <w:tcPr>
            <w:tcW w:w="2240" w:type="dxa"/>
            <w:vAlign w:val="bottom"/>
            <w:tcBorders>
              <w:top w:val="single" w:sz="8" w:color="0000FF"/>
            </w:tcBorders>
            <w:gridSpan w:val="7"/>
          </w:tcPr>
          <w:p>
            <w:pPr>
              <w:spacing w:after="0"/>
              <w:rPr>
                <w:sz w:val="24"/>
                <w:szCs w:val="24"/>
                <w:color w:val="auto"/>
              </w:rPr>
            </w:pPr>
          </w:p>
        </w:tc>
        <w:tc>
          <w:tcPr>
            <w:tcW w:w="1380" w:type="dxa"/>
            <w:vAlign w:val="bottom"/>
            <w:gridSpan w:val="6"/>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w:anchor="page39">
              <w:r>
                <w:rPr>
                  <w:rFonts w:ascii="Times New Roman" w:cs="Times New Roman" w:eastAsia="Times New Roman" w:hAnsi="Times New Roman"/>
                  <w:sz w:val="13"/>
                  <w:szCs w:val="13"/>
                  <w:color w:val="0000FF"/>
                </w:rPr>
                <w:t>Report of Independent Registered Public Accounting Firm (PCAOB ID 49)</w:t>
              </w:r>
            </w:hyperlink>
          </w:p>
        </w:tc>
        <w:tc>
          <w:tcPr>
            <w:tcW w:w="2580" w:type="dxa"/>
            <w:vAlign w:val="bottom"/>
            <w:gridSpan w:val="8"/>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340"/>
        </w:trPr>
        <w:tc>
          <w:tcPr>
            <w:tcW w:w="20" w:type="dxa"/>
            <w:vAlign w:val="bottom"/>
          </w:tcPr>
          <w:p>
            <w:pPr>
              <w:spacing w:after="0"/>
              <w:rPr>
                <w:sz w:val="24"/>
                <w:szCs w:val="24"/>
                <w:color w:val="auto"/>
              </w:rPr>
            </w:pPr>
          </w:p>
        </w:tc>
        <w:tc>
          <w:tcPr>
            <w:tcW w:w="5440" w:type="dxa"/>
            <w:vAlign w:val="bottom"/>
            <w:tcBorders>
              <w:bottom w:val="single" w:sz="8" w:color="0000FF"/>
            </w:tcBorders>
            <w:gridSpan w:val="17"/>
          </w:tcPr>
          <w:p>
            <w:pPr>
              <w:spacing w:after="0"/>
              <w:rPr>
                <w:rFonts w:ascii="Times New Roman" w:cs="Times New Roman" w:eastAsia="Times New Roman" w:hAnsi="Times New Roman"/>
                <w:sz w:val="13"/>
                <w:szCs w:val="13"/>
                <w:b w:val="1"/>
                <w:bCs w:val="1"/>
                <w:color w:val="0000FF"/>
              </w:rPr>
            </w:pPr>
            <w:hyperlink w:anchor="page41">
              <w:r>
                <w:rPr>
                  <w:rFonts w:ascii="Times New Roman" w:cs="Times New Roman" w:eastAsia="Times New Roman" w:hAnsi="Times New Roman"/>
                  <w:sz w:val="13"/>
                  <w:szCs w:val="13"/>
                  <w:b w:val="1"/>
                  <w:bCs w:val="1"/>
                  <w:color w:val="0000FF"/>
                </w:rPr>
                <w:t>Item 2. Management’s Discussion and Analysis of Financial Condition and Results of Operations</w:t>
              </w:r>
            </w:hyperlink>
          </w:p>
        </w:tc>
        <w:tc>
          <w:tcPr>
            <w:tcW w:w="1440" w:type="dxa"/>
            <w:vAlign w:val="bottom"/>
            <w:gridSpan w:val="7"/>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340"/>
        </w:trPr>
        <w:tc>
          <w:tcPr>
            <w:tcW w:w="20" w:type="dxa"/>
            <w:vAlign w:val="bottom"/>
          </w:tcPr>
          <w:p>
            <w:pPr>
              <w:spacing w:after="0"/>
              <w:rPr>
                <w:sz w:val="24"/>
                <w:szCs w:val="24"/>
                <w:color w:val="auto"/>
              </w:rPr>
            </w:pPr>
          </w:p>
        </w:tc>
        <w:tc>
          <w:tcPr>
            <w:tcW w:w="3860" w:type="dxa"/>
            <w:vAlign w:val="bottom"/>
            <w:tcBorders>
              <w:bottom w:val="single" w:sz="8" w:color="0000FF"/>
            </w:tcBorders>
            <w:gridSpan w:val="14"/>
          </w:tcPr>
          <w:p>
            <w:pPr>
              <w:spacing w:after="0"/>
              <w:rPr>
                <w:rFonts w:ascii="Times New Roman" w:cs="Times New Roman" w:eastAsia="Times New Roman" w:hAnsi="Times New Roman"/>
                <w:sz w:val="13"/>
                <w:szCs w:val="13"/>
                <w:b w:val="1"/>
                <w:bCs w:val="1"/>
                <w:color w:val="0000FF"/>
              </w:rPr>
            </w:pPr>
            <w:hyperlink w:anchor="page55">
              <w:r>
                <w:rPr>
                  <w:rFonts w:ascii="Times New Roman" w:cs="Times New Roman" w:eastAsia="Times New Roman" w:hAnsi="Times New Roman"/>
                  <w:sz w:val="13"/>
                  <w:szCs w:val="13"/>
                  <w:b w:val="1"/>
                  <w:bCs w:val="1"/>
                  <w:color w:val="0000FF"/>
                </w:rPr>
                <w:t>Item 3. Quantitative and Qualitative Disclosures About Market Risk</w:t>
              </w:r>
            </w:hyperlink>
          </w:p>
        </w:tc>
        <w:tc>
          <w:tcPr>
            <w:tcW w:w="3020" w:type="dxa"/>
            <w:vAlign w:val="bottom"/>
            <w:gridSpan w:val="10"/>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340"/>
        </w:trPr>
        <w:tc>
          <w:tcPr>
            <w:tcW w:w="20" w:type="dxa"/>
            <w:vAlign w:val="bottom"/>
          </w:tcPr>
          <w:p>
            <w:pPr>
              <w:spacing w:after="0"/>
              <w:rPr>
                <w:sz w:val="24"/>
                <w:szCs w:val="24"/>
                <w:color w:val="auto"/>
              </w:rPr>
            </w:pPr>
          </w:p>
        </w:tc>
        <w:tc>
          <w:tcPr>
            <w:tcW w:w="6880" w:type="dxa"/>
            <w:vAlign w:val="bottom"/>
            <w:gridSpan w:val="24"/>
          </w:tcPr>
          <w:p>
            <w:pPr>
              <w:spacing w:after="0"/>
              <w:rPr>
                <w:rFonts w:ascii="Times New Roman" w:cs="Times New Roman" w:eastAsia="Times New Roman" w:hAnsi="Times New Roman"/>
                <w:sz w:val="13"/>
                <w:szCs w:val="13"/>
                <w:b w:val="1"/>
                <w:bCs w:val="1"/>
                <w:color w:val="0000FF"/>
              </w:rPr>
            </w:pPr>
            <w:hyperlink w:anchor="page55">
              <w:r>
                <w:rPr>
                  <w:rFonts w:ascii="Times New Roman" w:cs="Times New Roman" w:eastAsia="Times New Roman" w:hAnsi="Times New Roman"/>
                  <w:sz w:val="13"/>
                  <w:szCs w:val="13"/>
                  <w:b w:val="1"/>
                  <w:bCs w:val="1"/>
                  <w:color w:val="0000FF"/>
                </w:rPr>
                <w:t>Item 4. Controls and Procedures</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340"/>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9"/>
          </w:tcPr>
          <w:p>
            <w:pPr>
              <w:jc w:val="center"/>
              <w:ind w:right="840"/>
              <w:spacing w:after="0"/>
              <w:rPr>
                <w:rFonts w:ascii="Times New Roman" w:cs="Times New Roman" w:eastAsia="Times New Roman" w:hAnsi="Times New Roman"/>
                <w:sz w:val="13"/>
                <w:szCs w:val="13"/>
                <w:b w:val="1"/>
                <w:bCs w:val="1"/>
                <w:color w:val="0000FF"/>
              </w:rPr>
            </w:pPr>
            <w:hyperlink w:anchor="page56">
              <w:r>
                <w:rPr>
                  <w:rFonts w:ascii="Times New Roman" w:cs="Times New Roman" w:eastAsia="Times New Roman" w:hAnsi="Times New Roman"/>
                  <w:sz w:val="13"/>
                  <w:szCs w:val="13"/>
                  <w:b w:val="1"/>
                  <w:bCs w:val="1"/>
                  <w:color w:val="0000FF"/>
                </w:rPr>
                <w:t>PART II. OTHER INFORMATION</w:t>
              </w:r>
            </w:hyperlink>
          </w:p>
        </w:tc>
        <w:tc>
          <w:tcPr>
            <w:tcW w:w="36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460" w:type="dxa"/>
            <w:vAlign w:val="bottom"/>
            <w:tcBorders>
              <w:bottom w:val="single" w:sz="8" w:color="0000FF"/>
            </w:tcBorders>
            <w:gridSpan w:val="5"/>
          </w:tcPr>
          <w:p>
            <w:pPr>
              <w:spacing w:after="0"/>
              <w:rPr>
                <w:rFonts w:ascii="Times New Roman" w:cs="Times New Roman" w:eastAsia="Times New Roman" w:hAnsi="Times New Roman"/>
                <w:sz w:val="13"/>
                <w:szCs w:val="13"/>
                <w:b w:val="1"/>
                <w:bCs w:val="1"/>
                <w:color w:val="0000FF"/>
              </w:rPr>
            </w:pPr>
            <w:hyperlink w:anchor="page56">
              <w:r>
                <w:rPr>
                  <w:rFonts w:ascii="Times New Roman" w:cs="Times New Roman" w:eastAsia="Times New Roman" w:hAnsi="Times New Roman"/>
                  <w:sz w:val="13"/>
                  <w:szCs w:val="13"/>
                  <w:b w:val="1"/>
                  <w:bCs w:val="1"/>
                  <w:color w:val="0000FF"/>
                </w:rPr>
                <w:t>Item 1. Legal Proceedings</w:t>
              </w:r>
            </w:hyperlink>
          </w:p>
        </w:tc>
        <w:tc>
          <w:tcPr>
            <w:tcW w:w="2520" w:type="dxa"/>
            <w:vAlign w:val="bottom"/>
            <w:gridSpan w:val="10"/>
          </w:tcPr>
          <w:p>
            <w:pPr>
              <w:spacing w:after="0"/>
              <w:rPr>
                <w:sz w:val="24"/>
                <w:szCs w:val="24"/>
                <w:color w:val="auto"/>
              </w:rPr>
            </w:pPr>
          </w:p>
        </w:tc>
        <w:tc>
          <w:tcPr>
            <w:tcW w:w="2060" w:type="dxa"/>
            <w:vAlign w:val="bottom"/>
            <w:tcBorders>
              <w:top w:val="single" w:sz="8" w:color="0000FF"/>
            </w:tcBorders>
            <w:gridSpan w:val="5"/>
          </w:tcPr>
          <w:p>
            <w:pPr>
              <w:spacing w:after="0"/>
              <w:rPr>
                <w:sz w:val="24"/>
                <w:szCs w:val="24"/>
                <w:color w:val="auto"/>
              </w:rPr>
            </w:pPr>
          </w:p>
        </w:tc>
        <w:tc>
          <w:tcPr>
            <w:tcW w:w="840" w:type="dxa"/>
            <w:vAlign w:val="bottom"/>
            <w:gridSpan w:val="4"/>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340"/>
        </w:trPr>
        <w:tc>
          <w:tcPr>
            <w:tcW w:w="20" w:type="dxa"/>
            <w:vAlign w:val="bottom"/>
          </w:tcPr>
          <w:p>
            <w:pPr>
              <w:spacing w:after="0"/>
              <w:rPr>
                <w:sz w:val="24"/>
                <w:szCs w:val="24"/>
                <w:color w:val="auto"/>
              </w:rPr>
            </w:pPr>
          </w:p>
        </w:tc>
        <w:tc>
          <w:tcPr>
            <w:tcW w:w="1240" w:type="dxa"/>
            <w:vAlign w:val="bottom"/>
            <w:tcBorders>
              <w:bottom w:val="single" w:sz="8" w:color="0000FF"/>
            </w:tcBorders>
            <w:gridSpan w:val="4"/>
          </w:tcPr>
          <w:p>
            <w:pPr>
              <w:spacing w:after="0"/>
              <w:rPr>
                <w:rFonts w:ascii="Times New Roman" w:cs="Times New Roman" w:eastAsia="Times New Roman" w:hAnsi="Times New Roman"/>
                <w:sz w:val="13"/>
                <w:szCs w:val="13"/>
                <w:b w:val="1"/>
                <w:bCs w:val="1"/>
                <w:color w:val="0000FF"/>
                <w:w w:val="99"/>
              </w:rPr>
            </w:pPr>
            <w:hyperlink w:anchor="page56">
              <w:r>
                <w:rPr>
                  <w:rFonts w:ascii="Times New Roman" w:cs="Times New Roman" w:eastAsia="Times New Roman" w:hAnsi="Times New Roman"/>
                  <w:sz w:val="13"/>
                  <w:szCs w:val="13"/>
                  <w:b w:val="1"/>
                  <w:bCs w:val="1"/>
                  <w:color w:val="0000FF"/>
                  <w:w w:val="99"/>
                </w:rPr>
                <w:t>Item 1A. Risk Factors</w:t>
              </w:r>
            </w:hyperlink>
          </w:p>
        </w:tc>
        <w:tc>
          <w:tcPr>
            <w:tcW w:w="5640" w:type="dxa"/>
            <w:vAlign w:val="bottom"/>
            <w:gridSpan w:val="20"/>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340"/>
        </w:trPr>
        <w:tc>
          <w:tcPr>
            <w:tcW w:w="20" w:type="dxa"/>
            <w:vAlign w:val="bottom"/>
          </w:tcPr>
          <w:p>
            <w:pPr>
              <w:spacing w:after="0"/>
              <w:rPr>
                <w:sz w:val="24"/>
                <w:szCs w:val="24"/>
                <w:color w:val="auto"/>
              </w:rPr>
            </w:pPr>
          </w:p>
        </w:tc>
        <w:tc>
          <w:tcPr>
            <w:tcW w:w="6880" w:type="dxa"/>
            <w:vAlign w:val="bottom"/>
            <w:gridSpan w:val="24"/>
          </w:tcPr>
          <w:p>
            <w:pPr>
              <w:spacing w:after="0"/>
              <w:rPr>
                <w:rFonts w:ascii="Times New Roman" w:cs="Times New Roman" w:eastAsia="Times New Roman" w:hAnsi="Times New Roman"/>
                <w:sz w:val="13"/>
                <w:szCs w:val="13"/>
                <w:b w:val="1"/>
                <w:bCs w:val="1"/>
                <w:color w:val="0000FF"/>
              </w:rPr>
            </w:pPr>
            <w:hyperlink w:anchor="page56">
              <w:r>
                <w:rPr>
                  <w:rFonts w:ascii="Times New Roman" w:cs="Times New Roman" w:eastAsia="Times New Roman" w:hAnsi="Times New Roman"/>
                  <w:sz w:val="13"/>
                  <w:szCs w:val="13"/>
                  <w:b w:val="1"/>
                  <w:bCs w:val="1"/>
                  <w:color w:val="0000FF"/>
                </w:rPr>
                <w:t>Item 2. Unregistered Sales of Equity Securities and Use of Proceeds</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340"/>
        </w:trPr>
        <w:tc>
          <w:tcPr>
            <w:tcW w:w="20" w:type="dxa"/>
            <w:vAlign w:val="bottom"/>
          </w:tcPr>
          <w:p>
            <w:pPr>
              <w:spacing w:after="0"/>
              <w:rPr>
                <w:sz w:val="24"/>
                <w:szCs w:val="24"/>
                <w:color w:val="auto"/>
              </w:rPr>
            </w:pPr>
          </w:p>
        </w:tc>
        <w:tc>
          <w:tcPr>
            <w:tcW w:w="22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3"/>
                <w:szCs w:val="13"/>
                <w:b w:val="1"/>
                <w:bCs w:val="1"/>
                <w:color w:val="0000FF"/>
              </w:rPr>
            </w:pPr>
            <w:hyperlink w:anchor="page56">
              <w:r>
                <w:rPr>
                  <w:rFonts w:ascii="Times New Roman" w:cs="Times New Roman" w:eastAsia="Times New Roman" w:hAnsi="Times New Roman"/>
                  <w:sz w:val="13"/>
                  <w:szCs w:val="13"/>
                  <w:b w:val="1"/>
                  <w:bCs w:val="1"/>
                  <w:color w:val="0000FF"/>
                </w:rPr>
                <w:t>Item 3. Defaults Upon Senior Securities</w:t>
              </w:r>
            </w:hyperlink>
          </w:p>
        </w:tc>
        <w:tc>
          <w:tcPr>
            <w:tcW w:w="1560" w:type="dxa"/>
            <w:vAlign w:val="bottom"/>
            <w:tcBorders>
              <w:top w:val="single" w:sz="8" w:color="0000FF"/>
            </w:tcBorders>
            <w:gridSpan w:val="4"/>
          </w:tcPr>
          <w:p>
            <w:pPr>
              <w:spacing w:after="0"/>
              <w:rPr>
                <w:sz w:val="24"/>
                <w:szCs w:val="24"/>
                <w:color w:val="auto"/>
              </w:rPr>
            </w:pPr>
          </w:p>
        </w:tc>
        <w:tc>
          <w:tcPr>
            <w:tcW w:w="3100" w:type="dxa"/>
            <w:vAlign w:val="bottom"/>
            <w:gridSpan w:val="11"/>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340"/>
        </w:trPr>
        <w:tc>
          <w:tcPr>
            <w:tcW w:w="20" w:type="dxa"/>
            <w:vAlign w:val="bottom"/>
          </w:tcPr>
          <w:p>
            <w:pPr>
              <w:spacing w:after="0"/>
              <w:rPr>
                <w:sz w:val="24"/>
                <w:szCs w:val="24"/>
                <w:color w:val="auto"/>
              </w:rPr>
            </w:pPr>
          </w:p>
        </w:tc>
        <w:tc>
          <w:tcPr>
            <w:tcW w:w="1780" w:type="dxa"/>
            <w:vAlign w:val="bottom"/>
            <w:tcBorders>
              <w:bottom w:val="single" w:sz="8" w:color="0000FF"/>
            </w:tcBorders>
            <w:gridSpan w:val="7"/>
          </w:tcPr>
          <w:p>
            <w:pPr>
              <w:spacing w:after="0"/>
              <w:rPr>
                <w:rFonts w:ascii="Times New Roman" w:cs="Times New Roman" w:eastAsia="Times New Roman" w:hAnsi="Times New Roman"/>
                <w:sz w:val="13"/>
                <w:szCs w:val="13"/>
                <w:b w:val="1"/>
                <w:bCs w:val="1"/>
                <w:color w:val="0000FF"/>
              </w:rPr>
            </w:pPr>
            <w:hyperlink w:anchor="page56">
              <w:r>
                <w:rPr>
                  <w:rFonts w:ascii="Times New Roman" w:cs="Times New Roman" w:eastAsia="Times New Roman" w:hAnsi="Times New Roman"/>
                  <w:sz w:val="13"/>
                  <w:szCs w:val="13"/>
                  <w:b w:val="1"/>
                  <w:bCs w:val="1"/>
                  <w:color w:val="0000FF"/>
                </w:rPr>
                <w:t>Item 4. Mine Safety Disclosures</w:t>
              </w:r>
            </w:hyperlink>
          </w:p>
        </w:tc>
        <w:tc>
          <w:tcPr>
            <w:tcW w:w="5100" w:type="dxa"/>
            <w:vAlign w:val="bottom"/>
            <w:gridSpan w:val="17"/>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340"/>
        </w:trPr>
        <w:tc>
          <w:tcPr>
            <w:tcW w:w="20" w:type="dxa"/>
            <w:vAlign w:val="bottom"/>
          </w:tcPr>
          <w:p>
            <w:pPr>
              <w:spacing w:after="0"/>
              <w:rPr>
                <w:sz w:val="24"/>
                <w:szCs w:val="24"/>
                <w:color w:val="auto"/>
              </w:rPr>
            </w:pPr>
          </w:p>
        </w:tc>
        <w:tc>
          <w:tcPr>
            <w:tcW w:w="6880" w:type="dxa"/>
            <w:vAlign w:val="bottom"/>
            <w:gridSpan w:val="24"/>
          </w:tcPr>
          <w:p>
            <w:pPr>
              <w:spacing w:after="0"/>
              <w:rPr>
                <w:rFonts w:ascii="Times New Roman" w:cs="Times New Roman" w:eastAsia="Times New Roman" w:hAnsi="Times New Roman"/>
                <w:sz w:val="13"/>
                <w:szCs w:val="13"/>
                <w:b w:val="1"/>
                <w:bCs w:val="1"/>
                <w:color w:val="0000FF"/>
              </w:rPr>
            </w:pPr>
            <w:hyperlink w:anchor="page56">
              <w:r>
                <w:rPr>
                  <w:rFonts w:ascii="Times New Roman" w:cs="Times New Roman" w:eastAsia="Times New Roman" w:hAnsi="Times New Roman"/>
                  <w:sz w:val="13"/>
                  <w:szCs w:val="13"/>
                  <w:b w:val="1"/>
                  <w:bCs w:val="1"/>
                  <w:color w:val="0000FF"/>
                </w:rPr>
                <w:t>Item 5. Other Information</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340"/>
        </w:trPr>
        <w:tc>
          <w:tcPr>
            <w:tcW w:w="20" w:type="dxa"/>
            <w:vAlign w:val="bottom"/>
          </w:tcPr>
          <w:p>
            <w:pPr>
              <w:spacing w:after="0"/>
              <w:rPr>
                <w:sz w:val="24"/>
                <w:szCs w:val="24"/>
                <w:color w:val="auto"/>
              </w:rPr>
            </w:pPr>
          </w:p>
        </w:tc>
        <w:tc>
          <w:tcPr>
            <w:tcW w:w="9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b w:val="1"/>
                <w:bCs w:val="1"/>
                <w:color w:val="0000FF"/>
                <w:w w:val="99"/>
              </w:rPr>
            </w:pPr>
            <w:hyperlink w:anchor="page57">
              <w:r>
                <w:rPr>
                  <w:rFonts w:ascii="Times New Roman" w:cs="Times New Roman" w:eastAsia="Times New Roman" w:hAnsi="Times New Roman"/>
                  <w:sz w:val="13"/>
                  <w:szCs w:val="13"/>
                  <w:b w:val="1"/>
                  <w:bCs w:val="1"/>
                  <w:color w:val="0000FF"/>
                  <w:w w:val="99"/>
                </w:rPr>
                <w:t>Item 6. Exhibits</w:t>
              </w:r>
            </w:hyperlink>
          </w:p>
        </w:tc>
        <w:tc>
          <w:tcPr>
            <w:tcW w:w="580" w:type="dxa"/>
            <w:vAlign w:val="bottom"/>
            <w:tcBorders>
              <w:top w:val="single" w:sz="8" w:color="0000FF"/>
            </w:tcBorders>
            <w:gridSpan w:val="3"/>
          </w:tcPr>
          <w:p>
            <w:pPr>
              <w:spacing w:after="0"/>
              <w:rPr>
                <w:sz w:val="24"/>
                <w:szCs w:val="24"/>
                <w:color w:val="auto"/>
              </w:rPr>
            </w:pPr>
          </w:p>
        </w:tc>
        <w:tc>
          <w:tcPr>
            <w:tcW w:w="5400" w:type="dxa"/>
            <w:vAlign w:val="bottom"/>
            <w:gridSpan w:val="18"/>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340"/>
        </w:trPr>
        <w:tc>
          <w:tcPr>
            <w:tcW w:w="20" w:type="dxa"/>
            <w:vAlign w:val="bottom"/>
          </w:tcPr>
          <w:p>
            <w:pPr>
              <w:spacing w:after="0"/>
              <w:rPr>
                <w:sz w:val="24"/>
                <w:szCs w:val="24"/>
                <w:color w:val="auto"/>
              </w:rPr>
            </w:pPr>
          </w:p>
        </w:tc>
        <w:tc>
          <w:tcPr>
            <w:tcW w:w="860" w:type="dxa"/>
            <w:vAlign w:val="bottom"/>
            <w:tcBorders>
              <w:bottom w:val="single" w:sz="8" w:color="0000FF"/>
            </w:tcBorders>
            <w:gridSpan w:val="2"/>
          </w:tcPr>
          <w:p>
            <w:pPr>
              <w:spacing w:after="0"/>
              <w:rPr>
                <w:rFonts w:ascii="Times New Roman" w:cs="Times New Roman" w:eastAsia="Times New Roman" w:hAnsi="Times New Roman"/>
                <w:sz w:val="13"/>
                <w:szCs w:val="13"/>
                <w:b w:val="1"/>
                <w:bCs w:val="1"/>
                <w:color w:val="0000FF"/>
                <w:w w:val="99"/>
              </w:rPr>
            </w:pPr>
            <w:hyperlink w:anchor="page58">
              <w:r>
                <w:rPr>
                  <w:rFonts w:ascii="Times New Roman" w:cs="Times New Roman" w:eastAsia="Times New Roman" w:hAnsi="Times New Roman"/>
                  <w:sz w:val="13"/>
                  <w:szCs w:val="13"/>
                  <w:b w:val="1"/>
                  <w:bCs w:val="1"/>
                  <w:color w:val="0000FF"/>
                  <w:w w:val="99"/>
                </w:rPr>
                <w:t>SIGNATURES</w:t>
              </w:r>
            </w:hyperlink>
          </w:p>
        </w:tc>
        <w:tc>
          <w:tcPr>
            <w:tcW w:w="6020" w:type="dxa"/>
            <w:vAlign w:val="bottom"/>
            <w:gridSpan w:val="22"/>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356"/>
        </w:trPr>
        <w:tc>
          <w:tcPr>
            <w:tcW w:w="5460" w:type="dxa"/>
            <w:vAlign w:val="bottom"/>
            <w:gridSpan w:val="18"/>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680"/>
        </w:trPr>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6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-4793615</wp:posOffset>
            </wp:positionV>
            <wp:extent cx="22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-3879215</wp:posOffset>
            </wp:positionV>
            <wp:extent cx="22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PART I—CONSOLIDATED FINANCIAL INFORMATION</w:t>
      </w:r>
    </w:p>
    <w:p>
      <w:pPr>
        <w:spacing w:after="0" w:line="165"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collectively to our consolidated subsidiaries, PNNT Investment Holdings II, LLC and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“BNP Credit Facility” refers to our revolving credit facility with BNP Paribas prior to deconsolidation of Funding I; “Truist Credit Facility” refers to our multi-currency, senior secured revolving credit facility with Truist Bank, as amended and restated; “2026 Notes” refers to our 4.50% Notes due May 2026; “2026 Notes- 2”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2"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Item 1.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cost—$876,349 and $816,754, respectively)</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876,591</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830,808</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 (amortized cost—$55,854 and $55,787, respectively)</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54,771</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cost—$294,049 and $245,386, respectively)</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324,470</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216,068</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investments (amortized cost—$1,226,252 and $1,117,927, respectively)</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1,238,231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(cost—$35,409 and $38,784, respectively)</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35,418</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receivable</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80" w:type="dxa"/>
            <w:vAlign w:val="bottom"/>
            <w:shd w:val="clear" w:color="auto" w:fill="CCECFF"/>
          </w:tcPr>
          <w:p>
            <w:pPr>
              <w:spacing w:after="0"/>
              <w:rPr>
                <w:sz w:val="16"/>
                <w:szCs w:val="16"/>
                <w:color w:val="auto"/>
              </w:rPr>
            </w:pP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1,291,239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80" w:type="dxa"/>
            <w:vAlign w:val="bottom"/>
          </w:tcPr>
          <w:p>
            <w:pPr>
              <w:spacing w:after="0"/>
              <w:rPr>
                <w:sz w:val="15"/>
                <w:szCs w:val="15"/>
                <w:color w:val="auto"/>
              </w:rPr>
            </w:pPr>
          </w:p>
        </w:tc>
      </w:tr>
      <w:tr>
        <w:trPr>
          <w:trHeight w:val="18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80" w:type="dxa"/>
            <w:vAlign w:val="bottom"/>
            <w:shd w:val="clear" w:color="auto" w:fill="CCECFF"/>
          </w:tcPr>
          <w:p>
            <w:pPr>
              <w:spacing w:after="0"/>
              <w:rPr>
                <w:sz w:val="15"/>
                <w:szCs w:val="15"/>
                <w:color w:val="auto"/>
              </w:rPr>
            </w:pPr>
          </w:p>
        </w:tc>
        <w:tc>
          <w:tcPr>
            <w:tcW w:w="1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 payable, at fair value (cost—$396,456 and $212,420, respectively)</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 payable, net (par— $150,000)</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148,120</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Notes-2 payable, net (par— $165,000)</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162,653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 purchased</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65,136</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6,754</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Incentive fee payable</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3,018</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8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shd w:val="clear" w:color="auto" w:fill="CCECFF"/>
          </w:tcPr>
          <w:p>
            <w:pPr>
              <w:spacing w:after="0"/>
              <w:rPr>
                <w:sz w:val="16"/>
                <w:szCs w:val="16"/>
                <w:color w:val="auto"/>
              </w:rPr>
            </w:pP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789,710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654,790</w:t>
            </w:r>
          </w:p>
        </w:tc>
        <w:tc>
          <w:tcPr>
            <w:tcW w:w="80" w:type="dxa"/>
            <w:vAlign w:val="bottom"/>
          </w:tcPr>
          <w:p>
            <w:pPr>
              <w:spacing w:after="0"/>
              <w:rPr>
                <w:sz w:val="15"/>
                <w:szCs w:val="15"/>
                <w:color w:val="auto"/>
              </w:rPr>
            </w:pPr>
          </w:p>
        </w:tc>
      </w:tr>
      <w:tr>
        <w:trPr>
          <w:trHeight w:val="18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180" w:type="dxa"/>
            <w:vAlign w:val="bottom"/>
            <w:shd w:val="clear" w:color="auto" w:fill="CCECFF"/>
          </w:tcPr>
          <w:p>
            <w:pPr>
              <w:spacing w:after="0"/>
              <w:rPr>
                <w:sz w:val="15"/>
                <w:szCs w:val="15"/>
                <w:color w:val="auto"/>
              </w:rPr>
            </w:pPr>
          </w:p>
        </w:tc>
        <w:tc>
          <w:tcPr>
            <w:tcW w:w="1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Common stock, 65,224,500 shares issued and outstanding</w:t>
            </w:r>
          </w:p>
        </w:tc>
        <w:tc>
          <w:tcPr>
            <w:tcW w:w="18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73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100,000,000 shares authorized</w:t>
            </w:r>
          </w:p>
        </w:tc>
        <w:tc>
          <w:tcPr>
            <w:tcW w:w="18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CFF"/>
          </w:tcPr>
          <w:p>
            <w:pPr>
              <w:spacing w:after="0"/>
              <w:rPr>
                <w:sz w:val="15"/>
                <w:szCs w:val="15"/>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746,466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746,466</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shd w:val="clear" w:color="auto" w:fill="CCECFF"/>
          </w:tcPr>
          <w:p>
            <w:pPr>
              <w:spacing w:after="0"/>
              <w:rPr>
                <w:sz w:val="16"/>
                <w:szCs w:val="16"/>
                <w:color w:val="auto"/>
              </w:rPr>
            </w:pP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(245,002 )</w:t>
            </w:r>
          </w:p>
        </w:tc>
        <w:tc>
          <w:tcPr>
            <w:tcW w:w="12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(244,344 )</w:t>
            </w: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501,529</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80" w:type="dxa"/>
            <w:vAlign w:val="bottom"/>
          </w:tcPr>
          <w:p>
            <w:pPr>
              <w:spacing w:after="0"/>
              <w:rPr>
                <w:sz w:val="15"/>
                <w:szCs w:val="15"/>
                <w:color w:val="auto"/>
              </w:rPr>
            </w:pPr>
          </w:p>
        </w:tc>
      </w:tr>
      <w:tr>
        <w:trPr>
          <w:trHeight w:val="223"/>
        </w:trPr>
        <w:tc>
          <w:tcPr>
            <w:tcW w:w="7320" w:type="dxa"/>
            <w:vAlign w:val="bottom"/>
            <w:tcBorders>
              <w:bottom w:val="single" w:sz="8" w:color="CCECFF"/>
            </w:tcBorders>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1,291,239</w:t>
            </w:r>
          </w:p>
        </w:tc>
        <w:tc>
          <w:tcPr>
            <w:tcW w:w="2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8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12"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60" w:type="dxa"/>
            <w:vAlign w:val="bottom"/>
          </w:tcPr>
          <w:p>
            <w:pPr>
              <w:spacing w:after="0"/>
              <w:rPr>
                <w:sz w:val="15"/>
                <w:szCs w:val="15"/>
                <w:color w:val="auto"/>
              </w:rPr>
            </w:pPr>
          </w:p>
        </w:tc>
        <w:tc>
          <w:tcPr>
            <w:tcW w:w="206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22,904</w:t>
            </w:r>
          </w:p>
        </w:tc>
        <w:tc>
          <w:tcPr>
            <w:tcW w:w="200" w:type="dxa"/>
            <w:vAlign w:val="bottom"/>
            <w:shd w:val="clear" w:color="auto" w:fill="CCECFF"/>
          </w:tcPr>
          <w:p>
            <w:pPr>
              <w:spacing w:after="0"/>
              <w:rPr>
                <w:sz w:val="15"/>
                <w:szCs w:val="15"/>
                <w:color w:val="auto"/>
              </w:rPr>
            </w:pP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26,759</w:t>
            </w:r>
          </w:p>
        </w:tc>
        <w:tc>
          <w:tcPr>
            <w:tcW w:w="200" w:type="dxa"/>
            <w:vAlign w:val="bottom"/>
            <w:shd w:val="clear" w:color="auto" w:fill="CCECFF"/>
          </w:tcPr>
          <w:p>
            <w:pPr>
              <w:spacing w:after="0"/>
              <w:rPr>
                <w:sz w:val="15"/>
                <w:szCs w:val="15"/>
                <w:color w:val="auto"/>
              </w:rPr>
            </w:pPr>
          </w:p>
        </w:tc>
        <w:tc>
          <w:tcPr>
            <w:tcW w:w="160" w:type="dxa"/>
            <w:vAlign w:val="bottom"/>
            <w:vMerge w:val="restart"/>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43,972</w:t>
            </w:r>
          </w:p>
        </w:tc>
        <w:tc>
          <w:tcPr>
            <w:tcW w:w="200" w:type="dxa"/>
            <w:vAlign w:val="bottom"/>
            <w:shd w:val="clear" w:color="auto" w:fill="CCECFF"/>
          </w:tcPr>
          <w:p>
            <w:pPr>
              <w:spacing w:after="0"/>
              <w:rPr>
                <w:sz w:val="15"/>
                <w:szCs w:val="15"/>
                <w:color w:val="auto"/>
              </w:rPr>
            </w:pPr>
          </w:p>
        </w:tc>
        <w:tc>
          <w:tcPr>
            <w:tcW w:w="200" w:type="dxa"/>
            <w:vAlign w:val="bottom"/>
            <w:vMerge w:val="restart"/>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48,990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940" w:type="dxa"/>
            <w:vAlign w:val="bottom"/>
            <w:shd w:val="clear" w:color="auto" w:fill="CCECFF"/>
          </w:tcPr>
          <w:p>
            <w:pPr>
              <w:spacing w:after="0"/>
              <w:rPr>
                <w:sz w:val="13"/>
                <w:szCs w:val="13"/>
                <w:color w:val="auto"/>
              </w:rPr>
            </w:pPr>
          </w:p>
        </w:tc>
        <w:tc>
          <w:tcPr>
            <w:tcW w:w="140" w:type="dxa"/>
            <w:vAlign w:val="bottom"/>
            <w:vMerge w:val="continue"/>
            <w:shd w:val="clear" w:color="auto" w:fill="CCECFF"/>
          </w:tcPr>
          <w:p>
            <w:pPr>
              <w:spacing w:after="0"/>
              <w:rPr>
                <w:sz w:val="13"/>
                <w:szCs w:val="13"/>
                <w:color w:val="auto"/>
              </w:rPr>
            </w:pPr>
          </w:p>
        </w:tc>
        <w:tc>
          <w:tcPr>
            <w:tcW w:w="860" w:type="dxa"/>
            <w:vAlign w:val="bottom"/>
            <w:vMerge w:val="continue"/>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0" w:type="dxa"/>
            <w:vAlign w:val="bottom"/>
            <w:vMerge w:val="continue"/>
            <w:shd w:val="clear" w:color="auto" w:fill="CCECFF"/>
          </w:tcPr>
          <w:p>
            <w:pPr>
              <w:spacing w:after="0"/>
              <w:rPr>
                <w:sz w:val="13"/>
                <w:szCs w:val="13"/>
                <w:color w:val="auto"/>
              </w:rPr>
            </w:pPr>
          </w:p>
        </w:tc>
        <w:tc>
          <w:tcPr>
            <w:tcW w:w="780" w:type="dxa"/>
            <w:vAlign w:val="bottom"/>
            <w:vMerge w:val="continue"/>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820" w:type="dxa"/>
            <w:vAlign w:val="bottom"/>
            <w:vMerge w:val="continue"/>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0" w:type="dxa"/>
            <w:vAlign w:val="bottom"/>
            <w:vMerge w:val="continue"/>
            <w:shd w:val="clear" w:color="auto" w:fill="CCECFF"/>
          </w:tcPr>
          <w:p>
            <w:pPr>
              <w:spacing w:after="0"/>
              <w:rPr>
                <w:sz w:val="13"/>
                <w:szCs w:val="13"/>
                <w:color w:val="auto"/>
              </w:rPr>
            </w:pPr>
          </w:p>
        </w:tc>
        <w:tc>
          <w:tcPr>
            <w:tcW w:w="760" w:type="dxa"/>
            <w:vAlign w:val="bottom"/>
            <w:vMerge w:val="continue"/>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1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3,648</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11,422</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3,702</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9,378</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35,979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70,315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4,040</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8,141</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8,642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Incentive fee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2,593</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20,952</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39,236</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36,888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21,727</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19,709</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40,404</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39,338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(1,434 )</w:t>
            </w:r>
          </w:p>
        </w:tc>
        <w:tc>
          <w:tcPr>
            <w:tcW w:w="2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(14,613 )</w:t>
            </w: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(10,549 )</w:t>
            </w: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(29,419 )</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(133,098 )</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(30,169 )</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(133,098 )</w:t>
            </w: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extinguishment</w:t>
            </w:r>
          </w:p>
        </w:tc>
        <w:tc>
          <w:tcPr>
            <w:tcW w:w="1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(289 )</w:t>
            </w:r>
          </w:p>
        </w:tc>
        <w:tc>
          <w:tcPr>
            <w:tcW w:w="1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(289 )</w:t>
            </w: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(177 )</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(717 )</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(177 )</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(717 )</w:t>
            </w: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1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(31,030 )</w:t>
            </w:r>
          </w:p>
        </w:tc>
        <w:tc>
          <w:tcPr>
            <w:tcW w:w="2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(148,717 )</w:t>
            </w:r>
          </w:p>
        </w:tc>
        <w:tc>
          <w:tcPr>
            <w:tcW w:w="1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(29,200 )</w:t>
            </w:r>
          </w:p>
        </w:tc>
        <w:tc>
          <w:tcPr>
            <w:tcW w:w="20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(144,653 )</w:t>
            </w: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40" w:type="dxa"/>
            <w:vAlign w:val="bottom"/>
            <w:shd w:val="clear" w:color="auto" w:fill="CCECFF"/>
          </w:tcPr>
          <w:p>
            <w:pPr>
              <w:spacing w:after="0"/>
              <w:rPr>
                <w:sz w:val="19"/>
                <w:szCs w:val="19"/>
                <w:color w:val="auto"/>
              </w:rPr>
            </w:pPr>
          </w:p>
        </w:tc>
        <w:tc>
          <w:tcPr>
            <w:tcW w:w="1060" w:type="dxa"/>
            <w:vAlign w:val="bottom"/>
            <w:gridSpan w:val="2"/>
            <w:shd w:val="clear" w:color="auto" w:fill="CCECFF"/>
          </w:tcPr>
          <w:p>
            <w:pPr>
              <w:jc w:val="right"/>
              <w:ind w:right="160"/>
              <w:spacing w:after="0" w:line="220" w:lineRule="exact"/>
              <w:rPr>
                <w:sz w:val="20"/>
                <w:szCs w:val="20"/>
                <w:color w:val="auto"/>
              </w:rPr>
            </w:pPr>
            <w:r>
              <w:rPr>
                <w:rFonts w:ascii="Times New Roman" w:cs="Times New Roman" w:eastAsia="Times New Roman" w:hAnsi="Times New Roman"/>
                <w:sz w:val="13"/>
                <w:szCs w:val="13"/>
                <w:color w:val="auto"/>
              </w:rPr>
              <w:t xml:space="preserve">(1,528 </w:t>
            </w:r>
            <w:r>
              <w:rPr>
                <w:rFonts w:ascii="Times New Roman" w:cs="Times New Roman" w:eastAsia="Times New Roman" w:hAnsi="Times New Roman"/>
                <w:sz w:val="25"/>
                <w:szCs w:val="25"/>
                <w:color w:val="auto"/>
                <w:vertAlign w:val="subscript"/>
              </w:rPr>
              <w:t>)</w:t>
            </w:r>
          </w:p>
        </w:tc>
        <w:tc>
          <w:tcPr>
            <w:tcW w:w="22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2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(13,798 )</w:t>
            </w:r>
          </w:p>
        </w:tc>
        <w:tc>
          <w:tcPr>
            <w:tcW w:w="2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(46,567 )</w:t>
            </w: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131,459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42,075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1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(830 )</w:t>
            </w:r>
          </w:p>
        </w:tc>
        <w:tc>
          <w:tcPr>
            <w:tcW w:w="2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(680 )</w:t>
            </w: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(1,570 )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1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32,863</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136,949</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26,027</w:t>
            </w:r>
          </w:p>
        </w:tc>
        <w:tc>
          <w:tcPr>
            <w:tcW w:w="2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(11,768 )</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(3,173 )</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(93,994 )</w:t>
            </w:r>
          </w:p>
        </w:tc>
        <w:tc>
          <w:tcPr>
            <w:tcW w:w="0" w:type="dxa"/>
            <w:vAlign w:val="bottom"/>
          </w:tcPr>
          <w:p>
            <w:pPr>
              <w:spacing w:after="0"/>
              <w:rPr>
                <w:sz w:val="1"/>
                <w:szCs w:val="1"/>
                <w:color w:val="auto"/>
              </w:rPr>
            </w:pPr>
          </w:p>
        </w:tc>
      </w:tr>
      <w:tr>
        <w:trPr>
          <w:trHeight w:val="20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4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16,085</w:t>
            </w:r>
          </w:p>
        </w:tc>
        <w:tc>
          <w:tcPr>
            <w:tcW w:w="2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4,872</w:t>
            </w:r>
          </w:p>
        </w:tc>
        <w:tc>
          <w:tcPr>
            <w:tcW w:w="200" w:type="dxa"/>
            <w:vAlign w:val="bottom"/>
            <w:shd w:val="clear" w:color="auto" w:fill="CCECFF"/>
          </w:tcPr>
          <w:p>
            <w:pPr>
              <w:spacing w:after="0"/>
              <w:rPr>
                <w:sz w:val="17"/>
                <w:szCs w:val="17"/>
                <w:color w:val="auto"/>
              </w:rPr>
            </w:pP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26,738</w:t>
            </w:r>
          </w:p>
        </w:tc>
        <w:tc>
          <w:tcPr>
            <w:tcW w:w="2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40" w:type="dxa"/>
            <w:vAlign w:val="bottom"/>
            <w:gridSpan w:val="2"/>
            <w:shd w:val="clear" w:color="auto" w:fill="CCECFF"/>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(67,020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20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2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w:t>
            </w:r>
          </w:p>
        </w:tc>
        <w:tc>
          <w:tcPr>
            <w:tcW w:w="2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0"/>
                <w:szCs w:val="10"/>
                <w:color w:val="auto"/>
              </w:rPr>
              <w:t xml:space="preserve">(1.03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20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2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20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0.41</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2820" w:type="dxa"/>
            <w:vAlign w:val="bottom"/>
            <w:gridSpan w:val="6"/>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40" w:type="dxa"/>
            <w:vAlign w:val="bottom"/>
          </w:tcPr>
          <w:p>
            <w:pPr>
              <w:spacing w:after="0"/>
              <w:rPr>
                <w:sz w:val="15"/>
                <w:szCs w:val="15"/>
                <w:color w:val="auto"/>
              </w:rPr>
            </w:pPr>
          </w:p>
        </w:tc>
        <w:tc>
          <w:tcPr>
            <w:tcW w:w="236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4"/>
        </w:trPr>
        <w:tc>
          <w:tcPr>
            <w:tcW w:w="5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184"/>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14,252</w:t>
            </w:r>
          </w:p>
        </w:tc>
        <w:tc>
          <w:tcPr>
            <w:tcW w:w="24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16,640</w:t>
            </w:r>
          </w:p>
        </w:tc>
        <w:tc>
          <w:tcPr>
            <w:tcW w:w="220" w:type="dxa"/>
            <w:vAlign w:val="bottom"/>
          </w:tcPr>
          <w:p>
            <w:pPr>
              <w:spacing w:after="0"/>
              <w:rPr>
                <w:sz w:val="15"/>
                <w:szCs w:val="15"/>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29,911</w:t>
            </w:r>
          </w:p>
        </w:tc>
        <w:tc>
          <w:tcPr>
            <w:tcW w:w="100" w:type="dxa"/>
            <w:vAlign w:val="bottom"/>
          </w:tcPr>
          <w:p>
            <w:pPr>
              <w:spacing w:after="0"/>
              <w:rPr>
                <w:sz w:val="15"/>
                <w:szCs w:val="15"/>
                <w:color w:val="auto"/>
              </w:rPr>
            </w:pPr>
          </w:p>
        </w:tc>
        <w:tc>
          <w:tcPr>
            <w:tcW w:w="3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26,974</w:t>
            </w:r>
          </w:p>
        </w:tc>
        <w:tc>
          <w:tcPr>
            <w:tcW w:w="80" w:type="dxa"/>
            <w:vAlign w:val="bottom"/>
          </w:tcPr>
          <w:p>
            <w:pPr>
              <w:spacing w:after="0"/>
              <w:rPr>
                <w:sz w:val="15"/>
                <w:szCs w:val="15"/>
                <w:color w:val="auto"/>
              </w:rPr>
            </w:pP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(30,853 )</w:t>
            </w:r>
          </w:p>
        </w:tc>
        <w:tc>
          <w:tcPr>
            <w:tcW w:w="26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(148,000 )</w:t>
            </w:r>
          </w:p>
        </w:tc>
        <w:tc>
          <w:tcPr>
            <w:tcW w:w="24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(29,023 )</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(143,936 )</w:t>
            </w: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135,409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43,844</w:t>
            </w:r>
          </w:p>
        </w:tc>
        <w:tc>
          <w:tcPr>
            <w:tcW w:w="80" w:type="dxa"/>
            <w:vAlign w:val="bottom"/>
          </w:tcPr>
          <w:p>
            <w:pPr>
              <w:spacing w:after="0"/>
              <w:rPr>
                <w:sz w:val="15"/>
                <w:szCs w:val="15"/>
                <w:color w:val="auto"/>
              </w:rPr>
            </w:pP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net realized gain (loss) on investments</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(177 )</w:t>
            </w:r>
          </w:p>
        </w:tc>
        <w:tc>
          <w:tcPr>
            <w:tcW w:w="26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(717 )</w:t>
            </w:r>
          </w:p>
        </w:tc>
        <w:tc>
          <w:tcPr>
            <w:tcW w:w="24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(177 )</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(717 )</w:t>
            </w: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unrealized appreciation (depreciation) on investments</w:t>
            </w:r>
          </w:p>
        </w:tc>
        <w:tc>
          <w:tcPr>
            <w:tcW w:w="7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(830 )</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Pr>
          <w:p>
            <w:pPr>
              <w:spacing w:after="0"/>
              <w:rPr>
                <w:sz w:val="15"/>
                <w:szCs w:val="15"/>
                <w:color w:val="auto"/>
              </w:rPr>
            </w:pP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(1,570 )</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5,919</w:t>
            </w:r>
          </w:p>
        </w:tc>
        <w:tc>
          <w:tcPr>
            <w:tcW w:w="80" w:type="dxa"/>
            <w:vAlign w:val="bottom"/>
            <w:shd w:val="clear" w:color="auto" w:fill="CCECFF"/>
          </w:tcPr>
          <w:p>
            <w:pPr>
              <w:spacing w:after="0"/>
              <w:rPr>
                <w:sz w:val="16"/>
                <w:szCs w:val="16"/>
                <w:color w:val="auto"/>
              </w:rPr>
            </w:pPr>
          </w:p>
        </w:tc>
      </w:tr>
      <w:tr>
        <w:trPr>
          <w:trHeight w:val="177"/>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(67,020 )</w:t>
            </w:r>
          </w:p>
        </w:tc>
      </w:tr>
      <w:tr>
        <w:trPr>
          <w:trHeight w:val="183"/>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72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7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(13,698 )</w:t>
            </w:r>
          </w:p>
        </w:tc>
        <w:tc>
          <w:tcPr>
            <w:tcW w:w="2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(12,066 )</w:t>
            </w:r>
          </w:p>
        </w:tc>
        <w:tc>
          <w:tcPr>
            <w:tcW w:w="2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(27,396 )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(22,830 )</w:t>
            </w: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(13,698 )</w:t>
            </w:r>
          </w:p>
        </w:tc>
        <w:tc>
          <w:tcPr>
            <w:tcW w:w="26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(12,066 )</w:t>
            </w:r>
          </w:p>
        </w:tc>
        <w:tc>
          <w:tcPr>
            <w:tcW w:w="24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(27,396 )</w:t>
            </w:r>
          </w:p>
        </w:tc>
        <w:tc>
          <w:tcPr>
            <w:tcW w:w="120" w:type="dxa"/>
            <w:vAlign w:val="bottom"/>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(22,830 )</w:t>
            </w:r>
          </w:p>
        </w:tc>
      </w:tr>
      <w:tr>
        <w:trPr>
          <w:trHeight w:val="17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(7,194 )</w:t>
            </w:r>
          </w:p>
        </w:tc>
        <w:tc>
          <w:tcPr>
            <w:tcW w:w="2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(89,850 )</w:t>
            </w:r>
          </w:p>
        </w:tc>
      </w:tr>
      <w:tr>
        <w:trPr>
          <w:trHeight w:val="183"/>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72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Beginning of period</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499,142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502,909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80" w:type="dxa"/>
            <w:vAlign w:val="bottom"/>
          </w:tcPr>
          <w:p>
            <w:pPr>
              <w:spacing w:after="0"/>
              <w:rPr>
                <w:sz w:val="15"/>
                <w:szCs w:val="15"/>
                <w:color w:val="auto"/>
              </w:rPr>
            </w:pPr>
          </w:p>
        </w:tc>
      </w:tr>
      <w:tr>
        <w:trPr>
          <w:trHeight w:val="224"/>
        </w:trPr>
        <w:tc>
          <w:tcPr>
            <w:tcW w:w="514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End of period</w:t>
            </w:r>
          </w:p>
        </w:tc>
        <w:tc>
          <w:tcPr>
            <w:tcW w:w="720" w:type="dxa"/>
            <w:vAlign w:val="bottom"/>
            <w:tcBorders>
              <w:bottom w:val="single" w:sz="8" w:color="auto"/>
            </w:tcBorders>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501,529</w:t>
            </w:r>
          </w:p>
        </w:tc>
        <w:tc>
          <w:tcPr>
            <w:tcW w:w="2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495,715</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501,529</w:t>
            </w: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495,715</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26,738</w:t>
            </w:r>
          </w:p>
        </w:tc>
        <w:tc>
          <w:tcPr>
            <w:tcW w:w="260" w:type="dxa"/>
            <w:vAlign w:val="bottom"/>
          </w:tcPr>
          <w:p>
            <w:pPr>
              <w:spacing w:after="0"/>
              <w:rPr>
                <w:sz w:val="15"/>
                <w:szCs w:val="15"/>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(67,020 )</w:t>
            </w:r>
          </w:p>
        </w:tc>
        <w:tc>
          <w:tcPr>
            <w:tcW w:w="0" w:type="dxa"/>
            <w:vAlign w:val="bottom"/>
          </w:tcPr>
          <w:p>
            <w:pPr>
              <w:spacing w:after="0"/>
              <w:rPr>
                <w:sz w:val="1"/>
                <w:szCs w:val="1"/>
                <w:color w:val="auto"/>
              </w:rPr>
            </w:pPr>
          </w:p>
        </w:tc>
      </w:tr>
      <w:tr>
        <w:trPr>
          <w:trHeight w:val="160"/>
        </w:trPr>
        <w:tc>
          <w:tcPr>
            <w:tcW w:w="72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change in net unrealized (appreciation) depreciation on investments</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(28,277 )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(43,844 )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(5,919 )</w:t>
            </w: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29,023</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Debt extinguishment realized loss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(1,685 )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(4,717 )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(529,161 )</w:t>
            </w: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(144,489 )</w:t>
            </w: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Payment-in-kind income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(2,025 )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(1,812 )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396,809</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144,780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(2,438 )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(826 )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29,494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Distribution receivable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(233 )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(2,414 )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Due from affiliate</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(270 )</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(8,000 )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Due to affiliate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(3,800 )</w:t>
            </w:r>
          </w:p>
        </w:tc>
        <w:tc>
          <w:tcPr>
            <w:tcW w:w="9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(34,813 )</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15,149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(171 )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Base management fee payable, net</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(809 )</w:t>
            </w: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Incentive fee payable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(292 )</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Deferred tax liability</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(896 )</w:t>
            </w: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(3,935 )</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(150,868 )</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60,484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34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(36,525 )</w:t>
            </w:r>
          </w:p>
        </w:tc>
        <w:tc>
          <w:tcPr>
            <w:tcW w:w="92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(20,546 )</w:t>
            </w: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Repayments under SBA debetures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(20,000 )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Borrowings under Truist Credit Facility</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331,036</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75,500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Repayments under Truist Credit Facility</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(147,000 )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(84,000 )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147,511</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(49,046 )</w:t>
            </w:r>
          </w:p>
        </w:tc>
        <w:tc>
          <w:tcPr>
            <w:tcW w:w="0" w:type="dxa"/>
            <w:vAlign w:val="bottom"/>
          </w:tcPr>
          <w:p>
            <w:pPr>
              <w:spacing w:after="0"/>
              <w:rPr>
                <w:sz w:val="1"/>
                <w:szCs w:val="1"/>
                <w:color w:val="auto"/>
              </w:rPr>
            </w:pPr>
          </w:p>
        </w:tc>
      </w:tr>
      <w:tr>
        <w:trPr>
          <w:trHeight w:val="177"/>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equivalents</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(3,357 )</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340" w:type="dxa"/>
            <w:vAlign w:val="bottom"/>
            <w:shd w:val="clear" w:color="auto" w:fill="CCECFF"/>
          </w:tcPr>
          <w:p>
            <w:pPr>
              <w:spacing w:after="0"/>
              <w:rPr>
                <w:sz w:val="15"/>
                <w:szCs w:val="15"/>
                <w:color w:val="auto"/>
              </w:rPr>
            </w:pP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26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140" w:type="dxa"/>
            <w:vAlign w:val="bottom"/>
            <w:vMerge w:val="continue"/>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560" w:type="dxa"/>
            <w:vAlign w:val="bottom"/>
            <w:vMerge w:val="continue"/>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72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340" w:type="dxa"/>
            <w:vAlign w:val="bottom"/>
            <w:tcBorders>
              <w:bottom w:val="single" w:sz="8" w:color="CCECFF"/>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35,418</w:t>
            </w:r>
          </w:p>
        </w:tc>
        <w:tc>
          <w:tcPr>
            <w:tcW w:w="260" w:type="dxa"/>
            <w:vAlign w:val="bottom"/>
            <w:tcBorders>
              <w:bottom w:val="single" w:sz="8" w:color="CCECFF"/>
            </w:tcBorders>
            <w:shd w:val="clear" w:color="auto" w:fill="CCECFF"/>
          </w:tcPr>
          <w:p>
            <w:pPr>
              <w:spacing w:after="0"/>
              <w:rPr>
                <w:sz w:val="23"/>
                <w:szCs w:val="23"/>
                <w:color w:val="auto"/>
              </w:rPr>
            </w:pPr>
          </w:p>
        </w:tc>
        <w:tc>
          <w:tcPr>
            <w:tcW w:w="920" w:type="dxa"/>
            <w:vAlign w:val="bottom"/>
            <w:tcBorders>
              <w:bottom w:val="single" w:sz="8" w:color="CCECFF"/>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66,436</w:t>
            </w:r>
          </w:p>
        </w:tc>
        <w:tc>
          <w:tcPr>
            <w:tcW w:w="80" w:type="dxa"/>
            <w:vAlign w:val="bottom"/>
            <w:tcBorders>
              <w:bottom w:val="single" w:sz="8" w:color="CCECFF"/>
            </w:tcBorders>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2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CCEC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20,361</w:t>
            </w:r>
          </w:p>
        </w:tc>
        <w:tc>
          <w:tcPr>
            <w:tcW w:w="26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 paid</w:t>
            </w: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6,326</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Non-cash exchanges and conversions</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8,024</w:t>
            </w:r>
          </w:p>
        </w:tc>
        <w:tc>
          <w:tcPr>
            <w:tcW w:w="26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12,628</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460" w:type="dxa"/>
            <w:vAlign w:val="bottom"/>
          </w:tcPr>
          <w:p>
            <w:pPr>
              <w:spacing w:after="0"/>
              <w:rPr>
                <w:sz w:val="10"/>
                <w:szCs w:val="10"/>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460" w:type="dxa"/>
            <w:vAlign w:val="bottom"/>
          </w:tcPr>
          <w:p>
            <w:pPr>
              <w:ind w:left="102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1"/>
                <w:szCs w:val="11"/>
                <w:color w:val="auto"/>
              </w:rPr>
            </w:pP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820" w:type="dxa"/>
            <w:vAlign w:val="bottom"/>
          </w:tcPr>
          <w:p>
            <w:pPr>
              <w:jc w:val="right"/>
              <w:ind w:right="192"/>
              <w:spacing w:after="0" w:line="134"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c>
          <w:tcPr>
            <w:tcW w:w="0" w:type="dxa"/>
            <w:vAlign w:val="bottom"/>
          </w:tcPr>
          <w:p>
            <w:pPr>
              <w:spacing w:after="0"/>
              <w:rPr>
                <w:sz w:val="1"/>
                <w:szCs w:val="1"/>
                <w:color w:val="auto"/>
              </w:rPr>
            </w:pPr>
          </w:p>
        </w:tc>
      </w:tr>
      <w:tr>
        <w:trPr>
          <w:trHeight w:val="131"/>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w:t>
            </w:r>
          </w:p>
        </w:tc>
        <w:tc>
          <w:tcPr>
            <w:tcW w:w="7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Companies—174.8% of Net Assets </w:t>
            </w:r>
            <w:r>
              <w:rPr>
                <w:rFonts w:ascii="Times New Roman" w:cs="Times New Roman" w:eastAsia="Times New Roman" w:hAnsi="Times New Roman"/>
                <w:sz w:val="12"/>
                <w:szCs w:val="12"/>
                <w:b w:val="1"/>
                <w:bCs w:val="1"/>
                <w:color w:val="auto"/>
                <w:vertAlign w:val="superscript"/>
              </w:rPr>
              <w:t>(1), (2)</w:t>
            </w:r>
          </w:p>
        </w:tc>
        <w:tc>
          <w:tcPr>
            <w:tcW w:w="78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Debt—113.1% of Net Assets</w:t>
            </w:r>
          </w:p>
        </w:tc>
        <w:tc>
          <w:tcPr>
            <w:tcW w:w="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12/22/2028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SOFR+660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5,054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5,118</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12/21/2024</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1,788</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12/22/2028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2,532</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10/02/2029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SOFR+625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1,247</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1,230</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04/02/2025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1,799</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ACP Avenu Buyer, LLC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10/02/2029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ACP Falcon Buyer, Inc.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08/01/2029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 Revolver </w:t>
            </w:r>
            <w:r>
              <w:rPr>
                <w:rFonts w:ascii="Times New Roman" w:cs="Times New Roman" w:eastAsia="Times New Roman" w:hAnsi="Times New Roman"/>
                <w:sz w:val="12"/>
                <w:szCs w:val="12"/>
                <w:color w:val="auto"/>
                <w:vertAlign w:val="superscript"/>
              </w:rPr>
              <w:t>(7)</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auto"/>
              </w:rPr>
              <w:t>05/07/2026</w:t>
            </w:r>
          </w:p>
        </w:tc>
        <w:tc>
          <w:tcPr>
            <w:tcW w:w="246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444</w:t>
            </w:r>
          </w:p>
        </w:tc>
        <w:tc>
          <w:tcPr>
            <w:tcW w:w="240" w:type="dxa"/>
            <w:vAlign w:val="bottom"/>
          </w:tcPr>
          <w:p>
            <w:pPr>
              <w:spacing w:after="0"/>
              <w:rPr>
                <w:sz w:val="14"/>
                <w:szCs w:val="14"/>
                <w:color w:val="auto"/>
              </w:rPr>
            </w:pPr>
          </w:p>
        </w:tc>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4"/>
                <w:szCs w:val="14"/>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8"/>
        </w:trPr>
        <w:tc>
          <w:tcPr>
            <w:tcW w:w="25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4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 Revolver</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12/12/2028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747</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739</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12/12/2028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1,743</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04/09/2027</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SOFR+640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5,074</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5,074</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5,023</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04/09/2027</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8,279</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06/30/2026</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11.23 %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1,205</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1,200</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1,199</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Funded Revolver</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06/30/2026</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11.18 %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SOFR+560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688</w:t>
            </w:r>
          </w:p>
        </w:tc>
        <w:tc>
          <w:tcPr>
            <w:tcW w:w="0" w:type="dxa"/>
            <w:vAlign w:val="bottom"/>
          </w:tcPr>
          <w:p>
            <w:pPr>
              <w:spacing w:after="0"/>
              <w:rPr>
                <w:sz w:val="1"/>
                <w:szCs w:val="1"/>
                <w:color w:val="auto"/>
              </w:rPr>
            </w:pPr>
          </w:p>
        </w:tc>
      </w:tr>
      <w:tr>
        <w:trPr>
          <w:trHeight w:val="232"/>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06/30/2026</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c>
          <w:tcPr>
            <w:tcW w:w="240" w:type="dxa"/>
            <w:vAlign w:val="bottom"/>
            <w:shd w:val="clear" w:color="auto" w:fill="CCECFF"/>
          </w:tcPr>
          <w:p>
            <w:pPr>
              <w:spacing w:after="0"/>
              <w:rPr>
                <w:sz w:val="20"/>
                <w:szCs w:val="2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 xml:space="preserve">(5 </w:t>
            </w:r>
            <w:r>
              <w:rPr>
                <w:rFonts w:ascii="Times New Roman" w:cs="Times New Roman" w:eastAsia="Times New Roman" w:hAnsi="Times New Roman"/>
                <w:sz w:val="19"/>
                <w:szCs w:val="19"/>
                <w:color w:val="auto"/>
                <w:vertAlign w:val="superscript"/>
              </w:rPr>
              <w:t>)</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07/21/2027</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11.00 %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SOFR+585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3,007</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2,978</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2,977</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07/21/2027</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1,147</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12/29/2026</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SOFR+585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1,996</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1,979</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w:t>
            </w:r>
          </w:p>
        </w:tc>
        <w:tc>
          <w:tcPr>
            <w:tcW w:w="0" w:type="dxa"/>
            <w:vAlign w:val="bottom"/>
          </w:tcPr>
          <w:p>
            <w:pPr>
              <w:spacing w:after="0"/>
              <w:rPr>
                <w:sz w:val="1"/>
                <w:szCs w:val="1"/>
                <w:color w:val="auto"/>
              </w:rPr>
            </w:pPr>
          </w:p>
        </w:tc>
      </w:tr>
      <w:tr>
        <w:trPr>
          <w:trHeight w:val="140"/>
        </w:trPr>
        <w:tc>
          <w:tcPr>
            <w:tcW w:w="25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(7)</w:t>
            </w:r>
          </w:p>
        </w:tc>
        <w:tc>
          <w:tcPr>
            <w:tcW w:w="780" w:type="dxa"/>
            <w:vAlign w:val="bottom"/>
            <w:vMerge w:val="restart"/>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07/17/2025</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2,637</w:t>
            </w:r>
          </w:p>
        </w:tc>
        <w:tc>
          <w:tcPr>
            <w:tcW w:w="240" w:type="dxa"/>
            <w:vAlign w:val="bottom"/>
            <w:shd w:val="clear" w:color="auto" w:fill="CCECFF"/>
          </w:tcPr>
          <w:p>
            <w:pPr>
              <w:spacing w:after="0"/>
              <w:rPr>
                <w:sz w:val="12"/>
                <w:szCs w:val="12"/>
                <w:color w:val="auto"/>
              </w:rPr>
            </w:pPr>
          </w:p>
        </w:tc>
        <w:tc>
          <w:tcPr>
            <w:tcW w:w="56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80"/>
        </w:trPr>
        <w:tc>
          <w:tcPr>
            <w:tcW w:w="2500" w:type="dxa"/>
            <w:vAlign w:val="bottom"/>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460" w:type="dxa"/>
            <w:vAlign w:val="bottom"/>
            <w:shd w:val="clear" w:color="auto" w:fill="CCECFF"/>
          </w:tcPr>
          <w:p>
            <w:pPr>
              <w:spacing w:after="0"/>
              <w:rPr>
                <w:sz w:val="6"/>
                <w:szCs w:val="6"/>
                <w:color w:val="auto"/>
              </w:rPr>
            </w:pPr>
          </w:p>
        </w:tc>
        <w:tc>
          <w:tcPr>
            <w:tcW w:w="1080" w:type="dxa"/>
            <w:vAlign w:val="bottom"/>
            <w:vMerge w:val="continue"/>
            <w:shd w:val="clear" w:color="auto" w:fill="CCECFF"/>
          </w:tcPr>
          <w:p>
            <w:pPr>
              <w:spacing w:after="0"/>
              <w:rPr>
                <w:sz w:val="6"/>
                <w:szCs w:val="6"/>
                <w:color w:val="auto"/>
              </w:rPr>
            </w:pPr>
          </w:p>
        </w:tc>
        <w:tc>
          <w:tcPr>
            <w:tcW w:w="1000" w:type="dxa"/>
            <w:vAlign w:val="bottom"/>
            <w:vMerge w:val="continue"/>
            <w:shd w:val="clear" w:color="auto" w:fill="CCECFF"/>
          </w:tcPr>
          <w:p>
            <w:pPr>
              <w:spacing w:after="0"/>
              <w:rPr>
                <w:sz w:val="6"/>
                <w:szCs w:val="6"/>
                <w:color w:val="auto"/>
              </w:rPr>
            </w:pPr>
          </w:p>
        </w:tc>
        <w:tc>
          <w:tcPr>
            <w:tcW w:w="920" w:type="dxa"/>
            <w:vAlign w:val="bottom"/>
            <w:vMerge w:val="continue"/>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56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82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Revolver</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12/29/2026</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SOFR+475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257</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12/29/2026</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1,544</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(31 )</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08/04/2028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 - Third Out</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05/06/2028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12.33 %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SOFR+700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8,840</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7,385</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7,381</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Purchaser, Inc. - Fourth Out</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05/06/2028</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12.33 %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SOFR+700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4,760</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646</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643</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05/02/2024</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4,051</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3,988</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07/01/2029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11.10 %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SOFR+575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4,925</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4,852</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4,790</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02/07/2030</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11.56 %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SOFR+625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6,878</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6,878</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02/07/2030</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 Revolver</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01/31/2028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SOFR+650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01/31/2028</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60"/>
        </w:trPr>
        <w:tc>
          <w:tcPr>
            <w:tcW w:w="2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09/17/2026</w:t>
            </w:r>
          </w:p>
        </w:tc>
        <w:tc>
          <w:tcPr>
            <w:tcW w:w="2460" w:type="dxa"/>
            <w:vAlign w:val="bottom"/>
            <w:tcBorders>
              <w:bottom w:val="single" w:sz="8" w:color="CCECFF"/>
            </w:tcBorders>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11.75 %</w:t>
            </w:r>
          </w:p>
        </w:tc>
        <w:tc>
          <w:tcPr>
            <w:tcW w:w="1000" w:type="dxa"/>
            <w:vAlign w:val="bottom"/>
            <w:tcBorders>
              <w:bottom w:val="single" w:sz="8" w:color="CCECFF"/>
            </w:tcBorders>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SOFR+640</w:t>
            </w:r>
          </w:p>
        </w:tc>
        <w:tc>
          <w:tcPr>
            <w:tcW w:w="9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5,761</w:t>
            </w:r>
          </w:p>
        </w:tc>
        <w:tc>
          <w:tcPr>
            <w:tcW w:w="240" w:type="dxa"/>
            <w:vAlign w:val="bottom"/>
            <w:tcBorders>
              <w:bottom w:val="single" w:sz="8" w:color="CCECFF"/>
            </w:tcBorders>
            <w:shd w:val="clear" w:color="auto" w:fill="CCECFF"/>
          </w:tcPr>
          <w:p>
            <w:pPr>
              <w:spacing w:after="0"/>
              <w:rPr>
                <w:sz w:val="13"/>
                <w:szCs w:val="13"/>
                <w:color w:val="auto"/>
              </w:rPr>
            </w:pPr>
          </w:p>
        </w:tc>
        <w:tc>
          <w:tcPr>
            <w:tcW w:w="5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5,721</w:t>
            </w:r>
          </w:p>
        </w:tc>
        <w:tc>
          <w:tcPr>
            <w:tcW w:w="2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5,724</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09/17/2026</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2,924</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Revolver</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09/17/2026</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13.75 %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SOFR+525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1,373</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1,373</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1,366</w:t>
            </w:r>
          </w:p>
        </w:tc>
        <w:tc>
          <w:tcPr>
            <w:tcW w:w="0" w:type="dxa"/>
            <w:vAlign w:val="bottom"/>
          </w:tcPr>
          <w:p>
            <w:pPr>
              <w:spacing w:after="0"/>
              <w:rPr>
                <w:sz w:val="1"/>
                <w:szCs w:val="1"/>
                <w:color w:val="auto"/>
              </w:rPr>
            </w:pPr>
          </w:p>
        </w:tc>
      </w:tr>
      <w:tr>
        <w:trPr>
          <w:trHeight w:val="18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09/17/2026</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24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10/31/2025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SOFR+665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1,115</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12/04/2025</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11.56 %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SOFR+626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9,653</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9,653</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9,653</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12/01/2029</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Carisk Buyer,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12/01/2029</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02/07/2030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23,000</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22,660</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22,655</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02/07/2026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10,017</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 - Funded Revolver</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02/07/2030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10.80 %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668</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658</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02/07/2030</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06/14/2028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33,884</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33,366</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33,884</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06/14/2028</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11.06 %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SOFR+575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06/14/2028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08/20/2026</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SOFR+619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6,558</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6,501</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6,460</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CF512, Inc.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08/20/2026</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3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auto"/>
              </w:rPr>
              <w:t>02/09/2026</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rPr>
              <w:t>3M SOFR+555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944</w:t>
            </w:r>
          </w:p>
        </w:tc>
        <w:tc>
          <w:tcPr>
            <w:tcW w:w="240" w:type="dxa"/>
            <w:vAlign w:val="bottom"/>
          </w:tcPr>
          <w:p>
            <w:pPr>
              <w:spacing w:after="0"/>
              <w:rPr>
                <w:sz w:val="11"/>
                <w:szCs w:val="11"/>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936</w:t>
            </w:r>
          </w:p>
        </w:tc>
        <w:tc>
          <w:tcPr>
            <w:tcW w:w="200" w:type="dxa"/>
            <w:vAlign w:val="bottom"/>
          </w:tcPr>
          <w:p>
            <w:pPr>
              <w:spacing w:after="0"/>
              <w:rPr>
                <w:sz w:val="11"/>
                <w:szCs w:val="1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944</w:t>
            </w:r>
          </w:p>
        </w:tc>
        <w:tc>
          <w:tcPr>
            <w:tcW w:w="0" w:type="dxa"/>
            <w:vAlign w:val="bottom"/>
          </w:tcPr>
          <w:p>
            <w:pPr>
              <w:spacing w:after="0"/>
              <w:rPr>
                <w:sz w:val="1"/>
                <w:szCs w:val="1"/>
                <w:color w:val="auto"/>
              </w:rPr>
            </w:pPr>
          </w:p>
        </w:tc>
      </w:tr>
      <w:tr>
        <w:trPr>
          <w:trHeight w:val="52"/>
        </w:trPr>
        <w:tc>
          <w:tcPr>
            <w:tcW w:w="25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 - Revolver</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02/07/2025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SOFR+555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02/07/2025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525</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11/30/2028</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12.83 %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SOFR+750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1,854</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w:t>
            </w:r>
          </w:p>
        </w:tc>
        <w:tc>
          <w:tcPr>
            <w:tcW w:w="0" w:type="dxa"/>
            <w:vAlign w:val="bottom"/>
          </w:tcPr>
          <w:p>
            <w:pPr>
              <w:spacing w:after="0"/>
              <w:rPr>
                <w:sz w:val="1"/>
                <w:szCs w:val="1"/>
                <w:color w:val="auto"/>
              </w:rPr>
            </w:pPr>
          </w:p>
        </w:tc>
      </w:tr>
      <w:tr>
        <w:trPr>
          <w:trHeight w:val="20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07/13/2027</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1,875</w:t>
            </w:r>
          </w:p>
        </w:tc>
        <w:tc>
          <w:tcPr>
            <w:tcW w:w="240" w:type="dxa"/>
            <w:vAlign w:val="bottom"/>
          </w:tcPr>
          <w:p>
            <w:pPr>
              <w:spacing w:after="0"/>
              <w:rPr>
                <w:sz w:val="17"/>
                <w:szCs w:val="17"/>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Times New Roman" w:cs="Times New Roman" w:eastAsia="Times New Roman" w:hAnsi="Times New Roman"/>
                <w:sz w:val="10"/>
                <w:szCs w:val="10"/>
                <w:color w:val="auto"/>
              </w:rPr>
              <w:t xml:space="preserve">(75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 - Revolver</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08/16/2027</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SOFR+501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08/16/2027</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08/31/2027</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3M SOFR+585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8,163</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8,095</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8,163</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 - Funded Revolver</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08/31/2027</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11.16 %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SOFR+585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1,551</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1,551</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Dr. Squatch,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08/31/2027</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11/03/2025</w:t>
            </w:r>
          </w:p>
        </w:tc>
        <w:tc>
          <w:tcPr>
            <w:tcW w:w="24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11.71 %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SOFR+640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11/03/2025</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1,783</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12/22/2028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11.56 %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SOFR+625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11,711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11,550</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11,477</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EDS Buyer, LLC-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12/22/2028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5,625</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12/22/2028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1,915</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05/25/2029</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1,656</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03/15/2027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11.43 %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SOFR+610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24,251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24,002</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23,766</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03/15/2027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02/23/2028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12.43 %</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3M SOFR+710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196</w:t>
            </w:r>
          </w:p>
        </w:tc>
        <w:tc>
          <w:tcPr>
            <w:tcW w:w="20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Five Star Buyer, Inc.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02/23/2028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837</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Five Star Buyer, Inc. - Revolver </w:t>
            </w:r>
            <w:r>
              <w:rPr>
                <w:rFonts w:ascii="Times New Roman" w:cs="Times New Roman" w:eastAsia="Times New Roman" w:hAnsi="Times New Roman"/>
                <w:sz w:val="12"/>
                <w:szCs w:val="12"/>
                <w:color w:val="auto"/>
                <w:vertAlign w:val="superscript"/>
              </w:rPr>
              <w:t>(7)</w:t>
            </w:r>
          </w:p>
        </w:tc>
        <w:tc>
          <w:tcPr>
            <w:tcW w:w="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02/23/2028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24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7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05/19/2029</w:t>
            </w:r>
          </w:p>
        </w:tc>
        <w:tc>
          <w:tcPr>
            <w:tcW w:w="24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12.56 %</w:t>
            </w:r>
          </w:p>
        </w:tc>
        <w:tc>
          <w:tcPr>
            <w:tcW w:w="1000" w:type="dxa"/>
            <w:vAlign w:val="bottom"/>
            <w:shd w:val="clear" w:color="auto" w:fill="CCEC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0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620" w:type="dxa"/>
            <w:vAlign w:val="bottom"/>
          </w:tcPr>
          <w:p>
            <w:pPr>
              <w:spacing w:after="0"/>
              <w:rPr>
                <w:sz w:val="10"/>
                <w:szCs w:val="10"/>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1"/>
                <w:szCs w:val="11"/>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08/10/2027</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Distribution</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SOFR+560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886</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878</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877</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 - Revolver</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08/10/2027</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Distribution</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SOFR+560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529</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08/10/2027</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Distribution</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12/31/2026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SOFR+560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550</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12/31/2026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Hills Distribution, Inc. - -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11/07/2025</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Distribution</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9,144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12/17/2026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12/17/2026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1,195</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HV Watterson Holdings,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12/17/2026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05/10/2026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SOFR+640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11,211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11,043</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05/10/2026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(51 )</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09/22/2027</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11/15/2027</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12/07/2024</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21,195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21,195</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12/28/2028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SOFR+685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2,964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2,964</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w:t>
            </w:r>
            <w:r>
              <w:rPr>
                <w:rFonts w:ascii="Times New Roman" w:cs="Times New Roman" w:eastAsia="Times New Roman" w:hAnsi="Times New Roman"/>
                <w:sz w:val="12"/>
                <w:szCs w:val="12"/>
                <w:color w:val="auto"/>
                <w:vertAlign w:val="superscript"/>
              </w:rPr>
              <w:t>(10)</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12/28/2028</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11.31 %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CAD 2,217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1,606</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12/28/2028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226</w:t>
            </w:r>
          </w:p>
        </w:tc>
        <w:tc>
          <w:tcPr>
            <w:tcW w:w="0" w:type="dxa"/>
            <w:vAlign w:val="bottom"/>
          </w:tcPr>
          <w:p>
            <w:pPr>
              <w:spacing w:after="0"/>
              <w:rPr>
                <w:sz w:val="1"/>
                <w:szCs w:val="1"/>
                <w:color w:val="auto"/>
              </w:rPr>
            </w:pPr>
          </w:p>
        </w:tc>
      </w:tr>
      <w:tr>
        <w:trPr>
          <w:trHeight w:val="133"/>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Infinity Home Services Holdco, Inc. - 1st Amendment Unfunded</w:t>
            </w:r>
          </w:p>
        </w:tc>
        <w:tc>
          <w:tcPr>
            <w:tcW w:w="7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Term Loan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11/17/2025</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9,384</w:t>
            </w:r>
          </w:p>
        </w:tc>
        <w:tc>
          <w:tcPr>
            <w:tcW w:w="220" w:type="dxa"/>
            <w:vAlign w:val="bottom"/>
          </w:tcPr>
          <w:p>
            <w:pPr>
              <w:spacing w:after="0"/>
              <w:rPr>
                <w:sz w:val="11"/>
                <w:szCs w:val="1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12/28/2028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11/01/2026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11.18 %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1,413</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08/27/2026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9,913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9,878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9,814</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08/31/2025</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08/31/2025</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Inventus Power, Inc.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06/30/2025</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7"/>
              </w:rPr>
              <w:t>Electronics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03/03/2028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8,793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8,683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8,705</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 - Revolver</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03/03/2028</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13.00 %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SOFR+450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1,287</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03/03/2028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11/10/2027</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9,127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9,127</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11/10/2026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4,854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02/18/2027</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SOFR+700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2,829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2,792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2,800</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5.1%)</w:t>
            </w: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 - Revolver</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08/16/2026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13.30 %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SOFR+700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2,594</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5.1%)</w:t>
            </w: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08/16/2026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10/31/2025</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11.75 %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SOFR+640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2,042</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2,014</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11/09/2026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SOFR+665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9,039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8,903</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 Revolver</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11/09/2026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36"/>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11/09/2026</w:t>
            </w:r>
          </w:p>
        </w:tc>
        <w:tc>
          <w:tcPr>
            <w:tcW w:w="26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322</w:t>
            </w:r>
          </w:p>
        </w:tc>
        <w:tc>
          <w:tcPr>
            <w:tcW w:w="220" w:type="dxa"/>
            <w:vAlign w:val="bottom"/>
          </w:tcPr>
          <w:p>
            <w:pPr>
              <w:spacing w:after="0"/>
              <w:rPr>
                <w:sz w:val="11"/>
                <w:szCs w:val="11"/>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04"/>
        </w:trPr>
        <w:tc>
          <w:tcPr>
            <w:tcW w:w="26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02/03/2026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SOFR+535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2,187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02/03/2026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02/01/2030</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SOFR+640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565</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07/31/2024</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01/31/2030</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05/31/2028</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12.31 %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4,963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 Revolver</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05/31/2028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SOFR+700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340</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Loving Tan Intermediate II, Inc.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05/31/2028</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05/14/2026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1,826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1,803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1,826</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Mars Acquisition Holdings Corp.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05/14/2026</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MBS Holdings, Inc.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04/16/2027</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07/25/2028</w:t>
            </w:r>
          </w:p>
        </w:tc>
        <w:tc>
          <w:tcPr>
            <w:tcW w:w="26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10.82 %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20,033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19,736</w:t>
            </w:r>
          </w:p>
        </w:tc>
        <w:tc>
          <w:tcPr>
            <w:tcW w:w="0" w:type="dxa"/>
            <w:vAlign w:val="bottom"/>
          </w:tcPr>
          <w:p>
            <w:pPr>
              <w:spacing w:after="0"/>
              <w:rPr>
                <w:sz w:val="1"/>
                <w:szCs w:val="1"/>
                <w:color w:val="auto"/>
              </w:rPr>
            </w:pPr>
          </w:p>
        </w:tc>
      </w:tr>
      <w:tr>
        <w:trPr>
          <w:trHeight w:val="160"/>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 - Revolver</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07/25/2028</w:t>
            </w:r>
          </w:p>
        </w:tc>
        <w:tc>
          <w:tcPr>
            <w:tcW w:w="26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1,158</w:t>
            </w:r>
          </w:p>
        </w:tc>
        <w:tc>
          <w:tcPr>
            <w:tcW w:w="220" w:type="dxa"/>
            <w:vAlign w:val="bottom"/>
            <w:shd w:val="clear" w:color="auto" w:fill="CCECFF"/>
          </w:tcPr>
          <w:p>
            <w:pPr>
              <w:spacing w:after="0"/>
              <w:rPr>
                <w:sz w:val="13"/>
                <w:szCs w:val="13"/>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1,141</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07/25/2028</w:t>
            </w:r>
          </w:p>
        </w:tc>
        <w:tc>
          <w:tcPr>
            <w:tcW w:w="26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1,069</w:t>
            </w:r>
          </w:p>
        </w:tc>
        <w:tc>
          <w:tcPr>
            <w:tcW w:w="22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12/10/2027</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1,932</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1,893</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12/10/2027</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2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10/20/2028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9,924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 - Revolver</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10/20/2028</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412</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Medina Health, LLC -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10/20/2028</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2,358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03/01/2030</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7"/>
              </w:rPr>
              <w:t>Electronics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10.58 %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12,805</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03/01/2030</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7"/>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01/16/2030</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11.08 %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SOFR+590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25,000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24,644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24,750</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01/16/2026</w:t>
            </w:r>
          </w:p>
        </w:tc>
        <w:tc>
          <w:tcPr>
            <w:tcW w:w="26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6,124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01/16/2030</w:t>
            </w:r>
          </w:p>
        </w:tc>
        <w:tc>
          <w:tcPr>
            <w:tcW w:w="26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3,675</w:t>
            </w:r>
          </w:p>
        </w:tc>
        <w:tc>
          <w:tcPr>
            <w:tcW w:w="2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200" w:type="dxa"/>
            <w:vAlign w:val="bottom"/>
          </w:tcPr>
          <w:p>
            <w:pPr>
              <w:spacing w:after="0"/>
              <w:rPr>
                <w:sz w:val="10"/>
                <w:szCs w:val="10"/>
                <w:color w:val="auto"/>
              </w:rPr>
            </w:pPr>
          </w:p>
        </w:tc>
        <w:tc>
          <w:tcPr>
            <w:tcW w:w="1280" w:type="dxa"/>
            <w:vAlign w:val="bottom"/>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280" w:type="dxa"/>
            <w:vAlign w:val="bottom"/>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1"/>
                <w:szCs w:val="11"/>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09/28/2027</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482</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8"/>
              </w:rPr>
              <w:t xml:space="preserve">Municipal Emergency Services, Inc. - Unfunded Term Loan A </w:t>
            </w:r>
            <w:r>
              <w:rPr>
                <w:rFonts w:ascii="Times New Roman" w:cs="Times New Roman" w:eastAsia="Times New Roman" w:hAnsi="Times New Roman"/>
                <w:sz w:val="12"/>
                <w:szCs w:val="12"/>
                <w:color w:val="auto"/>
                <w:w w:val="98"/>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12/16/2024</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9"/>
              </w:rPr>
              <w:t xml:space="preserve">Municipal Emergency Services, Inc. - Unfunded Term Loan B </w:t>
            </w:r>
            <w:r>
              <w:rPr>
                <w:rFonts w:ascii="Times New Roman" w:cs="Times New Roman" w:eastAsia="Times New Roman" w:hAnsi="Times New Roman"/>
                <w:sz w:val="12"/>
                <w:szCs w:val="12"/>
                <w:color w:val="auto"/>
                <w:w w:val="99"/>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12/16/2024</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09/28/2027</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1,880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08/19/2026</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(52 )</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Neptune Flood Incorporated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05/09/2029</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08/31/2029</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5,473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5,370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5,473</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NORA Acquisition, LLC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08/31/2029</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12/29/2029</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10.80 %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2,450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2,413</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05/01/2024</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12/29/2025</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12/29/2029</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09/03/2027</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14.70 %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SOFR+740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4,118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3,212</w:t>
            </w: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2.0%)</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09/03/2027</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12/15/2029</w:t>
            </w:r>
          </w:p>
        </w:tc>
        <w:tc>
          <w:tcPr>
            <w:tcW w:w="22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6,484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6,432</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OSP Embedded Purchaser,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12/15/2029</w:t>
            </w:r>
          </w:p>
        </w:tc>
        <w:tc>
          <w:tcPr>
            <w:tcW w:w="22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05/18/2026</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SOFR+751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13,578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13,472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13,578</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Ox Two,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05/18/2026</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09/30/2028</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09/30/2028</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03/01/2030</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11.09 %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11,310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11,145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11,143</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03/01/2026</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auto"/>
              </w:rPr>
              <w:t>03/01/2030</w:t>
            </w:r>
          </w:p>
        </w:tc>
        <w:tc>
          <w:tcPr>
            <w:tcW w:w="220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11.08 %</w:t>
            </w: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1M SOFR+575</w:t>
            </w: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220" w:type="dxa"/>
            <w:vAlign w:val="bottom"/>
          </w:tcPr>
          <w:p>
            <w:pPr>
              <w:spacing w:after="0"/>
              <w:rPr>
                <w:sz w:val="11"/>
                <w:szCs w:val="11"/>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64"/>
        </w:trPr>
        <w:tc>
          <w:tcPr>
            <w:tcW w:w="2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PCS MIDCO INC - Unfunded Reveolver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03/01/2030</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1,674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11/09/2027</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rPr>
              <w:t>Retail</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07/06/2028</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34,810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34,408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29,762</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Pragmatic Institute, LLC - Unfunded Term Loan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07/06/2028</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7,193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(971 )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 - Revolver</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07/06/2028</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4,795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4,100</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11/19/2026</w:t>
            </w:r>
          </w:p>
        </w:tc>
        <w:tc>
          <w:tcPr>
            <w:tcW w:w="22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1,446</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 Unfunded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08/17/2026</w:t>
            </w:r>
          </w:p>
        </w:tc>
        <w:tc>
          <w:tcPr>
            <w:tcW w:w="22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09/09/2024</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9.72 %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SOFR+440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20,193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20,193</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Questex,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09/09/2024</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 Revolver</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03/31/2025</w:t>
            </w:r>
          </w:p>
        </w:tc>
        <w:tc>
          <w:tcPr>
            <w:tcW w:w="22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Radius Aerospace, Inc.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03/31/2025</w:t>
            </w:r>
          </w:p>
        </w:tc>
        <w:tc>
          <w:tcPr>
            <w:tcW w:w="22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12/18/2025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12/18/2025</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 Revolver</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12/18/2025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12/18/2025</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02/28/2028</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Transportation</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5,833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4,958</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 - Funded Revolver</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01/29/2026</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11.80 %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w:t>
            </w: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Recteq, LLC - Revolver </w:t>
            </w:r>
            <w:r>
              <w:rPr>
                <w:rFonts w:ascii="Times New Roman" w:cs="Times New Roman" w:eastAsia="Times New Roman" w:hAnsi="Times New Roman"/>
                <w:sz w:val="12"/>
                <w:szCs w:val="12"/>
                <w:color w:val="auto"/>
                <w:vertAlign w:val="superscript"/>
              </w:rPr>
              <w:t>(7)</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auto"/>
              </w:rPr>
              <w:t>01/29/2026</w:t>
            </w:r>
          </w:p>
        </w:tc>
        <w:tc>
          <w:tcPr>
            <w:tcW w:w="220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876</w:t>
            </w:r>
          </w:p>
        </w:tc>
        <w:tc>
          <w:tcPr>
            <w:tcW w:w="220" w:type="dxa"/>
            <w:vAlign w:val="bottom"/>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12/20/2024</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11.07 %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SOFR+576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 - Revolver</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06/20/2025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SOFR+510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06/20/2025</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06/15/2029</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 Unfunded Term Loan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06/15/2029</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06/15/2029</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 - Term Loan B</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12/29/2026</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2,254</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 - Term Loan 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12/29/2026</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11.48 %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12/15/2024</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01/03/2025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 Revolver</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12/20/2024</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SOFR+660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1.0%)</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Sargent &amp; Greenleaf Inc.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12/20/2024</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07/14/2025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4,743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4,717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4,649</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5.6%)</w:t>
            </w: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 Revolver</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07/14/2025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5.6%)</w:t>
            </w: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Schlesinger Global, Inc. - 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07/14/2025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 - Revolver</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06/13/2029</w:t>
            </w:r>
          </w:p>
        </w:tc>
        <w:tc>
          <w:tcPr>
            <w:tcW w:w="22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11.49 %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303</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06/13/2029</w:t>
            </w:r>
          </w:p>
        </w:tc>
        <w:tc>
          <w:tcPr>
            <w:tcW w:w="22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4,728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4,586</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Seaway Buyer,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06/13/2029</w:t>
            </w:r>
          </w:p>
        </w:tc>
        <w:tc>
          <w:tcPr>
            <w:tcW w:w="22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2,814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06/21/2027</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11.31 %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SOFR+601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17,685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17,172</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12/18/2027</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SOFR+715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26,017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25,757</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 - Revolver</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12/18/2027</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1M SOFR+715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1,768</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12/18/2027</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12/02/2026</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SOFR+640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3,388</w:t>
            </w:r>
          </w:p>
        </w:tc>
        <w:tc>
          <w:tcPr>
            <w:tcW w:w="0" w:type="dxa"/>
            <w:vAlign w:val="bottom"/>
          </w:tcPr>
          <w:p>
            <w:pPr>
              <w:spacing w:after="0"/>
              <w:rPr>
                <w:sz w:val="1"/>
                <w:szCs w:val="1"/>
                <w:color w:val="auto"/>
              </w:rPr>
            </w:pPr>
          </w:p>
        </w:tc>
      </w:tr>
      <w:tr>
        <w:trPr>
          <w:trHeight w:val="137"/>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 - Unfunded</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Term Loan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02/09/2026</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5,310</w:t>
            </w:r>
          </w:p>
        </w:tc>
        <w:tc>
          <w:tcPr>
            <w:tcW w:w="22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(53 )</w:t>
            </w:r>
          </w:p>
        </w:tc>
        <w:tc>
          <w:tcPr>
            <w:tcW w:w="0" w:type="dxa"/>
            <w:vAlign w:val="bottom"/>
          </w:tcPr>
          <w:p>
            <w:pPr>
              <w:spacing w:after="0"/>
              <w:rPr>
                <w:sz w:val="1"/>
                <w:szCs w:val="1"/>
                <w:color w:val="auto"/>
              </w:rPr>
            </w:pPr>
          </w:p>
        </w:tc>
      </w:tr>
      <w:tr>
        <w:trPr>
          <w:trHeight w:val="133"/>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 - Unfunded</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12/02/2026</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1,043</w:t>
            </w:r>
          </w:p>
        </w:tc>
        <w:tc>
          <w:tcPr>
            <w:tcW w:w="220" w:type="dxa"/>
            <w:vAlign w:val="bottom"/>
          </w:tcPr>
          <w:p>
            <w:pPr>
              <w:spacing w:after="0"/>
              <w:rPr>
                <w:sz w:val="11"/>
                <w:szCs w:val="1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11/23/2028</w:t>
            </w:r>
          </w:p>
        </w:tc>
        <w:tc>
          <w:tcPr>
            <w:tcW w:w="22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10,593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10,593</w:t>
            </w: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Smartronix, LLC - Unfunded Reveolver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11/23/2027</w:t>
            </w:r>
          </w:p>
        </w:tc>
        <w:tc>
          <w:tcPr>
            <w:tcW w:w="22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07/17/2025</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Communications</w:t>
            </w:r>
          </w:p>
        </w:tc>
        <w:tc>
          <w:tcPr>
            <w:tcW w:w="12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03/01/2028</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48"/>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 - Revolver</w:t>
            </w:r>
          </w:p>
        </w:tc>
        <w:tc>
          <w:tcPr>
            <w:tcW w:w="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03/01/2028</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w:t>
            </w:r>
            <w:r>
              <w:rPr>
                <w:rFonts w:ascii="Times New Roman" w:cs="Times New Roman" w:eastAsia="Times New Roman" w:hAnsi="Times New Roman"/>
                <w:sz w:val="12"/>
                <w:szCs w:val="12"/>
                <w:color w:val="auto"/>
                <w:vertAlign w:val="superscript"/>
              </w:rPr>
              <w:t>(7)</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03/01/2025</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2,497</w:t>
            </w:r>
          </w:p>
        </w:tc>
        <w:tc>
          <w:tcPr>
            <w:tcW w:w="2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400" w:type="dxa"/>
            <w:vAlign w:val="bottom"/>
          </w:tcPr>
          <w:p>
            <w:pPr>
              <w:spacing w:after="0"/>
              <w:rPr>
                <w:sz w:val="10"/>
                <w:szCs w:val="10"/>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1"/>
                <w:szCs w:val="11"/>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03/01/2028</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08/16/2027</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SOFR+590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1,288</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08/16/2027</w:t>
            </w:r>
          </w:p>
        </w:tc>
        <w:tc>
          <w:tcPr>
            <w:tcW w:w="240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7,068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08/16/2027</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01/26/2029</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11.83 %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8,849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01/26/2029</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07/27/2026</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2,544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2,514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2,544</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07/27/2026</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08/30/2027</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 - Revolver</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08/30/2027</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SOFR+610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08/30/2027</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11/22/2025</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7"/>
              </w:rPr>
              <w:t>Food</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SOFR+560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5,919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5,994</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12/29/2028</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2"/>
              </w:rPr>
              <w:t>Machinery</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11.33 %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4,907</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TransGo, LLC -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12/29/2028</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2"/>
              </w:rPr>
              <w:t>Machinery</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06/16/2025</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11.73 %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SOFR+640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06/16/2025</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 (New Issue) - Revolver</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04/01/2026</w:t>
            </w:r>
          </w:p>
        </w:tc>
        <w:tc>
          <w:tcPr>
            <w:tcW w:w="240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11.02 %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Tyto Athene, LLC -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04/01/2026</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06/15/2026</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SOFR+665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4,178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4,178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4,128</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 xml:space="preserve">Urology Management Holdings, Inc. - Unfunded Term Loan </w:t>
            </w:r>
            <w:r>
              <w:rPr>
                <w:rFonts w:ascii="Times New Roman" w:cs="Times New Roman" w:eastAsia="Times New Roman" w:hAnsi="Times New Roman"/>
                <w:sz w:val="12"/>
                <w:szCs w:val="12"/>
                <w:color w:val="auto"/>
                <w:w w:val="99"/>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05/27/2024</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3,033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12/01/2029</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12,350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12,167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12,251</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12/01/2025</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 - Revolver</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12/01/2029</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Watchtower Intermediate, LLC. - Revolver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12/01/2029</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5,040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02/27/2027</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4,608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(7)</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02/27/2027</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02/27/2027</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12/31/2024</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12.68 %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2,532</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1.5%)</w:t>
            </w: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576,343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567,102</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Debt—12.7% of Net Assets</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06/29/2027</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SOFR+915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17,379</w:t>
            </w:r>
          </w:p>
        </w:tc>
        <w:tc>
          <w:tcPr>
            <w:tcW w:w="0" w:type="dxa"/>
            <w:vAlign w:val="bottom"/>
          </w:tcPr>
          <w:p>
            <w:pPr>
              <w:spacing w:after="0"/>
              <w:rPr>
                <w:sz w:val="1"/>
                <w:szCs w:val="1"/>
                <w:color w:val="auto"/>
              </w:rPr>
            </w:pPr>
          </w:p>
        </w:tc>
      </w:tr>
      <w:tr>
        <w:trPr>
          <w:trHeight w:val="172"/>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07/28/2030</w:t>
            </w:r>
          </w:p>
        </w:tc>
        <w:tc>
          <w:tcPr>
            <w:tcW w:w="240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jc w:val="right"/>
              <w:ind w:right="72"/>
              <w:spacing w:after="0" w:line="173" w:lineRule="exact"/>
              <w:rPr>
                <w:sz w:val="20"/>
                <w:szCs w:val="20"/>
                <w:color w:val="auto"/>
              </w:rPr>
            </w:pPr>
            <w:r>
              <w:rPr>
                <w:rFonts w:ascii="Times New Roman" w:cs="Times New Roman" w:eastAsia="Times New Roman" w:hAnsi="Times New Roman"/>
                <w:sz w:val="10"/>
                <w:szCs w:val="10"/>
                <w:color w:val="auto"/>
              </w:rPr>
              <w:t xml:space="preserve">14.43 </w:t>
            </w:r>
            <w:r>
              <w:rPr>
                <w:rFonts w:ascii="Times New Roman" w:cs="Times New Roman" w:eastAsia="Times New Roman" w:hAnsi="Times New Roman"/>
                <w:sz w:val="19"/>
                <w:szCs w:val="19"/>
                <w:color w:val="auto"/>
                <w:vertAlign w:val="subscript"/>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SOFR+910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20" w:type="dxa"/>
            <w:vAlign w:val="bottom"/>
            <w:shd w:val="clear" w:color="auto" w:fill="CCECFF"/>
          </w:tcPr>
          <w:p>
            <w:pPr>
              <w:spacing w:after="0"/>
              <w:rPr>
                <w:sz w:val="14"/>
                <w:szCs w:val="14"/>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7,682</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08/19/2029</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13.06 %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SOFR+776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6,600</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07/06/2026</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13.68 %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1M SOFR+835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32,261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31,688</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02/04/2027</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15.43 %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3M SOFR+1010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65,127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63,737</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Debt/Corporate Notes—9.8% of Net Assets</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01/15/2029</w:t>
            </w:r>
          </w:p>
        </w:tc>
        <w:tc>
          <w:tcPr>
            <w:tcW w:w="240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15.07 %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SOFR+976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22,219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21,615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22,352</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(6), (11)</w:t>
            </w:r>
          </w:p>
        </w:tc>
        <w:tc>
          <w:tcPr>
            <w:tcW w:w="9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05/26/2027</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26,860</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07/26/2024</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12.31 %</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3M SOFR+700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55,045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49,212</w:t>
            </w:r>
          </w:p>
        </w:tc>
        <w:tc>
          <w:tcPr>
            <w:tcW w:w="0" w:type="dxa"/>
            <w:vAlign w:val="bottom"/>
          </w:tcPr>
          <w:p>
            <w:pPr>
              <w:spacing w:after="0"/>
              <w:rPr>
                <w:sz w:val="1"/>
                <w:szCs w:val="1"/>
                <w:color w:val="auto"/>
              </w:rPr>
            </w:pPr>
          </w:p>
        </w:tc>
      </w:tr>
      <w:tr>
        <w:trPr>
          <w:trHeight w:val="112"/>
        </w:trPr>
        <w:tc>
          <w:tcPr>
            <w:tcW w:w="258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Preferred Equity/Partnership Interests—2.6% of Net Assets</w:t>
            </w:r>
          </w:p>
        </w:tc>
        <w:tc>
          <w:tcPr>
            <w:tcW w:w="940" w:type="dxa"/>
            <w:vAlign w:val="bottom"/>
            <w:shd w:val="clear" w:color="auto" w:fill="CCECFF"/>
          </w:tcPr>
          <w:p>
            <w:pPr>
              <w:spacing w:after="0"/>
              <w:rPr>
                <w:sz w:val="9"/>
                <w:szCs w:val="9"/>
                <w:color w:val="auto"/>
              </w:rPr>
            </w:pPr>
          </w:p>
        </w:tc>
        <w:tc>
          <w:tcPr>
            <w:tcW w:w="2400" w:type="dxa"/>
            <w:vAlign w:val="bottom"/>
            <w:shd w:val="clear" w:color="auto" w:fill="CCECFF"/>
          </w:tcPr>
          <w:p>
            <w:pPr>
              <w:spacing w:after="0"/>
              <w:rPr>
                <w:sz w:val="9"/>
                <w:szCs w:val="9"/>
                <w:color w:val="auto"/>
              </w:rPr>
            </w:pPr>
          </w:p>
        </w:tc>
        <w:tc>
          <w:tcPr>
            <w:tcW w:w="11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b w:val="1"/>
                <w:bCs w:val="1"/>
                <w:color w:val="auto"/>
              </w:rPr>
              <w:t>(6)</w:t>
            </w:r>
          </w:p>
        </w:tc>
        <w:tc>
          <w:tcPr>
            <w:tcW w:w="940" w:type="dxa"/>
            <w:vAlign w:val="bottom"/>
            <w:tcBorders>
              <w:bottom w:val="single" w:sz="8" w:color="CCECFF"/>
            </w:tcBorders>
            <w:shd w:val="clear" w:color="auto" w:fill="CCECFF"/>
          </w:tcPr>
          <w:p>
            <w:pPr>
              <w:spacing w:after="0"/>
              <w:rPr>
                <w:sz w:val="8"/>
                <w:szCs w:val="8"/>
                <w:color w:val="auto"/>
              </w:rPr>
            </w:pPr>
          </w:p>
        </w:tc>
        <w:tc>
          <w:tcPr>
            <w:tcW w:w="2400" w:type="dxa"/>
            <w:vAlign w:val="bottom"/>
            <w:tcBorders>
              <w:bottom w:val="single" w:sz="8" w:color="CCECFF"/>
            </w:tcBorders>
            <w:shd w:val="clear" w:color="auto" w:fill="CCECFF"/>
          </w:tcPr>
          <w:p>
            <w:pPr>
              <w:spacing w:after="0"/>
              <w:rPr>
                <w:sz w:val="8"/>
                <w:szCs w:val="8"/>
                <w:color w:val="auto"/>
              </w:rPr>
            </w:pPr>
          </w:p>
        </w:tc>
        <w:tc>
          <w:tcPr>
            <w:tcW w:w="1120" w:type="dxa"/>
            <w:vAlign w:val="bottom"/>
            <w:tcBorders>
              <w:bottom w:val="single" w:sz="8" w:color="CCECFF"/>
            </w:tcBorders>
            <w:shd w:val="clear" w:color="auto" w:fill="CCECFF"/>
          </w:tcPr>
          <w:p>
            <w:pPr>
              <w:spacing w:after="0"/>
              <w:rPr>
                <w:sz w:val="8"/>
                <w:szCs w:val="8"/>
                <w:color w:val="auto"/>
              </w:rPr>
            </w:pPr>
          </w:p>
        </w:tc>
        <w:tc>
          <w:tcPr>
            <w:tcW w:w="1000" w:type="dxa"/>
            <w:vAlign w:val="bottom"/>
            <w:tcBorders>
              <w:bottom w:val="single" w:sz="8" w:color="CCECFF"/>
            </w:tcBorders>
            <w:shd w:val="clear" w:color="auto" w:fill="CCECFF"/>
          </w:tcPr>
          <w:p>
            <w:pPr>
              <w:spacing w:after="0"/>
              <w:rPr>
                <w:sz w:val="8"/>
                <w:szCs w:val="8"/>
                <w:color w:val="auto"/>
              </w:rPr>
            </w:pPr>
          </w:p>
        </w:tc>
        <w:tc>
          <w:tcPr>
            <w:tcW w:w="8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50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76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AFC Acquisitions, Inc.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9"/>
              </w:rPr>
              <w:t>Distribution</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944</w:t>
            </w:r>
          </w:p>
        </w:tc>
        <w:tc>
          <w:tcPr>
            <w:tcW w:w="0" w:type="dxa"/>
            <w:vAlign w:val="bottom"/>
          </w:tcPr>
          <w:p>
            <w:pPr>
              <w:spacing w:after="0"/>
              <w:rPr>
                <w:sz w:val="1"/>
                <w:szCs w:val="1"/>
                <w:color w:val="auto"/>
              </w:rPr>
            </w:pPr>
          </w:p>
        </w:tc>
      </w:tr>
      <w:tr>
        <w:trPr>
          <w:trHeight w:val="164"/>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40" w:type="dxa"/>
            <w:vAlign w:val="bottom"/>
            <w:tcBorders>
              <w:bottom w:val="single" w:sz="8" w:color="CCECFF"/>
            </w:tcBorders>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Borders>
              <w:bottom w:val="single" w:sz="8" w:color="CCECFF"/>
            </w:tcBorders>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CFF"/>
            </w:tcBorders>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2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1,161</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9"/>
              </w:rPr>
              <w:t>Distribution</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5,618</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9"/>
              </w:rPr>
              <w:t>Gauge Schlesinger Coinvest, LLC - Class A-2 Preferred Equity</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835</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(9)</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1,629</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689</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vMerge w:val="restart"/>
          </w:tcPr>
          <w:p>
            <w:pPr>
              <w:jc w:val="center"/>
              <w:ind w:right="1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20" w:type="dxa"/>
            <w:vAlign w:val="bottom"/>
          </w:tcPr>
          <w:p>
            <w:pPr>
              <w:spacing w:after="0"/>
              <w:rPr>
                <w:sz w:val="11"/>
                <w:szCs w:val="11"/>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163</w:t>
            </w: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rPr>
              <w:t>Retail</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(8),(11)</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7"/>
              </w:rPr>
              <w:t>Food</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 Preferred</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13,123</w:t>
            </w: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Common Equity/Partnership Interests/Warrants—24.7% of</w:t>
            </w:r>
          </w:p>
        </w:tc>
        <w:tc>
          <w:tcPr>
            <w:tcW w:w="940" w:type="dxa"/>
            <w:vAlign w:val="bottom"/>
            <w:shd w:val="clear" w:color="auto" w:fill="CCECFF"/>
          </w:tcPr>
          <w:p>
            <w:pPr>
              <w:spacing w:after="0"/>
              <w:rPr>
                <w:sz w:val="11"/>
                <w:szCs w:val="11"/>
                <w:color w:val="auto"/>
              </w:rPr>
            </w:pPr>
          </w:p>
        </w:tc>
        <w:tc>
          <w:tcPr>
            <w:tcW w:w="240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Net Assets </w:t>
            </w:r>
            <w:r>
              <w:rPr>
                <w:rFonts w:ascii="Times New Roman" w:cs="Times New Roman" w:eastAsia="Times New Roman" w:hAnsi="Times New Roman"/>
                <w:sz w:val="12"/>
                <w:szCs w:val="12"/>
                <w:b w:val="1"/>
                <w:bCs w:val="1"/>
                <w:color w:val="auto"/>
                <w:vertAlign w:val="superscript"/>
              </w:rPr>
              <w:t>(6)</w:t>
            </w:r>
          </w:p>
        </w:tc>
        <w:tc>
          <w:tcPr>
            <w:tcW w:w="940" w:type="dxa"/>
            <w:vAlign w:val="bottom"/>
            <w:shd w:val="clear" w:color="auto" w:fill="CCECFF"/>
          </w:tcPr>
          <w:p>
            <w:pPr>
              <w:spacing w:after="0"/>
              <w:rPr>
                <w:sz w:val="11"/>
                <w:szCs w:val="11"/>
                <w:color w:val="auto"/>
              </w:rPr>
            </w:pPr>
          </w:p>
        </w:tc>
        <w:tc>
          <w:tcPr>
            <w:tcW w:w="240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2,193,038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c>
          <w:tcPr>
            <w:tcW w:w="0" w:type="dxa"/>
            <w:vAlign w:val="bottom"/>
          </w:tcPr>
          <w:p>
            <w:pPr>
              <w:spacing w:after="0"/>
              <w:rPr>
                <w:sz w:val="1"/>
                <w:szCs w:val="1"/>
                <w:color w:val="auto"/>
              </w:rPr>
            </w:pP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773,800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04/10/2024</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77,190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2"/>
              </w:rPr>
              <w:t>Machinery</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1,800</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(9)</w:t>
            </w: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2580" w:type="dxa"/>
            <w:vAlign w:val="bottom"/>
          </w:tcPr>
          <w:p>
            <w:pPr>
              <w:spacing w:after="0"/>
              <w:rPr>
                <w:sz w:val="10"/>
                <w:szCs w:val="1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w w:val="99"/>
              </w:rPr>
              <w:t>Maturity /</w:t>
            </w:r>
          </w:p>
        </w:tc>
        <w:tc>
          <w:tcPr>
            <w:tcW w:w="3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360" w:type="dxa"/>
            <w:vAlign w:val="bottom"/>
          </w:tcPr>
          <w:p>
            <w:pPr>
              <w:spacing w:after="0"/>
              <w:rPr>
                <w:sz w:val="10"/>
                <w:szCs w:val="10"/>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5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w w:val="95"/>
              </w:rPr>
              <w:t>Expiration</w:t>
            </w:r>
          </w:p>
        </w:tc>
        <w:tc>
          <w:tcPr>
            <w:tcW w:w="300" w:type="dxa"/>
            <w:vAlign w:val="bottom"/>
          </w:tcPr>
          <w:p>
            <w:pPr>
              <w:spacing w:after="0"/>
              <w:rPr>
                <w:sz w:val="11"/>
                <w:szCs w:val="11"/>
                <w:color w:val="auto"/>
              </w:rPr>
            </w:pP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360" w:type="dxa"/>
            <w:vAlign w:val="bottom"/>
          </w:tcPr>
          <w:p>
            <w:pPr>
              <w:spacing w:after="0"/>
              <w:rPr>
                <w:sz w:val="11"/>
                <w:szCs w:val="11"/>
                <w:color w:val="auto"/>
              </w:rPr>
            </w:pPr>
          </w:p>
        </w:tc>
        <w:tc>
          <w:tcPr>
            <w:tcW w:w="104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1"/>
                <w:szCs w:val="11"/>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780" w:type="dxa"/>
            <w:vAlign w:val="bottom"/>
          </w:tcPr>
          <w:p>
            <w:pPr>
              <w:jc w:val="right"/>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Auto Sector</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2,489,777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3,752</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(7)</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Auto Sector</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510,223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Media</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8,096</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1,287</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Auto Sector</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Parent, L.P. - Common Equity</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169,231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8"/>
              </w:rPr>
              <w:t>Education</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1,680,300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Media</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782,891</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783</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9"/>
              </w:rPr>
              <w:t>Distribution</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27,778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5,588</w:t>
            </w:r>
          </w:p>
        </w:tc>
      </w:tr>
      <w:tr>
        <w:trPr>
          <w:trHeight w:val="140"/>
        </w:trPr>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863,299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1,539</w:t>
            </w:r>
          </w:p>
        </w:tc>
      </w:tr>
      <w:tr>
        <w:trPr>
          <w:trHeight w:val="144"/>
        </w:trPr>
        <w:tc>
          <w:tcPr>
            <w:tcW w:w="2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 (9)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277,745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2,385</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EDS Topco, LP </w:t>
            </w:r>
            <w:r>
              <w:rPr>
                <w:rFonts w:ascii="Times New Roman" w:cs="Times New Roman" w:eastAsia="Times New Roman" w:hAnsi="Times New Roman"/>
                <w:sz w:val="12"/>
                <w:szCs w:val="12"/>
                <w:color w:val="auto"/>
                <w:vertAlign w:val="superscript"/>
              </w:rPr>
              <w:t>(11)</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937,500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960</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1,619</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14,578</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1,335</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5,150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20,882</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2,018</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649</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386</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992,792</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651</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4,727</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462,827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578</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GMP Hills, LP - Common Equity</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9"/>
              </w:rPr>
              <w:t>Distribution</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3,747,470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3,747</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3,935</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2"/>
              </w:rPr>
              <w:t>Insurance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746</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1,350</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1,122,549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1,123</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1,060</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377,451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1,643</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Other Media</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2,558</w:t>
            </w:r>
          </w:p>
        </w:tc>
      </w:tr>
      <w:tr>
        <w:trPr>
          <w:trHeight w:val="148"/>
        </w:trPr>
        <w:tc>
          <w:tcPr>
            <w:tcW w:w="2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(Data Axle, Inc.)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4,859</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504</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940</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162,445</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ITC Rumba, LLC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375,675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(Cano Health,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r>
      <w:tr>
        <w:trPr>
          <w:trHeight w:val="192"/>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Kentucky Racing Holdco, LLC (Warrants)</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70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2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1,735</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1,937</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798</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363,656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851,087</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996</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335,590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4,453</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Auto Sector</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1,545,460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Auto Sector</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1,017,840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Intermidiate Holdings II, Inc.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Media</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30,993</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7"/>
              </w:rPr>
              <w:t>Electronics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594,300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9"/>
              </w:rPr>
              <w:t>Distribution</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5,802</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1,429,480</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1,612</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1,257</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1,404</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 Haven Saints Equity Holdings, LP</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418</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3,261</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(Tyto Athene, LLC)</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7"/>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8"/>
              </w:rPr>
              <w:t>OceanSound Discovery Equity, LP (Holdco Sands Intermediate,</w:t>
            </w:r>
          </w:p>
        </w:tc>
        <w:tc>
          <w:tcPr>
            <w:tcW w:w="560" w:type="dxa"/>
            <w:vAlign w:val="bottom"/>
            <w:shd w:val="clear" w:color="auto" w:fill="CCECFF"/>
          </w:tcPr>
          <w:p>
            <w:pPr>
              <w:spacing w:after="0"/>
              <w:rPr>
                <w:sz w:val="11"/>
                <w:szCs w:val="11"/>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r>
      <w:tr>
        <w:trPr>
          <w:trHeight w:val="132"/>
        </w:trPr>
        <w:tc>
          <w:tcPr>
            <w:tcW w:w="258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LLC) </w:t>
            </w:r>
            <w:r>
              <w:rPr>
                <w:rFonts w:ascii="Times New Roman" w:cs="Times New Roman" w:eastAsia="Times New Roman" w:hAnsi="Times New Roman"/>
                <w:sz w:val="12"/>
                <w:szCs w:val="12"/>
                <w:color w:val="auto"/>
                <w:vertAlign w:val="superscript"/>
              </w:rPr>
              <w:t>(9)</w:t>
            </w:r>
          </w:p>
        </w:tc>
        <w:tc>
          <w:tcPr>
            <w:tcW w:w="5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2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9"/>
              </w:rPr>
              <w:t>Distribution</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691,666</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690</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603</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(7)</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9"/>
              </w:rPr>
              <w:t>Distribution</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58,334</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870,536</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Parent, LP</w:t>
            </w:r>
          </w:p>
        </w:tc>
        <w:tc>
          <w:tcPr>
            <w:tcW w:w="560" w:type="dxa"/>
            <w:vAlign w:val="bottom"/>
          </w:tcPr>
          <w:p>
            <w:pPr>
              <w:spacing w:after="0"/>
              <w:rPr>
                <w:sz w:val="12"/>
                <w:szCs w:val="1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70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421,304</w:t>
            </w:r>
          </w:p>
        </w:tc>
        <w:tc>
          <w:tcPr>
            <w:tcW w:w="22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700" w:type="dxa"/>
            <w:vAlign w:val="bottom"/>
            <w:shd w:val="clear" w:color="auto" w:fill="CCECFF"/>
          </w:tcPr>
          <w:p>
            <w:pPr>
              <w:spacing w:after="0"/>
              <w:rPr>
                <w:sz w:val="12"/>
                <w:szCs w:val="12"/>
                <w:color w:val="auto"/>
              </w:rPr>
            </w:pPr>
          </w:p>
        </w:tc>
        <w:tc>
          <w:tcPr>
            <w:tcW w:w="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12,269,640</w:t>
            </w:r>
          </w:p>
        </w:tc>
        <w:tc>
          <w:tcPr>
            <w:tcW w:w="22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12,270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12,765</w:t>
            </w: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56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rPr>
              <w:t>Retail</w:t>
            </w:r>
          </w:p>
        </w:tc>
        <w:tc>
          <w:tcPr>
            <w:tcW w:w="7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80" w:type="dxa"/>
            <w:vAlign w:val="bottom"/>
          </w:tcPr>
          <w:p>
            <w:pPr>
              <w:spacing w:after="0"/>
              <w:rPr>
                <w:sz w:val="10"/>
                <w:szCs w:val="10"/>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200" w:type="dxa"/>
            <w:vAlign w:val="bottom"/>
          </w:tcPr>
          <w:p>
            <w:pPr>
              <w:spacing w:after="0"/>
              <w:rPr>
                <w:sz w:val="10"/>
                <w:szCs w:val="10"/>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3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Quad (U.S.) Co-Invest, L.P.</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3,557</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(7),(9)</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RFMG Parent, LP</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1,271</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(Rancho Health MSO, Inc.)</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Seaway Topco, LP</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2,259</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 L2 Holdings, LLC</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SSC Dominion Holdings, LLC</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Electronics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3,004</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Class B (US Dominion, Inc.)</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StellPen Holdings, LLC</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(CF512, Inc.)</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(9)</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427</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Co-Invest, LP - Common Equity</w:t>
            </w:r>
          </w:p>
        </w:tc>
        <w:tc>
          <w:tcPr>
            <w:tcW w:w="980" w:type="dxa"/>
            <w:vAlign w:val="bottom"/>
          </w:tcPr>
          <w:p>
            <w:pPr>
              <w:spacing w:after="0"/>
              <w:rPr>
                <w:sz w:val="12"/>
                <w:szCs w:val="12"/>
                <w:color w:val="auto"/>
              </w:rPr>
            </w:pP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6,475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540,587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1,013</w:t>
            </w:r>
          </w:p>
        </w:tc>
        <w:tc>
          <w:tcPr>
            <w:tcW w:w="0" w:type="dxa"/>
            <w:vAlign w:val="bottom"/>
          </w:tcPr>
          <w:p>
            <w:pPr>
              <w:spacing w:after="0"/>
              <w:rPr>
                <w:sz w:val="1"/>
                <w:szCs w:val="1"/>
                <w:color w:val="auto"/>
              </w:rPr>
            </w:pPr>
          </w:p>
        </w:tc>
      </w:tr>
      <w:tr>
        <w:trPr>
          <w:trHeight w:val="136"/>
        </w:trPr>
        <w:tc>
          <w:tcPr>
            <w:tcW w:w="24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(7), (9)</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354,857</w:t>
            </w:r>
          </w:p>
        </w:tc>
        <w:tc>
          <w:tcPr>
            <w:tcW w:w="200" w:type="dxa"/>
            <w:vAlign w:val="bottom"/>
          </w:tcPr>
          <w:p>
            <w:pPr>
              <w:spacing w:after="0"/>
              <w:rPr>
                <w:sz w:val="11"/>
                <w:szCs w:val="11"/>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2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 (11)</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Food</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TWD Parent Holdings, LLC</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701</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Partners Co., L.P.</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1,111,111</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1,056</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(9)</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Electronics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1,241,935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1,285</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(9)</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3,715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3,952</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(9)</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4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Wildcat Parent, LP</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Electronics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2,314</w:t>
            </w:r>
          </w:p>
        </w:tc>
        <w:tc>
          <w:tcPr>
            <w:tcW w:w="200" w:type="dxa"/>
            <w:vAlign w:val="bottom"/>
          </w:tcPr>
          <w:p>
            <w:pPr>
              <w:spacing w:after="0"/>
              <w:rPr>
                <w:sz w:val="11"/>
                <w:szCs w:val="11"/>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98</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796</w:t>
            </w:r>
          </w:p>
        </w:tc>
        <w:tc>
          <w:tcPr>
            <w:tcW w:w="0" w:type="dxa"/>
            <w:vAlign w:val="bottom"/>
          </w:tcPr>
          <w:p>
            <w:pPr>
              <w:spacing w:after="0"/>
              <w:rPr>
                <w:sz w:val="1"/>
                <w:szCs w:val="1"/>
                <w:color w:val="auto"/>
              </w:rPr>
            </w:pPr>
          </w:p>
        </w:tc>
      </w:tr>
      <w:tr>
        <w:trPr>
          <w:trHeight w:val="76"/>
        </w:trPr>
        <w:tc>
          <w:tcPr>
            <w:tcW w:w="24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(Wildcat Buyerco, Inc.)</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110,101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123,732</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US Government Securities—11.9% of Net Assets</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05/07/2024</w:t>
            </w: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5.40 %</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60,000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59,696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59,685</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98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59,696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59,685</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w:t>
            </w:r>
          </w:p>
        </w:tc>
        <w:tc>
          <w:tcPr>
            <w:tcW w:w="9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Portfolio Companies</w:t>
            </w:r>
          </w:p>
        </w:tc>
        <w:tc>
          <w:tcPr>
            <w:tcW w:w="9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876,349</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876,591</w:t>
            </w: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Investments in Non-Controlled, Affiliated Portfolio Companies—7.4% of Net</w:t>
            </w: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5"/>
                <w:szCs w:val="15"/>
                <w:b w:val="1"/>
                <w:bCs w:val="1"/>
                <w:color w:val="auto"/>
                <w:vertAlign w:val="subscript"/>
              </w:rPr>
              <w:t>Assets</w:t>
            </w:r>
            <w:r>
              <w:rPr>
                <w:rFonts w:ascii="Times New Roman" w:cs="Times New Roman" w:eastAsia="Times New Roman" w:hAnsi="Times New Roman"/>
                <w:sz w:val="5"/>
                <w:szCs w:val="5"/>
                <w:b w:val="1"/>
                <w:bCs w:val="1"/>
                <w:color w:val="auto"/>
              </w:rPr>
              <w:t xml:space="preserve"> (1), (2)</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Debt—2.0% of Net Assets</w:t>
            </w: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(6)</w:t>
            </w:r>
          </w:p>
        </w:tc>
        <w:tc>
          <w:tcPr>
            <w:tcW w:w="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03/01/2029</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2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9,289</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6,874</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Walker Edison Furniture Company, LLC - Unfunded Term</w:t>
            </w:r>
          </w:p>
        </w:tc>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03/01/2029</w:t>
            </w:r>
          </w:p>
        </w:tc>
        <w:tc>
          <w:tcPr>
            <w:tcW w:w="2200" w:type="dxa"/>
            <w:vAlign w:val="bottom"/>
          </w:tcPr>
          <w:p>
            <w:pPr>
              <w:spacing w:after="0"/>
              <w:rPr>
                <w:sz w:val="11"/>
                <w:szCs w:val="11"/>
                <w:color w:val="auto"/>
              </w:rPr>
            </w:pP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Loan</w:t>
            </w:r>
            <w:r>
              <w:rPr>
                <w:rFonts w:ascii="Times New Roman" w:cs="Times New Roman" w:eastAsia="Times New Roman" w:hAnsi="Times New Roman"/>
                <w:sz w:val="5"/>
                <w:szCs w:val="5"/>
                <w:color w:val="auto"/>
              </w:rPr>
              <w:t xml:space="preserve"> (6), (7)</w:t>
            </w:r>
          </w:p>
        </w:tc>
        <w:tc>
          <w:tcPr>
            <w:tcW w:w="980" w:type="dxa"/>
            <w:vAlign w:val="bottom"/>
          </w:tcPr>
          <w:p>
            <w:pPr>
              <w:spacing w:after="0"/>
              <w:rPr>
                <w:sz w:val="11"/>
                <w:szCs w:val="11"/>
                <w:color w:val="auto"/>
              </w:rPr>
            </w:pPr>
          </w:p>
        </w:tc>
        <w:tc>
          <w:tcPr>
            <w:tcW w:w="22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24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1,208</w:t>
            </w:r>
          </w:p>
        </w:tc>
        <w:tc>
          <w:tcPr>
            <w:tcW w:w="200" w:type="dxa"/>
            <w:vAlign w:val="bottom"/>
          </w:tcPr>
          <w:p>
            <w:pPr>
              <w:spacing w:after="0"/>
              <w:rPr>
                <w:sz w:val="11"/>
                <w:szCs w:val="1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(314 )</w:t>
            </w:r>
          </w:p>
        </w:tc>
        <w:tc>
          <w:tcPr>
            <w:tcW w:w="0" w:type="dxa"/>
            <w:vAlign w:val="bottom"/>
          </w:tcPr>
          <w:p>
            <w:pPr>
              <w:spacing w:after="0"/>
              <w:rPr>
                <w:sz w:val="1"/>
                <w:szCs w:val="1"/>
                <w:color w:val="auto"/>
              </w:rPr>
            </w:pPr>
          </w:p>
        </w:tc>
      </w:tr>
      <w:tr>
        <w:trPr>
          <w:trHeight w:val="14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 xml:space="preserve">Walker Edison Furniture Company LLC - Junior Revolver </w:t>
            </w:r>
            <w:r>
              <w:rPr>
                <w:rFonts w:ascii="Times New Roman" w:cs="Times New Roman" w:eastAsia="Times New Roman" w:hAnsi="Times New Roman"/>
                <w:sz w:val="12"/>
                <w:szCs w:val="12"/>
                <w:color w:val="auto"/>
                <w:w w:val="99"/>
                <w:vertAlign w:val="superscript"/>
              </w:rPr>
              <w:t>(6)</w:t>
            </w:r>
          </w:p>
        </w:tc>
        <w:tc>
          <w:tcPr>
            <w:tcW w:w="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03/01/2029</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2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9,893</w:t>
            </w:r>
          </w:p>
        </w:tc>
        <w:tc>
          <w:tcPr>
            <w:tcW w:w="0" w:type="dxa"/>
            <w:vAlign w:val="bottom"/>
          </w:tcPr>
          <w:p>
            <w:pPr>
              <w:spacing w:after="0"/>
              <w:rPr>
                <w:sz w:val="1"/>
                <w:szCs w:val="1"/>
                <w:color w:val="auto"/>
              </w:rPr>
            </w:pPr>
          </w:p>
        </w:tc>
      </w:tr>
      <w:tr>
        <w:trPr>
          <w:trHeight w:val="135"/>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Interests—5.4% of Net</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CECFF"/>
          </w:tcPr>
          <w:p>
            <w:pPr>
              <w:spacing w:after="0" w:line="134" w:lineRule="exact"/>
              <w:rPr>
                <w:sz w:val="20"/>
                <w:szCs w:val="20"/>
                <w:color w:val="auto"/>
              </w:rPr>
            </w:pPr>
            <w:r>
              <w:rPr>
                <w:rFonts w:ascii="Times New Roman" w:cs="Times New Roman" w:eastAsia="Times New Roman" w:hAnsi="Times New Roman"/>
                <w:sz w:val="10"/>
                <w:szCs w:val="10"/>
                <w:b w:val="1"/>
                <w:bCs w:val="1"/>
                <w:color w:val="auto"/>
              </w:rPr>
              <w:t>Assets</w:t>
            </w:r>
            <w:r>
              <w:rPr>
                <w:rFonts w:ascii="Times New Roman" w:cs="Times New Roman" w:eastAsia="Times New Roman" w:hAnsi="Times New Roman"/>
                <w:sz w:val="12"/>
                <w:szCs w:val="12"/>
                <w:b w:val="1"/>
                <w:bCs w:val="1"/>
                <w:color w:val="auto"/>
                <w:vertAlign w:val="superscript"/>
              </w:rPr>
              <w:t>(6)</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5,887,236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32,791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26,083</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1,194</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 Partnership Interests</w:t>
            </w: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33,709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27,277</w:t>
            </w:r>
          </w:p>
        </w:tc>
        <w:tc>
          <w:tcPr>
            <w:tcW w:w="0" w:type="dxa"/>
            <w:vAlign w:val="bottom"/>
          </w:tcPr>
          <w:p>
            <w:pPr>
              <w:spacing w:after="0"/>
              <w:rPr>
                <w:sz w:val="1"/>
                <w:szCs w:val="1"/>
                <w:color w:val="auto"/>
              </w:rPr>
            </w:pPr>
          </w:p>
        </w:tc>
      </w:tr>
      <w:tr>
        <w:trPr>
          <w:trHeight w:val="135"/>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Interests/Warrants—0.0%</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CECFF"/>
          </w:tcPr>
          <w:p>
            <w:pPr>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of Net Assets </w:t>
            </w:r>
            <w:r>
              <w:rPr>
                <w:rFonts w:ascii="Times New Roman" w:cs="Times New Roman" w:eastAsia="Times New Roman" w:hAnsi="Times New Roman"/>
                <w:sz w:val="12"/>
                <w:szCs w:val="12"/>
                <w:b w:val="1"/>
                <w:bCs w:val="1"/>
                <w:color w:val="auto"/>
                <w:vertAlign w:val="superscript"/>
              </w:rPr>
              <w:t>(6)</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7,444,347</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Walker Edison Furniture</w:t>
            </w:r>
          </w:p>
        </w:tc>
        <w:tc>
          <w:tcPr>
            <w:tcW w:w="9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2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2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72,917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6,787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98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55,854</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425450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312" w:right="78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280" w:type="dxa"/>
        <w:tblCellMar>
          <w:top w:w="0" w:type="dxa"/>
          <w:left w:w="0" w:type="dxa"/>
          <w:bottom w:w="0" w:type="dxa"/>
          <w:right w:w="0" w:type="dxa"/>
        </w:tblCellMar>
      </w:tblPr>
      <w:tr>
        <w:trPr>
          <w:trHeight w:val="120"/>
        </w:trPr>
        <w:tc>
          <w:tcPr>
            <w:tcW w:w="2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380" w:type="dxa"/>
            <w:vAlign w:val="bottom"/>
          </w:tcPr>
          <w:p>
            <w:pPr>
              <w:spacing w:after="0"/>
              <w:rPr>
                <w:sz w:val="10"/>
                <w:szCs w:val="10"/>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80" w:type="dxa"/>
            <w:vAlign w:val="bottom"/>
          </w:tcPr>
          <w:p>
            <w:pPr>
              <w:spacing w:after="0"/>
              <w:rPr>
                <w:sz w:val="10"/>
                <w:szCs w:val="10"/>
                <w:color w:val="auto"/>
              </w:rPr>
            </w:pPr>
          </w:p>
        </w:tc>
        <w:tc>
          <w:tcPr>
            <w:tcW w:w="122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240" w:type="dxa"/>
            <w:vAlign w:val="bottom"/>
          </w:tcPr>
          <w:p>
            <w:pPr>
              <w:spacing w:after="0"/>
              <w:rPr>
                <w:sz w:val="10"/>
                <w:szCs w:val="10"/>
                <w:color w:val="auto"/>
              </w:rPr>
            </w:pPr>
          </w:p>
        </w:tc>
        <w:tc>
          <w:tcPr>
            <w:tcW w:w="7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1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240" w:type="dxa"/>
            <w:vAlign w:val="bottom"/>
          </w:tcPr>
          <w:p>
            <w:pPr>
              <w:spacing w:after="0"/>
              <w:rPr>
                <w:sz w:val="11"/>
                <w:szCs w:val="11"/>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3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CFF"/>
          </w:tcPr>
          <w:p>
            <w:pPr>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Companies—64.7% of Net Assets </w:t>
            </w:r>
            <w:r>
              <w:rPr>
                <w:rFonts w:ascii="Times New Roman" w:cs="Times New Roman" w:eastAsia="Times New Roman" w:hAnsi="Times New Roman"/>
                <w:sz w:val="12"/>
                <w:szCs w:val="12"/>
                <w:b w:val="1"/>
                <w:bCs w:val="1"/>
                <w:color w:val="auto"/>
                <w:vertAlign w:val="superscript"/>
              </w:rPr>
              <w:t>(1), (2)</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Debt—20.3% of Net Assets</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1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03/15/2027</w:t>
            </w:r>
          </w:p>
        </w:tc>
        <w:tc>
          <w:tcPr>
            <w:tcW w:w="20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12.31 %</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SOFR+700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41,547</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56,879</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52,484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6.8%)</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MidOcean JF Holdings Corp.</w:t>
            </w:r>
          </w:p>
        </w:tc>
        <w:tc>
          <w:tcPr>
            <w:tcW w:w="1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07/31/2026</w:t>
            </w:r>
          </w:p>
        </w:tc>
        <w:tc>
          <w:tcPr>
            <w:tcW w:w="20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2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11.36 %</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SOFR+605</w:t>
            </w: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49,875</w:t>
            </w: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49,228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49,127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106,107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101,611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Debt—0.0% of Net Assets</w:t>
            </w:r>
          </w:p>
        </w:tc>
        <w:tc>
          <w:tcPr>
            <w:tcW w:w="100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Subordinated Debt—23.1% of Net Assets</w:t>
            </w:r>
          </w:p>
        </w:tc>
        <w:tc>
          <w:tcPr>
            <w:tcW w:w="100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10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07/31/2027</w:t>
            </w:r>
          </w:p>
        </w:tc>
        <w:tc>
          <w:tcPr>
            <w:tcW w:w="20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13.31 %</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SOFR+800</w:t>
            </w:r>
          </w:p>
        </w:tc>
        <w:tc>
          <w:tcPr>
            <w:tcW w:w="240" w:type="dxa"/>
            <w:vAlign w:val="bottom"/>
          </w:tcPr>
          <w:p>
            <w:pPr>
              <w:spacing w:after="0"/>
              <w:rPr>
                <w:sz w:val="12"/>
                <w:szCs w:val="12"/>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115,886</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115,886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115,886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00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115,886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115,886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Common Equity—21.3% of Net Assets </w:t>
            </w:r>
            <w:r>
              <w:rPr>
                <w:rFonts w:ascii="Times New Roman" w:cs="Times New Roman" w:eastAsia="Times New Roman" w:hAnsi="Times New Roman"/>
                <w:sz w:val="12"/>
                <w:szCs w:val="12"/>
                <w:b w:val="1"/>
                <w:bCs w:val="1"/>
                <w:color w:val="auto"/>
                <w:vertAlign w:val="superscript"/>
              </w:rPr>
              <w:t>(6)</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10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2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950</w:t>
            </w: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JF Intermediate, LLC</w:t>
            </w:r>
          </w:p>
        </w:tc>
        <w:tc>
          <w:tcPr>
            <w:tcW w:w="10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220" w:type="dxa"/>
            <w:vAlign w:val="bottom"/>
          </w:tcPr>
          <w:p>
            <w:pPr>
              <w:spacing w:after="0"/>
              <w:rPr>
                <w:sz w:val="12"/>
                <w:szCs w:val="12"/>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43,918</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10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2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67,373,319</w:t>
            </w: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67,436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72,558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72,056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294,049</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324,470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Investments—246.9% of Net Assets</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1,226,252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Equivalents—7.1% of Net Assets</w:t>
            </w:r>
          </w:p>
        </w:tc>
        <w:tc>
          <w:tcPr>
            <w:tcW w:w="1000" w:type="dxa"/>
            <w:vAlign w:val="bottom"/>
            <w:tcBorders>
              <w:bottom w:val="single" w:sz="8" w:color="CCECFF"/>
            </w:tcBorders>
            <w:shd w:val="clear" w:color="auto" w:fill="CCECFF"/>
          </w:tcPr>
          <w:p>
            <w:pPr>
              <w:spacing w:after="0"/>
              <w:rPr>
                <w:sz w:val="15"/>
                <w:szCs w:val="15"/>
                <w:color w:val="auto"/>
              </w:rPr>
            </w:pPr>
          </w:p>
        </w:tc>
        <w:tc>
          <w:tcPr>
            <w:tcW w:w="2080" w:type="dxa"/>
            <w:vAlign w:val="bottom"/>
            <w:tcBorders>
              <w:bottom w:val="single" w:sz="8" w:color="CCECFF"/>
            </w:tcBorders>
            <w:shd w:val="clear" w:color="auto" w:fill="CCECFF"/>
          </w:tcPr>
          <w:p>
            <w:pPr>
              <w:spacing w:after="0"/>
              <w:rPr>
                <w:sz w:val="15"/>
                <w:szCs w:val="15"/>
                <w:color w:val="auto"/>
              </w:rPr>
            </w:pPr>
          </w:p>
        </w:tc>
        <w:tc>
          <w:tcPr>
            <w:tcW w:w="12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100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12,907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w w:val="99"/>
              </w:rPr>
              <w:t>Total Investments and Cash Equivalents—254% of Net</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99"/>
              </w:rPr>
              <w:t>1,261,661</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1,273,649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CCEC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Assets</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vMerge w:val="continue"/>
            <w:shd w:val="clear" w:color="auto" w:fill="CCECFF"/>
          </w:tcPr>
          <w:p>
            <w:pPr>
              <w:spacing w:after="0"/>
              <w:rPr>
                <w:sz w:val="11"/>
                <w:szCs w:val="11"/>
                <w:color w:val="auto"/>
              </w:rPr>
            </w:pPr>
          </w:p>
        </w:tc>
        <w:tc>
          <w:tcPr>
            <w:tcW w:w="420" w:type="dxa"/>
            <w:vAlign w:val="bottom"/>
            <w:vMerge w:val="continue"/>
            <w:shd w:val="clear" w:color="auto" w:fill="CCECFF"/>
          </w:tcPr>
          <w:p>
            <w:pPr>
              <w:spacing w:after="0"/>
              <w:rPr>
                <w:sz w:val="11"/>
                <w:szCs w:val="11"/>
                <w:color w:val="auto"/>
              </w:rPr>
            </w:pPr>
          </w:p>
        </w:tc>
        <w:tc>
          <w:tcPr>
            <w:tcW w:w="280" w:type="dxa"/>
            <w:vAlign w:val="bottom"/>
            <w:gridSpan w:val="2"/>
            <w:vMerge w:val="continue"/>
            <w:shd w:val="clear" w:color="auto" w:fill="CCECFF"/>
          </w:tcPr>
          <w:p>
            <w:pPr>
              <w:spacing w:after="0"/>
              <w:rPr>
                <w:sz w:val="11"/>
                <w:szCs w:val="11"/>
                <w:color w:val="auto"/>
              </w:rPr>
            </w:pPr>
          </w:p>
        </w:tc>
        <w:tc>
          <w:tcPr>
            <w:tcW w:w="640" w:type="dxa"/>
            <w:vAlign w:val="bottom"/>
            <w:vMerge w:val="continue"/>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380" w:type="dxa"/>
            <w:vAlign w:val="bottom"/>
            <w:tcBorders>
              <w:top w:val="single" w:sz="8" w:color="CCEC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Liabilities in Excess of Other Assets—(154.0%) of Net</w:t>
            </w:r>
          </w:p>
        </w:tc>
        <w:tc>
          <w:tcPr>
            <w:tcW w:w="1000" w:type="dxa"/>
            <w:vAlign w:val="bottom"/>
            <w:tcBorders>
              <w:top w:val="single" w:sz="8" w:color="CCECFF"/>
            </w:tcBorders>
          </w:tcPr>
          <w:p>
            <w:pPr>
              <w:spacing w:after="0"/>
              <w:rPr>
                <w:sz w:val="9"/>
                <w:szCs w:val="9"/>
                <w:color w:val="auto"/>
              </w:rPr>
            </w:pPr>
          </w:p>
        </w:tc>
        <w:tc>
          <w:tcPr>
            <w:tcW w:w="2080" w:type="dxa"/>
            <w:vAlign w:val="bottom"/>
            <w:tcBorders>
              <w:top w:val="single" w:sz="8" w:color="CCECFF"/>
            </w:tcBorders>
          </w:tcPr>
          <w:p>
            <w:pPr>
              <w:spacing w:after="0"/>
              <w:rPr>
                <w:sz w:val="9"/>
                <w:szCs w:val="9"/>
                <w:color w:val="auto"/>
              </w:rPr>
            </w:pPr>
          </w:p>
        </w:tc>
        <w:tc>
          <w:tcPr>
            <w:tcW w:w="1220" w:type="dxa"/>
            <w:vAlign w:val="bottom"/>
            <w:tcBorders>
              <w:top w:val="single" w:sz="8" w:color="CCECFF"/>
            </w:tcBorders>
          </w:tcPr>
          <w:p>
            <w:pPr>
              <w:spacing w:after="0"/>
              <w:rPr>
                <w:sz w:val="9"/>
                <w:szCs w:val="9"/>
                <w:color w:val="auto"/>
              </w:rPr>
            </w:pPr>
          </w:p>
        </w:tc>
        <w:tc>
          <w:tcPr>
            <w:tcW w:w="840" w:type="dxa"/>
            <w:vAlign w:val="bottom"/>
            <w:tcBorders>
              <w:top w:val="single" w:sz="8" w:color="CCECFF"/>
            </w:tcBorders>
          </w:tcPr>
          <w:p>
            <w:pPr>
              <w:spacing w:after="0"/>
              <w:rPr>
                <w:sz w:val="9"/>
                <w:szCs w:val="9"/>
                <w:color w:val="auto"/>
              </w:rPr>
            </w:pPr>
          </w:p>
        </w:tc>
        <w:tc>
          <w:tcPr>
            <w:tcW w:w="240" w:type="dxa"/>
            <w:vAlign w:val="bottom"/>
            <w:tcBorders>
              <w:top w:val="single" w:sz="8" w:color="CCECFF"/>
            </w:tcBorders>
          </w:tcPr>
          <w:p>
            <w:pPr>
              <w:spacing w:after="0"/>
              <w:rPr>
                <w:sz w:val="9"/>
                <w:szCs w:val="9"/>
                <w:color w:val="auto"/>
              </w:rPr>
            </w:pPr>
          </w:p>
        </w:tc>
        <w:tc>
          <w:tcPr>
            <w:tcW w:w="740" w:type="dxa"/>
            <w:vAlign w:val="bottom"/>
            <w:tcBorders>
              <w:top w:val="single" w:sz="8" w:color="CCEC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Borders>
              <w:top w:val="single" w:sz="8" w:color="CCEC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CECFF"/>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(772,120 )</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1000" w:type="dxa"/>
            <w:vAlign w:val="bottom"/>
            <w:tcBorders>
              <w:bottom w:val="single" w:sz="8" w:color="CCECFF"/>
            </w:tcBorders>
            <w:shd w:val="clear" w:color="auto" w:fill="CCECFF"/>
          </w:tcPr>
          <w:p>
            <w:pPr>
              <w:spacing w:after="0"/>
              <w:rPr>
                <w:sz w:val="16"/>
                <w:szCs w:val="16"/>
                <w:color w:val="auto"/>
              </w:rPr>
            </w:pPr>
          </w:p>
        </w:tc>
        <w:tc>
          <w:tcPr>
            <w:tcW w:w="2080" w:type="dxa"/>
            <w:vAlign w:val="bottom"/>
            <w:tcBorders>
              <w:bottom w:val="single" w:sz="8" w:color="CCECFF"/>
            </w:tcBorders>
            <w:shd w:val="clear" w:color="auto" w:fill="CCECFF"/>
          </w:tcPr>
          <w:p>
            <w:pPr>
              <w:spacing w:after="0"/>
              <w:rPr>
                <w:sz w:val="16"/>
                <w:szCs w:val="16"/>
                <w:color w:val="auto"/>
              </w:rPr>
            </w:pPr>
          </w:p>
        </w:tc>
        <w:tc>
          <w:tcPr>
            <w:tcW w:w="122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7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42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501,529</w:t>
            </w:r>
          </w:p>
        </w:tc>
        <w:tc>
          <w:tcPr>
            <w:tcW w:w="1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700"/>
        <w:spacing w:after="0" w:line="288" w:lineRule="auto"/>
        <w:rPr>
          <w:sz w:val="20"/>
          <w:szCs w:val="20"/>
          <w:color w:val="auto"/>
        </w:rPr>
      </w:pPr>
      <w:r>
        <w:rPr>
          <w:rFonts w:ascii="Times New Roman" w:cs="Times New Roman" w:eastAsia="Times New Roman" w:hAnsi="Times New Roman"/>
          <w:sz w:val="10"/>
          <w:szCs w:val="10"/>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(10)Par / Shares amount is denominated in British Pounds (£) and in Canadian (CAD) as denoted.</w:t>
      </w:r>
    </w:p>
    <w:p>
      <w:pPr>
        <w:spacing w:after="0" w:line="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78% of the Company’s total assets and non-qualifying assets represent 22% of the Company’s total assets.</w:t>
      </w: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31"/>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—165.4% of Net Assets </w:t>
            </w:r>
            <w:r>
              <w:rPr>
                <w:rFonts w:ascii="Times New Roman" w:cs="Times New Roman" w:eastAsia="Times New Roman" w:hAnsi="Times New Roman"/>
                <w:sz w:val="12"/>
                <w:szCs w:val="12"/>
                <w:b w:val="1"/>
                <w:bCs w:val="1"/>
                <w:color w:val="auto"/>
                <w:vertAlign w:val="superscript"/>
              </w:rPr>
              <w:t>(1), (2)</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Debt—93.2% of Net Assets</w:t>
            </w: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5,144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5,073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2,962</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36"/>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10.77 %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1,330</w:t>
            </w: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1,330</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1,327</w:t>
            </w:r>
          </w:p>
        </w:tc>
        <w:tc>
          <w:tcPr>
            <w:tcW w:w="0" w:type="dxa"/>
            <w:vAlign w:val="bottom"/>
          </w:tcPr>
          <w:p>
            <w:pPr>
              <w:spacing w:after="0"/>
              <w:rPr>
                <w:sz w:val="1"/>
                <w:szCs w:val="1"/>
                <w:color w:val="auto"/>
              </w:rPr>
            </w:pPr>
          </w:p>
        </w:tc>
      </w:tr>
      <w:tr>
        <w:trPr>
          <w:trHeight w:val="64"/>
        </w:trPr>
        <w:tc>
          <w:tcPr>
            <w:tcW w:w="30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21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08/03/2029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line="216" w:lineRule="exact"/>
              <w:rPr>
                <w:sz w:val="20"/>
                <w:szCs w:val="20"/>
                <w:color w:val="auto"/>
              </w:rPr>
            </w:pPr>
            <w:r>
              <w:rPr>
                <w:rFonts w:ascii="Times New Roman" w:cs="Times New Roman" w:eastAsia="Times New Roman" w:hAnsi="Times New Roman"/>
                <w:sz w:val="10"/>
                <w:szCs w:val="10"/>
                <w:color w:val="auto"/>
              </w:rPr>
              <w:t xml:space="preserve">11.62 </w:t>
            </w:r>
            <w:r>
              <w:rPr>
                <w:rFonts w:ascii="Times New Roman" w:cs="Times New Roman" w:eastAsia="Times New Roman" w:hAnsi="Times New Roman"/>
                <w:sz w:val="19"/>
                <w:szCs w:val="19"/>
                <w:color w:val="auto"/>
                <w:vertAlign w:val="superscript"/>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8,090</w:t>
            </w:r>
          </w:p>
        </w:tc>
        <w:tc>
          <w:tcPr>
            <w:tcW w:w="260" w:type="dxa"/>
            <w:vAlign w:val="bottom"/>
            <w:shd w:val="clear" w:color="auto" w:fill="CCECFF"/>
          </w:tcPr>
          <w:p>
            <w:pPr>
              <w:spacing w:after="0"/>
              <w:rPr>
                <w:sz w:val="18"/>
                <w:szCs w:val="18"/>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7,970</w:t>
            </w: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8,009</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08/04/2028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11/02/2023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3,924</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1,823</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12/04/2025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34,056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6,460</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07/13/2027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11/30/2028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8,276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8,276</w:t>
            </w:r>
          </w:p>
        </w:tc>
        <w:tc>
          <w:tcPr>
            <w:tcW w:w="0" w:type="dxa"/>
            <w:vAlign w:val="bottom"/>
          </w:tcPr>
          <w:p>
            <w:pPr>
              <w:spacing w:after="0"/>
              <w:rPr>
                <w:sz w:val="1"/>
                <w:szCs w:val="1"/>
                <w:color w:val="auto"/>
              </w:rPr>
            </w:pPr>
          </w:p>
        </w:tc>
      </w:tr>
      <w:tr>
        <w:trPr>
          <w:trHeight w:val="137"/>
        </w:trPr>
        <w:tc>
          <w:tcPr>
            <w:tcW w:w="30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05/25/2029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23,888</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1,856</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4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Pr>
          <w:p>
            <w:pPr>
              <w:spacing w:after="0"/>
              <w:rPr>
                <w:sz w:val="11"/>
                <w:szCs w:val="11"/>
                <w:color w:val="auto"/>
              </w:rPr>
            </w:pPr>
          </w:p>
        </w:tc>
        <w:tc>
          <w:tcPr>
            <w:tcW w:w="6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780" w:type="dxa"/>
            <w:vAlign w:val="bottom"/>
          </w:tcPr>
          <w:p>
            <w:pPr>
              <w:jc w:val="right"/>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33"/>
        </w:trPr>
        <w:tc>
          <w:tcPr>
            <w:tcW w:w="28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 - Unfunded Term Loan</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837</w:t>
            </w:r>
          </w:p>
        </w:tc>
        <w:tc>
          <w:tcPr>
            <w:tcW w:w="2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37"/>
        </w:trPr>
        <w:tc>
          <w:tcPr>
            <w:tcW w:w="28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05/19/2029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12/08/2023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11/23/2027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3,941</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11,237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3,116</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09/22/2027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2,341</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12/07/2023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20,300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20,100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20,300</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12/28/2028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SOFR+685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Unfunded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12/28/2023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12/28/2028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11/01/2026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1,416</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Infolinks Media Buyco, LLC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11/01/2023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 -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08/01/2029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15,467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15,106</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Integrated Data Services -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9,880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9,781</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 - Unfunded Term Loan</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06/30/2025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13,234</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12,969</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06/30/2025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370</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12/20/2023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SOFR+810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9,402</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9,409</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9,173</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8,957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9,035</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4,854</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02/18/2027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2,764</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08/16/2026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1,977</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2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200" w:type="dxa"/>
            <w:vAlign w:val="bottom"/>
          </w:tcPr>
          <w:p>
            <w:pPr>
              <w:spacing w:after="0"/>
              <w:rPr>
                <w:sz w:val="11"/>
                <w:szCs w:val="11"/>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9,085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8,964</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8,971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1,933</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02/03/2026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2,176</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02/03/2026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 - Unfunded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07/31/2024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01/31/2030</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03/31/2029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5,436</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5,381</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4,892</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342</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w:t>
            </w:r>
          </w:p>
        </w:tc>
        <w:tc>
          <w:tcPr>
            <w:tcW w:w="2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1,807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04/16/2027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04/16/2027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19,835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19,685</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1,016</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1,188</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 Term Loan I</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1,038</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 Term Loan II</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8,922</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960" w:type="dxa"/>
            <w:vAlign w:val="bottom"/>
          </w:tcPr>
          <w:p>
            <w:pPr>
              <w:spacing w:after="0"/>
              <w:rPr>
                <w:sz w:val="10"/>
                <w:szCs w:val="10"/>
                <w:color w:val="auto"/>
              </w:rPr>
            </w:pPr>
          </w:p>
        </w:tc>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484</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474</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A</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06/16/2023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B</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12/16/2024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Neptune Flood Incorporated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05/09/2029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20,090</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4,012</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13,445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13,340</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 -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Pequod Merger Sub,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11/09/2027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34,547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33,412</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20,193</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Radius Aerospace,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 - Unfunded Term Loan</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5,791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01/29/2026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03/10/2025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11,582</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01/03/2025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56"/>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4,647</w:t>
            </w: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4,611</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4,496</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0.5%)</w:t>
            </w: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4,752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 (Revolver)</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06/21/2027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17,636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17,331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29,681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29,236</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05/03/2024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07/17/2025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w:t>
            </w:r>
          </w:p>
        </w:tc>
        <w:tc>
          <w:tcPr>
            <w:tcW w:w="0" w:type="dxa"/>
            <w:vAlign w:val="bottom"/>
          </w:tcPr>
          <w:p>
            <w:pPr>
              <w:spacing w:after="0"/>
              <w:rPr>
                <w:sz w:val="1"/>
                <w:szCs w:val="1"/>
                <w:color w:val="auto"/>
              </w:rPr>
            </w:pPr>
          </w:p>
        </w:tc>
      </w:tr>
      <w:tr>
        <w:trPr>
          <w:trHeight w:val="16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2,684</w:t>
            </w: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33"/>
        </w:trPr>
        <w:tc>
          <w:tcPr>
            <w:tcW w:w="28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(7)</w:t>
            </w:r>
          </w:p>
        </w:tc>
        <w:tc>
          <w:tcPr>
            <w:tcW w:w="10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10/31/2025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2,262</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06/16/2025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w:t>
            </w: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04/01/2026</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364</w:t>
            </w:r>
          </w:p>
        </w:tc>
        <w:tc>
          <w:tcPr>
            <w:tcW w:w="260" w:type="dxa"/>
            <w:vAlign w:val="bottom"/>
          </w:tcPr>
          <w:p>
            <w:pPr>
              <w:spacing w:after="0"/>
              <w:rPr>
                <w:sz w:val="9"/>
                <w:szCs w:val="9"/>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 - Unfunded Term Loan</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2,504</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472,975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468,007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Securities—19.9% of Net Assets</w:t>
            </w:r>
          </w:p>
        </w:tc>
        <w:tc>
          <w:tcPr>
            <w:tcW w:w="10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10/19/2023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10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20" w:type="dxa"/>
            <w:vAlign w:val="bottom"/>
          </w:tcPr>
          <w:p>
            <w:pPr>
              <w:spacing w:after="0"/>
              <w:rPr>
                <w:sz w:val="10"/>
                <w:szCs w:val="10"/>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Debt—16.0% of Net Assets</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Ascensus Holdings, Inc.</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08/02/2028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05/07/2029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13,821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06/29/2027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SOFR+915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17,469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07/28/2030</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SOFR+910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08/19/2029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07/06/2026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31,525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02/04/2027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80,396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Debt/Corporate Notes—10.7% of Net Assets</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01/15/2029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SOFR+976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21,597</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(11)</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32,300</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53,897</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Interests—2.6%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 - Preferred Equity</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64,967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(8),(11)</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13,280</w:t>
            </w: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Interests/Warrants—23.0% of Net</w:t>
            </w:r>
          </w:p>
        </w:tc>
        <w:tc>
          <w:tcPr>
            <w:tcW w:w="90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2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2,193,038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2,340</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04/10/2024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77,190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2,489,777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3,318</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(7)</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510,223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Delta InvestCo LP</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863,299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w:t>
            </w:r>
          </w:p>
        </w:tc>
        <w:tc>
          <w:tcPr>
            <w:tcW w:w="0" w:type="dxa"/>
            <w:vAlign w:val="bottom"/>
          </w:tcPr>
          <w:p>
            <w:pPr>
              <w:spacing w:after="0"/>
              <w:rPr>
                <w:sz w:val="1"/>
                <w:szCs w:val="1"/>
                <w:color w:val="auto"/>
              </w:rPr>
            </w:pPr>
          </w:p>
        </w:tc>
      </w:tr>
      <w:tr>
        <w:trPr>
          <w:trHeight w:val="144"/>
        </w:trPr>
        <w:tc>
          <w:tcPr>
            <w:tcW w:w="29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(9)</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277,745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(7), (9)</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937,500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1,648</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2,060</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2,951</w:t>
            </w:r>
          </w:p>
        </w:tc>
        <w:tc>
          <w:tcPr>
            <w:tcW w:w="0" w:type="dxa"/>
            <w:vAlign w:val="bottom"/>
          </w:tcPr>
          <w:p>
            <w:pPr>
              <w:spacing w:after="0"/>
              <w:rPr>
                <w:sz w:val="1"/>
                <w:szCs w:val="1"/>
                <w:color w:val="auto"/>
              </w:rPr>
            </w:pPr>
          </w:p>
        </w:tc>
      </w:tr>
      <w:tr>
        <w:trPr>
          <w:trHeight w:val="133"/>
        </w:trPr>
        <w:tc>
          <w:tcPr>
            <w:tcW w:w="2920" w:type="dxa"/>
            <w:vAlign w:val="bottom"/>
            <w:shd w:val="clear" w:color="auto" w:fill="CCECFF"/>
          </w:tcPr>
          <w:p>
            <w:pPr>
              <w:spacing w:after="0"/>
              <w:rPr>
                <w:sz w:val="11"/>
                <w:szCs w:val="11"/>
                <w:color w:val="auto"/>
              </w:rPr>
            </w:pP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0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889,376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4,076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462,827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TVC Coinvest,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810,645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2,390</w:t>
            </w:r>
          </w:p>
        </w:tc>
        <w:tc>
          <w:tcPr>
            <w:tcW w:w="0" w:type="dxa"/>
            <w:vAlign w:val="bottom"/>
          </w:tcPr>
          <w:p>
            <w:pPr>
              <w:spacing w:after="0"/>
              <w:rPr>
                <w:sz w:val="1"/>
                <w:szCs w:val="1"/>
                <w:color w:val="auto"/>
              </w:rPr>
            </w:pPr>
          </w:p>
        </w:tc>
      </w:tr>
      <w:tr>
        <w:trPr>
          <w:trHeight w:val="140"/>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(TVC Enterprises, LLC)</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vMerge w:val="restart"/>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32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320" w:type="dxa"/>
            <w:vAlign w:val="bottom"/>
          </w:tcPr>
          <w:p>
            <w:pPr>
              <w:spacing w:after="0"/>
              <w:rPr>
                <w:sz w:val="11"/>
                <w:szCs w:val="11"/>
                <w:color w:val="auto"/>
              </w:rPr>
            </w:pPr>
          </w:p>
        </w:tc>
        <w:tc>
          <w:tcPr>
            <w:tcW w:w="106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675,325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1,778</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1,118,318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381,682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2,327</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(Data Axle, Inc.)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Ironclad Holdco,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(Applied Technical Services,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ITC Infusion Co-invest, LP</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162,445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1,775</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ITC Rumba,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375,675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(Cano Health,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Kentucky Racing Holdco, LLC (Warrants)</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 Stockton Co-Invest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(Any Hour Services)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851,087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335,590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4,452</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929,200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Intermidiate Holdings II,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3,326</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4,430</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NEPRT Parent Holdings,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(Recteq,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Parent Holdings,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 Haven Saints Equity Holdings, LP</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2,133</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(Holdco Sands Intermediate,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446,250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303,750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12,269,640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12,485</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3,461</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(Rancho Health MSO, Inc.)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604</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3,294</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Class B (US Dominion,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(CF512,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405</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536,514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951</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(7), (9)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358,931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 (11)</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880" w:type="dxa"/>
            <w:vAlign w:val="bottom"/>
          </w:tcPr>
          <w:p>
            <w:pPr>
              <w:spacing w:after="0"/>
              <w:rPr>
                <w:sz w:val="10"/>
                <w:szCs w:val="10"/>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Basis Point</w:t>
            </w:r>
          </w:p>
        </w:tc>
        <w:tc>
          <w:tcPr>
            <w:tcW w:w="260" w:type="dxa"/>
            <w:vAlign w:val="bottom"/>
          </w:tcPr>
          <w:p>
            <w:pPr>
              <w:spacing w:after="0"/>
              <w:rPr>
                <w:sz w:val="10"/>
                <w:szCs w:val="10"/>
                <w:color w:val="auto"/>
              </w:rPr>
            </w:pPr>
          </w:p>
        </w:tc>
        <w:tc>
          <w:tcPr>
            <w:tcW w:w="820" w:type="dxa"/>
            <w:vAlign w:val="bottom"/>
            <w:vMerge w:val="restart"/>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Spread Above</w:t>
            </w:r>
          </w:p>
        </w:tc>
        <w:tc>
          <w:tcPr>
            <w:tcW w:w="2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3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260" w:type="dxa"/>
            <w:vAlign w:val="bottom"/>
          </w:tcPr>
          <w:p>
            <w:pPr>
              <w:spacing w:after="0"/>
              <w:rPr>
                <w:sz w:val="11"/>
                <w:szCs w:val="11"/>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1,111,111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3,715,012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(9)</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284,988</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2,314</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95,037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115,477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816,754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830,808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 xml:space="preserve">Investments in Non-Controlled, Affiliated Portfolio Companies—10.9% of Net Assets </w:t>
            </w:r>
            <w:r>
              <w:rPr>
                <w:rFonts w:ascii="Times New Roman" w:cs="Times New Roman" w:eastAsia="Times New Roman" w:hAnsi="Times New Roman"/>
                <w:sz w:val="12"/>
                <w:szCs w:val="12"/>
                <w:b w:val="1"/>
                <w:bCs w:val="1"/>
                <w:color w:val="auto"/>
                <w:w w:val="99"/>
                <w:vertAlign w:val="superscript"/>
              </w:rPr>
              <w:t>(1), (2)</w:t>
            </w: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Debt—2.1%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7,042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Unfunded Term Loan</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Revolver</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3,333</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Interests—6.4% of Net Assets</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5,887,236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0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Common Equity/Partnership Interests/Warrants—2.4% of Net Assets</w:t>
            </w:r>
          </w:p>
        </w:tc>
        <w:tc>
          <w:tcPr>
            <w:tcW w:w="900" w:type="dxa"/>
            <w:vAlign w:val="bottom"/>
            <w:shd w:val="clear" w:color="auto" w:fill="CCECFF"/>
          </w:tcPr>
          <w:p>
            <w:pPr>
              <w:spacing w:after="0"/>
              <w:rPr>
                <w:sz w:val="9"/>
                <w:szCs w:val="9"/>
                <w:color w:val="auto"/>
              </w:rPr>
            </w:pPr>
          </w:p>
        </w:tc>
        <w:tc>
          <w:tcPr>
            <w:tcW w:w="188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b w:val="1"/>
                <w:bCs w:val="1"/>
                <w:color w:val="auto"/>
              </w:rPr>
              <w:t>(6)</w:t>
            </w:r>
          </w:p>
        </w:tc>
        <w:tc>
          <w:tcPr>
            <w:tcW w:w="900" w:type="dxa"/>
            <w:vAlign w:val="bottom"/>
            <w:tcBorders>
              <w:bottom w:val="single" w:sz="8" w:color="CCECFF"/>
            </w:tcBorders>
            <w:shd w:val="clear" w:color="auto" w:fill="CCECFF"/>
          </w:tcPr>
          <w:p>
            <w:pPr>
              <w:spacing w:after="0"/>
              <w:rPr>
                <w:sz w:val="8"/>
                <w:szCs w:val="8"/>
                <w:color w:val="auto"/>
              </w:rPr>
            </w:pPr>
          </w:p>
        </w:tc>
        <w:tc>
          <w:tcPr>
            <w:tcW w:w="1880" w:type="dxa"/>
            <w:vAlign w:val="bottom"/>
            <w:tcBorders>
              <w:bottom w:val="single" w:sz="8" w:color="CCECFF"/>
            </w:tcBorders>
            <w:shd w:val="clear" w:color="auto" w:fill="CCECFF"/>
          </w:tcPr>
          <w:p>
            <w:pPr>
              <w:spacing w:after="0"/>
              <w:rPr>
                <w:sz w:val="8"/>
                <w:szCs w:val="8"/>
                <w:color w:val="auto"/>
              </w:rPr>
            </w:pPr>
          </w:p>
        </w:tc>
        <w:tc>
          <w:tcPr>
            <w:tcW w:w="1020" w:type="dxa"/>
            <w:vAlign w:val="bottom"/>
            <w:tcBorders>
              <w:bottom w:val="single" w:sz="8" w:color="CCECFF"/>
            </w:tcBorders>
            <w:shd w:val="clear" w:color="auto" w:fill="CCECFF"/>
          </w:tcPr>
          <w:p>
            <w:pPr>
              <w:spacing w:after="0"/>
              <w:rPr>
                <w:sz w:val="8"/>
                <w:szCs w:val="8"/>
                <w:color w:val="auto"/>
              </w:rPr>
            </w:pPr>
          </w:p>
        </w:tc>
        <w:tc>
          <w:tcPr>
            <w:tcW w:w="90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7,444,347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72,917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11,703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12,290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55,787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Companies—43.0% of</w:t>
            </w:r>
          </w:p>
        </w:tc>
        <w:tc>
          <w:tcPr>
            <w:tcW w:w="900" w:type="dxa"/>
            <w:vAlign w:val="bottom"/>
            <w:shd w:val="clear" w:color="auto" w:fill="CCECFF"/>
          </w:tcPr>
          <w:p>
            <w:pPr>
              <w:spacing w:after="0"/>
              <w:rPr>
                <w:sz w:val="11"/>
                <w:szCs w:val="11"/>
                <w:color w:val="auto"/>
              </w:rPr>
            </w:pPr>
          </w:p>
        </w:tc>
        <w:tc>
          <w:tcPr>
            <w:tcW w:w="18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Net Assets </w:t>
            </w:r>
            <w:r>
              <w:rPr>
                <w:rFonts w:ascii="Times New Roman" w:cs="Times New Roman" w:eastAsia="Times New Roman" w:hAnsi="Times New Roman"/>
                <w:sz w:val="12"/>
                <w:szCs w:val="12"/>
                <w:b w:val="1"/>
                <w:bCs w:val="1"/>
                <w:color w:val="auto"/>
                <w:vertAlign w:val="superscript"/>
              </w:rPr>
              <w:t>(1), (2)</w:t>
            </w:r>
          </w:p>
        </w:tc>
        <w:tc>
          <w:tcPr>
            <w:tcW w:w="900" w:type="dxa"/>
            <w:vAlign w:val="bottom"/>
            <w:shd w:val="clear" w:color="auto" w:fill="CCECFF"/>
          </w:tcPr>
          <w:p>
            <w:pPr>
              <w:spacing w:after="0"/>
              <w:rPr>
                <w:sz w:val="11"/>
                <w:szCs w:val="11"/>
                <w:color w:val="auto"/>
              </w:rPr>
            </w:pPr>
          </w:p>
        </w:tc>
        <w:tc>
          <w:tcPr>
            <w:tcW w:w="18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Debt—9.8%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03/15/2027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12.21 %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SONIA+700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40,371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 of Net Assets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Mailsouth Inc. </w:t>
            </w:r>
            <w:r>
              <w:rPr>
                <w:rFonts w:ascii="Times New Roman" w:cs="Times New Roman" w:eastAsia="Times New Roman" w:hAnsi="Times New Roman"/>
                <w:sz w:val="12"/>
                <w:szCs w:val="12"/>
                <w:color w:val="auto"/>
                <w:vertAlign w:val="superscript"/>
              </w:rPr>
              <w:t>(6)</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04/23/2025</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14,896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Debt—20.4%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PennantPark Senior Loan Fund, LLC </w:t>
            </w:r>
            <w:r>
              <w:rPr>
                <w:rFonts w:ascii="Times New Roman" w:cs="Times New Roman" w:eastAsia="Times New Roman" w:hAnsi="Times New Roman"/>
                <w:sz w:val="12"/>
                <w:szCs w:val="12"/>
                <w:b w:val="1"/>
                <w:bCs w:val="1"/>
                <w:color w:val="auto"/>
                <w:vertAlign w:val="superscript"/>
              </w:rPr>
              <w:t>(11)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07/31/2027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13.37 %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SOFR+800</w:t>
            </w:r>
          </w:p>
        </w:tc>
        <w:tc>
          <w:tcPr>
            <w:tcW w:w="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102,325</w:t>
            </w: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Common Equity—12.8%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51,151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16,516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PennantPark Senior Loan Fund, LLC </w:t>
            </w:r>
            <w:r>
              <w:rPr>
                <w:rFonts w:ascii="Times New Roman" w:cs="Times New Roman" w:eastAsia="Times New Roman" w:hAnsi="Times New Roman"/>
                <w:sz w:val="12"/>
                <w:szCs w:val="12"/>
                <w:b w:val="1"/>
                <w:bCs w:val="1"/>
                <w:color w:val="auto"/>
                <w:vertAlign w:val="superscript"/>
              </w:rPr>
              <w:t>(11)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58,580,060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75,290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64,468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245,386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216,068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Investments—219.4% of Net Assets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1,117,927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1,101,647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Equivalents—7.7%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38,784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Equivalents—227.1%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1,156,711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1,140,422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Assets—(127.1%) of Net Assets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(638,235 )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700"/>
        <w:spacing w:after="0" w:line="288" w:lineRule="auto"/>
        <w:rPr>
          <w:sz w:val="20"/>
          <w:szCs w:val="20"/>
          <w:color w:val="auto"/>
        </w:rPr>
      </w:pPr>
      <w:r>
        <w:rPr>
          <w:rFonts w:ascii="Times New Roman" w:cs="Times New Roman" w:eastAsia="Times New Roman" w:hAnsi="Times New Roman"/>
          <w:sz w:val="10"/>
          <w:szCs w:val="10"/>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(10)Par / Shares amount is denominated in British Pounds (£) as denoted.</w:t>
      </w:r>
    </w:p>
    <w:p>
      <w:pPr>
        <w:spacing w:after="0" w:line="3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77% of the Company’s total assets and non-qualifying assets represent 23% of the Company’s total assets.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13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 "Administrator"), which provides the administrative services necessary for us to operate. PennantPark Investment, through the Administrator, also provides similar services to SBIC II under a separate administration agreement.</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or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p>
    <w:p>
      <w:pPr>
        <w:spacing w:after="0" w:line="127" w:lineRule="exact"/>
        <w:rPr>
          <w:sz w:val="20"/>
          <w:szCs w:val="20"/>
          <w:color w:val="auto"/>
        </w:rPr>
      </w:pPr>
    </w:p>
    <w:p>
      <w:pPr>
        <w:jc w:val="both"/>
        <w:ind w:right="1520" w:firstLine="420"/>
        <w:spacing w:after="0" w:line="258" w:lineRule="auto"/>
        <w:rPr>
          <w:sz w:val="20"/>
          <w:szCs w:val="20"/>
          <w:color w:val="auto"/>
        </w:rPr>
      </w:pPr>
      <w:r>
        <w:rPr>
          <w:rFonts w:ascii="Times New Roman" w:cs="Times New Roman" w:eastAsia="Times New Roman" w:hAnsi="Times New Roman"/>
          <w:sz w:val="13"/>
          <w:szCs w:val="13"/>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w:t>
      </w:r>
    </w:p>
    <w:p>
      <w:pPr>
        <w:ind w:right="140"/>
        <w:spacing w:after="0" w:line="257" w:lineRule="auto"/>
        <w:rPr>
          <w:sz w:val="20"/>
          <w:szCs w:val="20"/>
          <w:color w:val="auto"/>
        </w:rPr>
      </w:pPr>
      <w:r>
        <w:rPr>
          <w:rFonts w:ascii="Times New Roman" w:cs="Times New Roman" w:eastAsia="Times New Roman" w:hAnsi="Times New Roman"/>
          <w:sz w:val="13"/>
          <w:szCs w:val="13"/>
          <w:color w:val="auto"/>
        </w:rPr>
        <w:t>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w:t>
      </w:r>
    </w:p>
    <w:p>
      <w:pPr>
        <w:spacing w:after="0" w:line="2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3"/>
          <w:szCs w:val="13"/>
          <w:color w:val="auto"/>
        </w:rPr>
        <w:t>Notes is paid semi -annually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general, unsecured obligations and rank equal in right of payment with all of our existing and future senior unsecured indebtedness. The 2026 Notes-2 are effectively</w:t>
      </w:r>
    </w:p>
    <w:p>
      <w:pPr>
        <w:spacing w:after="0" w:line="7"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3"/>
          <w:szCs w:val="13"/>
          <w:color w:val="auto"/>
        </w:rPr>
        <w:t>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0" w:lineRule="exact"/>
        <w:rPr>
          <w:sz w:val="20"/>
          <w:szCs w:val="20"/>
          <w:color w:val="auto"/>
        </w:rPr>
      </w:pPr>
    </w:p>
    <w:p>
      <w:pPr>
        <w:ind w:right="20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In January 2022, we formed PennantPark-TSO Senior Loan Fund II LP, ("PTSF II"), an unconsolidated limited partnership, organized as a Delaware limited partnership. We sold $82.3 million in investments to a wholly -owned subsidiary of PTSF II in exchange for cash in the amount of $75.7 million and an $6.6 million equity interest in PTSF II representing 23.1% of the total outstanding Class A Units of PTSF II. We recognized $0.2 million of realized gain upon the formation of PTSF II. As of March 31, 2024, our capital commitment of $15.0 million is 100% funded and we hold 23.1% of the total outstanding Class A Units of PTSF II and a 4.99% voting interest in the general partner which manages PTSF II.</w:t>
      </w:r>
    </w:p>
    <w:p>
      <w:pPr>
        <w:spacing w:after="0" w:line="127"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2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Restatement of Previously Issued Financial Statement</w:t>
      </w:r>
    </w:p>
    <w:p>
      <w:pPr>
        <w:spacing w:after="0" w:line="165"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March 31, 2023, and the impact of the error correction is reflected on the consolidated statement of cash flows for the six months ended March 31, 2023 as an increase to cash and cash equivalents, beginning of period totaling $2.1 million, an increase to cash and cash equivalents, end of period totaling $3.3 million, and increase in due to affiliates of $1.2 million.</w:t>
      </w:r>
    </w:p>
    <w:p>
      <w:pPr>
        <w:spacing w:after="0" w:line="13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There was no impact from the error correction to total net assets and net asset value per share as reported on the consolidated statement of assets and liabilities as of March 31, 2023. In addition, there was no impact from the error correction on net investment income or net increase (decrease) in net assets resulting from operations in total or on a per common share basis as reported on the consolidated statements of operations for the six months ended March 31, 2023. The corrections related to the prior year comparative cash flow statement amounts were reported in the quarter ended March 31, 2024.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(a)Investment Valuations</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6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420" w:right="16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(b)Security Transactions, Revenue Recognition, and Realized/Unrealized Gains or Losses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27"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recurring in nature. Such fees include loan prepayment penalties, structuring fees, amendment fees, and agency fees and are recorded as other investment income when earned.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9"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2024, we had two portfolio companies on non-accrual, representing 3.7% and 3.0% percent of overall portfolio on a cost and fair value basis, respectively. As of September 30, 2023, we had one portfolio company on non-accrual, representing 1.2% and zero percent of our overall portfolio on a cost and fair value basis, respectively.</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(c)Income Taxes</w:t>
      </w:r>
    </w:p>
    <w:p>
      <w:pPr>
        <w:spacing w:after="0" w:line="167"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six months ended March 31, 2024, we recorded a provision for taxes on net investment income of $0.8 million and $1.2 million respectively, which pertains to U.S. federal excise tax. For the three and six months ended March 31, 2023, we recorded a provision for taxes on net investment income of $0.5 million and $2.5 million respectively, which pertains to U.S. federal excise tax.</w:t>
      </w:r>
    </w:p>
    <w:p>
      <w:pPr>
        <w:spacing w:after="0" w:line="132"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Holdings II,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For the three months and six months ended March 31, 2024, the Company recognized a provision for taxes of $(0.2) million and $ (0.2) million, respectively, on net realized gain (loss) on investments by the Taxable Subsidiary. For the three months and six months ended March 31, 2023, the Company recognized a provision for taxes of $ (0.7) million and $ (0.7) million, respectively, on net realized gain on investments by the Taxable Subsidiary. For the three months and six months ended March 31, 2024, the Company recognized a provision for taxes of $(0.8) million and $(0.7) million, respectively, on net unrealized gain (loss) on investments by the Taxable Subsidiary. For the three and six months ended March 31, 2023, the Company recognized a provision for taxes of zero and $ 0.9 million,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2024 and (ii) the expected tax benefit resulting from the use of loss carryforwards to offset such gains. As of March 31, 2024 and September 30, 2023, the Company recognized a provision for taxes of $0.9 million and $3.4 million, respectively, on net realized and unrealized gains on investments by the Taxable Subsidiary.</w:t>
      </w:r>
    </w:p>
    <w:p>
      <w:pPr>
        <w:spacing w:after="0" w:line="134" w:lineRule="exact"/>
        <w:rPr>
          <w:sz w:val="20"/>
          <w:szCs w:val="20"/>
          <w:color w:val="auto"/>
        </w:rPr>
      </w:pPr>
    </w:p>
    <w:p>
      <w:pPr>
        <w:ind w:right="540" w:firstLine="420"/>
        <w:spacing w:after="0" w:line="286" w:lineRule="auto"/>
        <w:rPr>
          <w:sz w:val="20"/>
          <w:szCs w:val="20"/>
          <w:color w:val="auto"/>
        </w:rPr>
      </w:pPr>
      <w:r>
        <w:rPr>
          <w:rFonts w:ascii="Times New Roman" w:cs="Times New Roman" w:eastAsia="Times New Roman" w:hAnsi="Times New Roman"/>
          <w:sz w:val="13"/>
          <w:szCs w:val="13"/>
          <w:color w:val="auto"/>
        </w:rPr>
        <w:t>During the three months and six months ended March 31, 2024, the Company paid zero, respectively, in federal taxes on realized gains on the sale of investments held by the Taxable Subsidiary. The state and local tax liability is $0.4 million as of March 31, 2024 is included under accrued other expenses in the consolidated statement of assets and liabilities.</w:t>
      </w:r>
    </w:p>
    <w:p>
      <w:pPr>
        <w:spacing w:after="0" w:line="112"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87" w:lineRule="exact"/>
        <w:rPr>
          <w:sz w:val="20"/>
          <w:szCs w:val="20"/>
          <w:color w:val="auto"/>
        </w:rPr>
      </w:pPr>
    </w:p>
    <w:p>
      <w:pPr>
        <w:ind w:right="32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(d)Distributions and Capital Transactions</w:t>
      </w:r>
    </w:p>
    <w:p>
      <w:pPr>
        <w:spacing w:after="0" w:line="16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23"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3" w:name="page24"/>
    <w:bookmarkEnd w:id="23"/>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9"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23"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(f)Consolidation</w:t>
      </w:r>
    </w:p>
    <w:p>
      <w:pPr>
        <w:spacing w:after="0" w:line="131" w:lineRule="exact"/>
        <w:rPr>
          <w:sz w:val="20"/>
          <w:szCs w:val="20"/>
          <w:color w:val="auto"/>
        </w:rPr>
      </w:pPr>
    </w:p>
    <w:p>
      <w:pPr>
        <w:ind w:right="240" w:firstLine="420"/>
        <w:spacing w:after="0" w:line="268"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(g)Asset Transfers and Servicing</w:t>
      </w:r>
    </w:p>
    <w:p>
      <w:pPr>
        <w:spacing w:after="0" w:line="16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08" w:lineRule="exact"/>
        <w:rPr>
          <w:sz w:val="20"/>
          <w:szCs w:val="20"/>
          <w:color w:val="auto"/>
        </w:rPr>
      </w:pPr>
    </w:p>
    <w:p>
      <w:pPr>
        <w:ind w:left="560" w:hanging="350"/>
        <w:spacing w:after="0"/>
        <w:tabs>
          <w:tab w:leader="none" w:pos="560" w:val="left"/>
        </w:tabs>
        <w:numPr>
          <w:ilvl w:val="0"/>
          <w:numId w:val="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and six months ended March 31, 2024, the effect of which was not material to the consolidated financial statements and the notes thereto.</w:t>
      </w:r>
    </w:p>
    <w:p>
      <w:pPr>
        <w:spacing w:after="0" w:line="13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AGREEMENTS AND RELATED PARTY TRANSACTIONS</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(a)  Investment Management Agreement</w:t>
      </w:r>
    </w:p>
    <w:p>
      <w:pPr>
        <w:spacing w:after="0" w:line="16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 -to-day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2024, the Investment Adviser earned base management fees of $4.1 million and $8.1 million, respectively, from us. For the three and six months ended March 31, 2023, the Investment Adviser earned base management fee of $4.0 million and $8.6 million respectively, from 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27" w:lineRule="exact"/>
        <w:rPr>
          <w:sz w:val="20"/>
          <w:szCs w:val="20"/>
          <w:color w:val="auto"/>
        </w:rPr>
      </w:pPr>
    </w:p>
    <w:p>
      <w:pPr>
        <w:ind w:right="100" w:firstLine="420"/>
        <w:spacing w:after="0" w:line="253"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02"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For the three and six months ended March 31, 2024, the Investment Adviser earned $3.0 million and $6.3 million, respectively, in incentive fees on net investment income from us. For the three and six months ended March 31, 2023, the Investment Adviser earned an incentive fee of $3.5 million and $5.7 million, respectively, in incentive fees on net investment income from us.</w:t>
      </w:r>
    </w:p>
    <w:p>
      <w:pPr>
        <w:spacing w:after="0" w:line="76"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3"/>
          <w:szCs w:val="13"/>
          <w:color w:val="auto"/>
          <w:strike w:val="1"/>
        </w:rPr>
        <w:t>,</w:t>
      </w:r>
      <w:r>
        <w:rPr>
          <w:rFonts w:ascii="Times New Roman" w:cs="Times New Roman" w:eastAsia="Times New Roman" w:hAnsi="Times New Roman"/>
          <w:sz w:val="13"/>
          <w:szCs w:val="13"/>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2024 and 2023, the Investment Adviser did not accrue an incentive fee on capital gains as calculated under the Investment Management Agreement (as described above).</w:t>
      </w:r>
    </w:p>
    <w:p>
      <w:pPr>
        <w:spacing w:after="0" w:line="94"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and six months ended March 31, 2024 and 2023, the Investment Adviser did not accrue an incentive fee on capital gains as calculated under GAAP.</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67"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May 2024. Under the Administration Agreement, the Administrator provides administrative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2024, we recorded the Investment Administrator expense of approximately $0.1 million and $0.2 million, respectively, for the services described above. For the three and six months ended March 31, 2023, we recorded the Investment Administrator expense of approximately $0.3 million and $0.6 million, respectively, for the services described above.</w:t>
      </w:r>
    </w:p>
    <w:p>
      <w:pPr>
        <w:spacing w:after="0" w:line="134"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three and six months ended March 31, 2024 and 2023.</w:t>
      </w:r>
    </w:p>
    <w:p>
      <w:pPr>
        <w:spacing w:after="0" w:line="163"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we sold $ 103.1 million and $154.0 million in investments to PSLF at fair value, respectively, and recognized less than $0.1 million and less than $0.1 million of net realized gains, respectively. For the three and six months ended March 31, 2023, we sold $18.4 million and $18.4 million in investments to PSLF at fair value, respectively, and recognized less than $0.1 million and less than $0.1 million of net realized gains, respectively.</w:t>
      </w:r>
    </w:p>
    <w:p>
      <w:pPr>
        <w:spacing w:after="0" w:line="123"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For the three and six months ended March 31, 2024, we sold zero in investments to PTSF II at fair value, respectively, and recognized zero of net realized gains, respectively. For the three and six months ended March 31, 2023, we sold zero in investments to PTSF II at fair value, respectively, and recognized zero of net realized gains, respectively.</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9"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and September 30, 2023, PNNT had a payable to PSLF and PTSF II of $0.3 million and $4.1 million, respectively, presented as a due to affiliates on the consolidated statement of assets and liabilities. These amounts are related to cash owed to PSLF and PTSF II from PNNT in connection with trades between the funds.</w:t>
      </w:r>
    </w:p>
    <w:p>
      <w:pPr>
        <w:spacing w:after="0" w:line="112"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and September 30, 2023, PNNT had a receivable from Administrator of $0.3 million and zero, respectively, presented as a due from affiliates on the consolidated statement of assets and liabilities. These amounts are related to agency fees collected on behalf of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65"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Purchases of investments, including PIK interest, for the three and six months ended March 31, 2024 totaled $249.2 million and $ 531.2 million, respectively. For the three and six months ended March 31, 2023, purchases of investments, including PIK interest, totaled $59.0 million and $146.3 million. Sales and repayments of investments for the three and six months ended March 31, 2024 totaled $226.1 million and $396.8 million, respectively. For the three and six months ended March 31, 2023, sales and repayments of investments totaled $114.2 million and $144.8 million, respectively.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Investment Classification </w:t>
            </w:r>
            <w:r>
              <w:rPr>
                <w:rFonts w:ascii="Times New Roman" w:cs="Times New Roman" w:eastAsia="Times New Roman" w:hAnsi="Times New Roman"/>
                <w:sz w:val="13"/>
                <w:szCs w:val="13"/>
                <w:color w:val="auto"/>
              </w:rPr>
              <w:t>($ in thousands)</w:t>
            </w:r>
          </w:p>
        </w:tc>
        <w:tc>
          <w:tcPr>
            <w:tcW w:w="34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694,955</w:t>
            </w:r>
          </w:p>
        </w:tc>
        <w:tc>
          <w:tcPr>
            <w:tcW w:w="6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678,605</w:t>
            </w:r>
          </w:p>
        </w:tc>
        <w:tc>
          <w:tcPr>
            <w:tcW w:w="5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538,737</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527,657</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59,696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59,685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99,768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65,127</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63,737</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96,759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80,396</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55,045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49,212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53,897</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notes in PSLF</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168,107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198,549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166,798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175,538</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 PSLF</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67,436</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72,557</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58,643</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62,083</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1,226,252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1,238,231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1,117,927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35,409</w:t>
            </w:r>
          </w:p>
        </w:tc>
        <w:tc>
          <w:tcPr>
            <w:tcW w:w="2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35,418</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38,784</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1,261,661</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1,273,649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1,156,711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80" w:type="dxa"/>
            <w:vAlign w:val="bottom"/>
          </w:tcPr>
          <w:p>
            <w:pPr>
              <w:spacing w:after="0"/>
              <w:rPr>
                <w:sz w:val="15"/>
                <w:szCs w:val="15"/>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 as of: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2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 xml:space="preserve">March 31, 2024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spacing w:after="0"/>
              <w:rPr>
                <w:sz w:val="16"/>
                <w:szCs w:val="16"/>
                <w:color w:val="auto"/>
              </w:rPr>
            </w:pPr>
          </w:p>
        </w:tc>
        <w:tc>
          <w:tcPr>
            <w:tcW w:w="22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 xml:space="preserve">September 30, 2023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6"/>
                <w:szCs w:val="16"/>
                <w:color w:val="auto"/>
              </w:rPr>
            </w:pPr>
          </w:p>
        </w:tc>
      </w:tr>
      <w:tr>
        <w:trPr>
          <w:trHeight w:val="180"/>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6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Products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Short-Term U.S. Government Securities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Electronics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 Sector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Environmental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Education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Food and Miscellaneous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Materials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Insurance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and Office Furnishings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and Non-Durable Consumer Products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Manufacturing/Basic Industry</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Machinery</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5"/>
                <w:szCs w:val="15"/>
                <w:color w:val="auto"/>
              </w:rPr>
            </w:pPr>
          </w:p>
        </w:tc>
      </w:tr>
      <w:tr>
        <w:trPr>
          <w:trHeight w:val="224"/>
        </w:trPr>
        <w:tc>
          <w:tcPr>
            <w:tcW w:w="5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60" w:type="dxa"/>
            <w:vAlign w:val="bottom"/>
            <w:tcBorders>
              <w:bottom w:val="single" w:sz="8" w:color="CCECFF"/>
            </w:tcBorders>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tcBorders>
              <w:bottom w:val="single" w:sz="8" w:color="CCECFF"/>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Excludes investments in PSLF.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6" w:name="page27"/>
    <w:bookmarkEnd w:id="26"/>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180" w:firstLine="420"/>
        <w:spacing w:after="0" w:line="258"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its strategy. PSLF was formed as a Delaware limited liability company. As of March 31, 2024 and September 30, 2023, PSLF had total assets of $987.4 million and $872.8 million, respectively and its investment portfolio consisted of debt investments in 99 and 90 portfolio companies, respectively. As of the same dates, we and Pantheon had remaining commitments to fund subordinated debt of zero and</w:t>
      </w:r>
    </w:p>
    <w:p>
      <w:pPr>
        <w:jc w:val="both"/>
        <w:ind w:right="120"/>
        <w:spacing w:after="0" w:line="257" w:lineRule="auto"/>
        <w:rPr>
          <w:sz w:val="20"/>
          <w:szCs w:val="20"/>
          <w:color w:val="auto"/>
        </w:rPr>
      </w:pPr>
      <w:r>
        <w:rPr>
          <w:rFonts w:ascii="Times New Roman" w:cs="Times New Roman" w:eastAsia="Times New Roman" w:hAnsi="Times New Roman"/>
          <w:sz w:val="13"/>
          <w:szCs w:val="13"/>
          <w:color w:val="auto"/>
        </w:rPr>
        <w:t>$22.4 million, respectively, and equity interest of zero and $14.5 million, respectively, in PSLF. As of March 31, 2024, at fair value, the largest investment in a single portfolio company in PSLF was $21.5 million and the five largest investments totaled $100.1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spacing w:after="0" w:line="130"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March 31, 2024 and September 30, 2023, we and Pantheon owned 60.5% and 39.5%, respectively, of each of the outstanding subordinated notes and equity interests of PSLF. As of March 31, 2024 and September 30, 2023, our investment in PSLF consisted of subordinated notes of $115.9 million and $102.3 million, respectively, and equity interests of $67.4 million and $58.6 million, respectively.</w:t>
      </w:r>
    </w:p>
    <w:p>
      <w:pPr>
        <w:spacing w:after="0" w:line="123"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wholly-owned subsidiary, or PSLF Subsidiary, has entered into a $325.0 million (increased from $225.0 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spacing w:after="0" w:line="123"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March 31, 2024 and September 30, 2023, there was $246.0 million of external 2034 Asset-Back Debt.</w:t>
      </w:r>
    </w:p>
    <w:p>
      <w:pPr>
        <w:spacing w:after="0" w:line="132"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$ 21.0 million Class B Senior Secured Floating Rate Notes due 2035, which bear interest at the three-month SOFR plus 4.1%, (v) $24.0 million Class C Secured Deferrable Floating Rate Notes due 2035, which bear interest at the three-month SOFR plus 4.7%, (vi)</w:t>
      </w:r>
    </w:p>
    <w:p>
      <w:pPr>
        <w:ind w:right="260"/>
        <w:spacing w:after="0" w:line="263" w:lineRule="auto"/>
        <w:rPr>
          <w:sz w:val="20"/>
          <w:szCs w:val="20"/>
          <w:color w:val="auto"/>
        </w:rPr>
      </w:pPr>
      <w:r>
        <w:rPr>
          <w:rFonts w:ascii="Times New Roman" w:cs="Times New Roman" w:eastAsia="Times New Roman" w:hAnsi="Times New Roman"/>
          <w:sz w:val="13"/>
          <w:szCs w:val="13"/>
          <w:color w:val="auto"/>
        </w:rPr>
        <w:t>$18.0 million Class D Secured Deferrable Floating Rate Notes due 2035, which bear interest at the three-month SOFR plus 7.0%. As of March 31, 2024 and September 30, 2023, there was $246.0 million of external 2035 Asset-Backed Debt.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w:t>
            </w:r>
          </w:p>
        </w:tc>
        <w:tc>
          <w:tcPr>
            <w:tcW w:w="2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5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100" w:type="dxa"/>
            <w:vAlign w:val="bottom"/>
          </w:tcPr>
          <w:p>
            <w:pPr>
              <w:spacing w:after="0"/>
              <w:rPr>
                <w:sz w:val="15"/>
                <w:szCs w:val="15"/>
                <w:color w:val="auto"/>
              </w:rPr>
            </w:pPr>
          </w:p>
        </w:tc>
        <w:tc>
          <w:tcPr>
            <w:tcW w:w="150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923,865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100" w:type="dxa"/>
            <w:vAlign w:val="bottom"/>
          </w:tcPr>
          <w:p>
            <w:pPr>
              <w:spacing w:after="0"/>
              <w:rPr>
                <w:sz w:val="15"/>
                <w:szCs w:val="15"/>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12.0 %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99</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1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21,520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19,737</w:t>
            </w:r>
          </w:p>
        </w:tc>
        <w:tc>
          <w:tcPr>
            <w:tcW w:w="40" w:type="dxa"/>
            <w:vAlign w:val="bottom"/>
          </w:tcPr>
          <w:p>
            <w:pPr>
              <w:spacing w:after="0"/>
              <w:rPr>
                <w:sz w:val="15"/>
                <w:szCs w:val="15"/>
                <w:color w:val="auto"/>
              </w:rPr>
            </w:pP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1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100,071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97,526</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6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608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March 31, 2024 ($ in thousands)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tcPr>
          <w:p>
            <w:pPr>
              <w:jc w:val="right"/>
              <w:ind w:right="272"/>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20" w:type="dxa"/>
            <w:vAlign w:val="bottom"/>
          </w:tcPr>
          <w:p>
            <w:pPr>
              <w:jc w:val="center"/>
              <w:ind w:right="9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1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7"/>
                <w:szCs w:val="17"/>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- 770.3%</w:t>
            </w:r>
          </w:p>
        </w:tc>
        <w:tc>
          <w:tcPr>
            <w:tcW w:w="1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12/22/28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14,813</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14,563</w:t>
            </w:r>
          </w:p>
        </w:tc>
        <w:tc>
          <w:tcPr>
            <w:tcW w:w="3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14,809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10/02/29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6,484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6,370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6,322</w:t>
            </w:r>
          </w:p>
        </w:tc>
        <w:tc>
          <w:tcPr>
            <w:tcW w:w="0" w:type="dxa"/>
            <w:vAlign w:val="bottom"/>
          </w:tcPr>
          <w:p>
            <w:pPr>
              <w:spacing w:after="0"/>
              <w:rPr>
                <w:sz w:val="1"/>
                <w:szCs w:val="1"/>
                <w:color w:val="auto"/>
              </w:rPr>
            </w:pPr>
          </w:p>
        </w:tc>
      </w:tr>
      <w:tr>
        <w:trPr>
          <w:trHeight w:val="14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1020" w:type="dxa"/>
            <w:vAlign w:val="bottom"/>
            <w:vMerge w:val="restart"/>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08/01/29</w:t>
            </w:r>
          </w:p>
        </w:tc>
        <w:tc>
          <w:tcPr>
            <w:tcW w:w="21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11.83 %</w:t>
            </w:r>
          </w:p>
        </w:tc>
        <w:tc>
          <w:tcPr>
            <w:tcW w:w="1020" w:type="dxa"/>
            <w:vAlign w:val="bottom"/>
            <w:vMerge w:val="restart"/>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15,428</w:t>
            </w:r>
          </w:p>
        </w:tc>
        <w:tc>
          <w:tcPr>
            <w:tcW w:w="24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15,127</w:t>
            </w:r>
          </w:p>
        </w:tc>
        <w:tc>
          <w:tcPr>
            <w:tcW w:w="38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15,443</w:t>
            </w:r>
          </w:p>
        </w:tc>
        <w:tc>
          <w:tcPr>
            <w:tcW w:w="0" w:type="dxa"/>
            <w:vAlign w:val="bottom"/>
          </w:tcPr>
          <w:p>
            <w:pPr>
              <w:spacing w:after="0"/>
              <w:rPr>
                <w:sz w:val="1"/>
                <w:szCs w:val="1"/>
                <w:color w:val="auto"/>
              </w:rPr>
            </w:pPr>
          </w:p>
        </w:tc>
      </w:tr>
      <w:tr>
        <w:trPr>
          <w:trHeight w:val="68"/>
        </w:trPr>
        <w:tc>
          <w:tcPr>
            <w:tcW w:w="2900" w:type="dxa"/>
            <w:vAlign w:val="bottom"/>
            <w:shd w:val="clear" w:color="auto" w:fill="CCECFF"/>
          </w:tcPr>
          <w:p>
            <w:pPr>
              <w:spacing w:after="0"/>
              <w:rPr>
                <w:sz w:val="5"/>
                <w:szCs w:val="5"/>
                <w:color w:val="auto"/>
              </w:rPr>
            </w:pPr>
          </w:p>
        </w:tc>
        <w:tc>
          <w:tcPr>
            <w:tcW w:w="1020" w:type="dxa"/>
            <w:vAlign w:val="bottom"/>
            <w:vMerge w:val="continue"/>
            <w:shd w:val="clear" w:color="auto" w:fill="CCECFF"/>
          </w:tcPr>
          <w:p>
            <w:pPr>
              <w:spacing w:after="0"/>
              <w:rPr>
                <w:sz w:val="5"/>
                <w:szCs w:val="5"/>
                <w:color w:val="auto"/>
              </w:rPr>
            </w:pPr>
          </w:p>
        </w:tc>
        <w:tc>
          <w:tcPr>
            <w:tcW w:w="2160" w:type="dxa"/>
            <w:vAlign w:val="bottom"/>
            <w:vMerge w:val="continue"/>
            <w:shd w:val="clear" w:color="auto" w:fill="CCECFF"/>
          </w:tcPr>
          <w:p>
            <w:pPr>
              <w:spacing w:after="0"/>
              <w:rPr>
                <w:sz w:val="5"/>
                <w:szCs w:val="5"/>
                <w:color w:val="auto"/>
              </w:rPr>
            </w:pPr>
          </w:p>
        </w:tc>
        <w:tc>
          <w:tcPr>
            <w:tcW w:w="960" w:type="dxa"/>
            <w:vAlign w:val="bottom"/>
            <w:vMerge w:val="continue"/>
            <w:shd w:val="clear" w:color="auto" w:fill="CCECFF"/>
          </w:tcPr>
          <w:p>
            <w:pPr>
              <w:spacing w:after="0"/>
              <w:rPr>
                <w:sz w:val="5"/>
                <w:szCs w:val="5"/>
                <w:color w:val="auto"/>
              </w:rPr>
            </w:pPr>
          </w:p>
        </w:tc>
        <w:tc>
          <w:tcPr>
            <w:tcW w:w="1020" w:type="dxa"/>
            <w:vAlign w:val="bottom"/>
            <w:vMerge w:val="continue"/>
            <w:shd w:val="clear" w:color="auto" w:fill="CCECFF"/>
          </w:tcPr>
          <w:p>
            <w:pPr>
              <w:spacing w:after="0"/>
              <w:rPr>
                <w:sz w:val="5"/>
                <w:szCs w:val="5"/>
                <w:color w:val="auto"/>
              </w:rPr>
            </w:pPr>
          </w:p>
        </w:tc>
        <w:tc>
          <w:tcPr>
            <w:tcW w:w="72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580" w:type="dxa"/>
            <w:vAlign w:val="bottom"/>
            <w:vMerge w:val="continue"/>
            <w:shd w:val="clear" w:color="auto" w:fill="CCECFF"/>
          </w:tcPr>
          <w:p>
            <w:pPr>
              <w:spacing w:after="0"/>
              <w:rPr>
                <w:sz w:val="5"/>
                <w:szCs w:val="5"/>
                <w:color w:val="auto"/>
              </w:rPr>
            </w:pPr>
          </w:p>
        </w:tc>
        <w:tc>
          <w:tcPr>
            <w:tcW w:w="380" w:type="dxa"/>
            <w:vAlign w:val="bottom"/>
            <w:shd w:val="clear" w:color="auto" w:fill="CCECFF"/>
          </w:tcPr>
          <w:p>
            <w:pPr>
              <w:spacing w:after="0"/>
              <w:rPr>
                <w:sz w:val="5"/>
                <w:szCs w:val="5"/>
                <w:color w:val="auto"/>
              </w:rPr>
            </w:pPr>
          </w:p>
        </w:tc>
        <w:tc>
          <w:tcPr>
            <w:tcW w:w="58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04/09/27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05/07/26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12/18/28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14,813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14,762</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14,495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14,172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13,886</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13,712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13,947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13,875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13,878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07/21/27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10,827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10,796</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10,718</w:t>
            </w:r>
          </w:p>
        </w:tc>
        <w:tc>
          <w:tcPr>
            <w:tcW w:w="0" w:type="dxa"/>
            <w:vAlign w:val="bottom"/>
          </w:tcPr>
          <w:p>
            <w:pPr>
              <w:spacing w:after="0"/>
              <w:rPr>
                <w:sz w:val="1"/>
                <w:szCs w:val="1"/>
                <w:color w:val="auto"/>
              </w:rPr>
            </w:pPr>
          </w:p>
        </w:tc>
      </w:tr>
      <w:tr>
        <w:trPr>
          <w:trHeight w:val="140"/>
        </w:trPr>
        <w:tc>
          <w:tcPr>
            <w:tcW w:w="29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20" w:type="dxa"/>
            <w:vAlign w:val="bottom"/>
            <w:vMerge w:val="restart"/>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12/29/26</w:t>
            </w:r>
          </w:p>
        </w:tc>
        <w:tc>
          <w:tcPr>
            <w:tcW w:w="21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20" w:type="dxa"/>
            <w:vAlign w:val="bottom"/>
            <w:vMerge w:val="restart"/>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13,786</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13,650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13,515</w:t>
            </w:r>
          </w:p>
        </w:tc>
        <w:tc>
          <w:tcPr>
            <w:tcW w:w="0" w:type="dxa"/>
            <w:vAlign w:val="bottom"/>
          </w:tcPr>
          <w:p>
            <w:pPr>
              <w:spacing w:after="0"/>
              <w:rPr>
                <w:sz w:val="1"/>
                <w:szCs w:val="1"/>
                <w:color w:val="auto"/>
              </w:rPr>
            </w:pPr>
          </w:p>
        </w:tc>
      </w:tr>
      <w:tr>
        <w:trPr>
          <w:trHeight w:val="68"/>
        </w:trPr>
        <w:tc>
          <w:tcPr>
            <w:tcW w:w="2900" w:type="dxa"/>
            <w:vAlign w:val="bottom"/>
            <w:vMerge w:val="continue"/>
            <w:shd w:val="clear" w:color="auto" w:fill="CCECFF"/>
          </w:tcPr>
          <w:p>
            <w:pPr>
              <w:spacing w:after="0"/>
              <w:rPr>
                <w:sz w:val="5"/>
                <w:szCs w:val="5"/>
                <w:color w:val="auto"/>
              </w:rPr>
            </w:pPr>
          </w:p>
        </w:tc>
        <w:tc>
          <w:tcPr>
            <w:tcW w:w="1020" w:type="dxa"/>
            <w:vAlign w:val="bottom"/>
            <w:vMerge w:val="continue"/>
            <w:shd w:val="clear" w:color="auto" w:fill="CCECFF"/>
          </w:tcPr>
          <w:p>
            <w:pPr>
              <w:spacing w:after="0"/>
              <w:rPr>
                <w:sz w:val="5"/>
                <w:szCs w:val="5"/>
                <w:color w:val="auto"/>
              </w:rPr>
            </w:pPr>
          </w:p>
        </w:tc>
        <w:tc>
          <w:tcPr>
            <w:tcW w:w="2160" w:type="dxa"/>
            <w:vAlign w:val="bottom"/>
            <w:vMerge w:val="continue"/>
            <w:shd w:val="clear" w:color="auto" w:fill="CCECFF"/>
          </w:tcPr>
          <w:p>
            <w:pPr>
              <w:spacing w:after="0"/>
              <w:rPr>
                <w:sz w:val="5"/>
                <w:szCs w:val="5"/>
                <w:color w:val="auto"/>
              </w:rPr>
            </w:pPr>
          </w:p>
        </w:tc>
        <w:tc>
          <w:tcPr>
            <w:tcW w:w="960" w:type="dxa"/>
            <w:vAlign w:val="bottom"/>
            <w:vMerge w:val="continue"/>
            <w:shd w:val="clear" w:color="auto" w:fill="CCECFF"/>
          </w:tcPr>
          <w:p>
            <w:pPr>
              <w:spacing w:after="0"/>
              <w:rPr>
                <w:sz w:val="5"/>
                <w:szCs w:val="5"/>
                <w:color w:val="auto"/>
              </w:rPr>
            </w:pPr>
          </w:p>
        </w:tc>
        <w:tc>
          <w:tcPr>
            <w:tcW w:w="1020" w:type="dxa"/>
            <w:vAlign w:val="bottom"/>
            <w:vMerge w:val="continue"/>
            <w:shd w:val="clear" w:color="auto" w:fill="CCECFF"/>
          </w:tcPr>
          <w:p>
            <w:pPr>
              <w:spacing w:after="0"/>
              <w:rPr>
                <w:sz w:val="5"/>
                <w:szCs w:val="5"/>
                <w:color w:val="auto"/>
              </w:rPr>
            </w:pPr>
          </w:p>
        </w:tc>
        <w:tc>
          <w:tcPr>
            <w:tcW w:w="720" w:type="dxa"/>
            <w:vAlign w:val="bottom"/>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580" w:type="dxa"/>
            <w:vAlign w:val="bottom"/>
            <w:shd w:val="clear" w:color="auto" w:fill="CCECFF"/>
          </w:tcPr>
          <w:p>
            <w:pPr>
              <w:spacing w:after="0"/>
              <w:rPr>
                <w:sz w:val="5"/>
                <w:szCs w:val="5"/>
                <w:color w:val="auto"/>
              </w:rPr>
            </w:pPr>
          </w:p>
        </w:tc>
        <w:tc>
          <w:tcPr>
            <w:tcW w:w="380" w:type="dxa"/>
            <w:vAlign w:val="bottom"/>
            <w:shd w:val="clear" w:color="auto" w:fill="CCECFF"/>
          </w:tcPr>
          <w:p>
            <w:pPr>
              <w:spacing w:after="0"/>
              <w:rPr>
                <w:sz w:val="5"/>
                <w:szCs w:val="5"/>
                <w:color w:val="auto"/>
              </w:rPr>
            </w:pPr>
          </w:p>
        </w:tc>
        <w:tc>
          <w:tcPr>
            <w:tcW w:w="58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08/03/29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21,738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21,426</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21,520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07/01/29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11.10 %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14,546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14,369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09/17/26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19,697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19,436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19,568</w:t>
            </w: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1020" w:type="dxa"/>
            <w:vAlign w:val="bottom"/>
            <w:vMerge w:val="restart"/>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10.42 %</w:t>
            </w: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12,259</w:t>
            </w:r>
          </w:p>
        </w:tc>
        <w:tc>
          <w:tcPr>
            <w:tcW w:w="240" w:type="dxa"/>
            <w:vAlign w:val="bottom"/>
          </w:tcPr>
          <w:p>
            <w:pPr>
              <w:spacing w:after="0"/>
              <w:rPr>
                <w:sz w:val="11"/>
                <w:szCs w:val="11"/>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12,179</w:t>
            </w:r>
          </w:p>
        </w:tc>
        <w:tc>
          <w:tcPr>
            <w:tcW w:w="380" w:type="dxa"/>
            <w:vAlign w:val="bottom"/>
          </w:tcPr>
          <w:p>
            <w:pPr>
              <w:spacing w:after="0"/>
              <w:rPr>
                <w:sz w:val="11"/>
                <w:szCs w:val="11"/>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12,076</w:t>
            </w:r>
          </w:p>
        </w:tc>
        <w:tc>
          <w:tcPr>
            <w:tcW w:w="0" w:type="dxa"/>
            <w:vAlign w:val="bottom"/>
          </w:tcPr>
          <w:p>
            <w:pPr>
              <w:spacing w:after="0"/>
              <w:rPr>
                <w:sz w:val="1"/>
                <w:szCs w:val="1"/>
                <w:color w:val="auto"/>
              </w:rPr>
            </w:pPr>
          </w:p>
        </w:tc>
      </w:tr>
      <w:tr>
        <w:trPr>
          <w:trHeight w:val="40"/>
        </w:trPr>
        <w:tc>
          <w:tcPr>
            <w:tcW w:w="29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21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12/04/25</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11.61 %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9,501</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09/26/29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5,500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06/14/28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16,945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2,906</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2,890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07/13/27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11.09 %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8,762</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8,748</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08/16/27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SOFR+551</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08/31/27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10,603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12/21/28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3,965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4,074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11/03/25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14,118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14,085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14,005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06/30/24</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8,566</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01/10/29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6,188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6,122</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6,064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05/29/29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11.84 %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12,311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12,102</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12,434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03/15/27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9,701</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9,595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9,506</w:t>
            </w:r>
          </w:p>
        </w:tc>
        <w:tc>
          <w:tcPr>
            <w:tcW w:w="0" w:type="dxa"/>
            <w:vAlign w:val="bottom"/>
          </w:tcPr>
          <w:p>
            <w:pPr>
              <w:spacing w:after="0"/>
              <w:rPr>
                <w:sz w:val="1"/>
                <w:szCs w:val="1"/>
                <w:color w:val="auto"/>
              </w:rPr>
            </w:pPr>
          </w:p>
        </w:tc>
      </w:tr>
      <w:tr>
        <w:trPr>
          <w:trHeight w:val="140"/>
        </w:trPr>
        <w:tc>
          <w:tcPr>
            <w:tcW w:w="29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20" w:type="dxa"/>
            <w:vAlign w:val="bottom"/>
            <w:vMerge w:val="restart"/>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06/17/28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10.32 %</w:t>
            </w:r>
          </w:p>
        </w:tc>
        <w:tc>
          <w:tcPr>
            <w:tcW w:w="1020" w:type="dxa"/>
            <w:vAlign w:val="bottom"/>
            <w:vMerge w:val="restart"/>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4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3,419</w:t>
            </w:r>
          </w:p>
        </w:tc>
        <w:tc>
          <w:tcPr>
            <w:tcW w:w="38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0" w:type="dxa"/>
            <w:vAlign w:val="bottom"/>
          </w:tcPr>
          <w:p>
            <w:pPr>
              <w:spacing w:after="0"/>
              <w:rPr>
                <w:sz w:val="1"/>
                <w:szCs w:val="1"/>
                <w:color w:val="auto"/>
              </w:rPr>
            </w:pPr>
          </w:p>
        </w:tc>
      </w:tr>
      <w:tr>
        <w:trPr>
          <w:trHeight w:val="92"/>
        </w:trPr>
        <w:tc>
          <w:tcPr>
            <w:tcW w:w="2900" w:type="dxa"/>
            <w:vAlign w:val="bottom"/>
            <w:vMerge w:val="continue"/>
            <w:shd w:val="clear" w:color="auto" w:fill="CCECFF"/>
          </w:tcPr>
          <w:p>
            <w:pPr>
              <w:spacing w:after="0"/>
              <w:rPr>
                <w:sz w:val="8"/>
                <w:szCs w:val="8"/>
                <w:color w:val="auto"/>
              </w:rPr>
            </w:pPr>
          </w:p>
        </w:tc>
        <w:tc>
          <w:tcPr>
            <w:tcW w:w="1020" w:type="dxa"/>
            <w:vAlign w:val="bottom"/>
            <w:vMerge w:val="continue"/>
            <w:shd w:val="clear" w:color="auto" w:fill="CCECFF"/>
          </w:tcPr>
          <w:p>
            <w:pPr>
              <w:spacing w:after="0"/>
              <w:rPr>
                <w:sz w:val="8"/>
                <w:szCs w:val="8"/>
                <w:color w:val="auto"/>
              </w:rPr>
            </w:pPr>
          </w:p>
        </w:tc>
        <w:tc>
          <w:tcPr>
            <w:tcW w:w="2160" w:type="dxa"/>
            <w:vAlign w:val="bottom"/>
            <w:shd w:val="clear" w:color="auto" w:fill="CCECFF"/>
          </w:tcPr>
          <w:p>
            <w:pPr>
              <w:spacing w:after="0"/>
              <w:rPr>
                <w:sz w:val="8"/>
                <w:szCs w:val="8"/>
                <w:color w:val="auto"/>
              </w:rPr>
            </w:pPr>
          </w:p>
        </w:tc>
        <w:tc>
          <w:tcPr>
            <w:tcW w:w="960" w:type="dxa"/>
            <w:vAlign w:val="bottom"/>
            <w:vMerge w:val="continue"/>
            <w:shd w:val="clear" w:color="auto" w:fill="CCECFF"/>
          </w:tcPr>
          <w:p>
            <w:pPr>
              <w:spacing w:after="0"/>
              <w:rPr>
                <w:sz w:val="8"/>
                <w:szCs w:val="8"/>
                <w:color w:val="auto"/>
              </w:rPr>
            </w:pPr>
          </w:p>
        </w:tc>
        <w:tc>
          <w:tcPr>
            <w:tcW w:w="1020" w:type="dxa"/>
            <w:vAlign w:val="bottom"/>
            <w:vMerge w:val="continue"/>
            <w:shd w:val="clear" w:color="auto" w:fill="CCECFF"/>
          </w:tcPr>
          <w:p>
            <w:pPr>
              <w:spacing w:after="0"/>
              <w:rPr>
                <w:sz w:val="8"/>
                <w:szCs w:val="8"/>
                <w:color w:val="auto"/>
              </w:rPr>
            </w:pPr>
          </w:p>
        </w:tc>
        <w:tc>
          <w:tcPr>
            <w:tcW w:w="72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580" w:type="dxa"/>
            <w:vAlign w:val="bottom"/>
            <w:vMerge w:val="continue"/>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8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02/23/28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4,233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03/16/26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6,990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6,974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6,640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08/10/27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0" w:type="dxa"/>
            <w:vAlign w:val="bottom"/>
          </w:tcPr>
          <w:p>
            <w:pPr>
              <w:spacing w:after="0"/>
              <w:rPr>
                <w:sz w:val="1"/>
                <w:szCs w:val="1"/>
                <w:color w:val="auto"/>
              </w:rPr>
            </w:pPr>
          </w:p>
        </w:tc>
      </w:tr>
      <w:tr>
        <w:trPr>
          <w:trHeight w:val="232"/>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12/31/26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 xml:space="preserve">10.90 </w:t>
            </w:r>
            <w:r>
              <w:rPr>
                <w:rFonts w:ascii="Times New Roman" w:cs="Times New Roman" w:eastAsia="Times New Roman" w:hAnsi="Times New Roman"/>
                <w:sz w:val="19"/>
                <w:szCs w:val="19"/>
                <w:color w:val="auto"/>
                <w:vertAlign w:val="subscript"/>
              </w:rPr>
              <w:t>%</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40" w:type="dxa"/>
            <w:vAlign w:val="bottom"/>
            <w:shd w:val="clear" w:color="auto" w:fill="CCECFF"/>
          </w:tcPr>
          <w:p>
            <w:pPr>
              <w:spacing w:after="0"/>
              <w:rPr>
                <w:sz w:val="20"/>
                <w:szCs w:val="2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380" w:type="dxa"/>
            <w:vAlign w:val="bottom"/>
            <w:shd w:val="clear" w:color="auto" w:fill="CCECFF"/>
          </w:tcPr>
          <w:p>
            <w:pPr>
              <w:spacing w:after="0"/>
              <w:rPr>
                <w:sz w:val="20"/>
                <w:szCs w:val="2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11/08/29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14,364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14,167</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11/23/28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19,614</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19,314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19,614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12/17/26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15,026</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14,883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11.70 %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18,499</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18,394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18,222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09/22/28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4,405</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11/15/27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5,462</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12/31/24</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19,424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12/28/28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11/01/26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08/27/26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19,620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19,576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19,424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13,167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12,974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11/10/27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16,835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16,584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16,835</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4,636</w:t>
            </w:r>
          </w:p>
        </w:tc>
        <w:tc>
          <w:tcPr>
            <w:tcW w:w="24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4,622</w:t>
            </w:r>
          </w:p>
        </w:tc>
        <w:tc>
          <w:tcPr>
            <w:tcW w:w="38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4,571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02/18/27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19,930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19,802</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02/03/26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12,155</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12,025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01/31/30</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SOFR+665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6,287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6,180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7,560</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7,165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7,210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SOFR+526</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3,766</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3,551</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05/14/26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10,830</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04/16/27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8,373</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8,290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8,261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12/10/27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2,938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2,895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10/20/28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7,391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05/09/29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7,553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08/31/29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12/29/29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3,450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05/07/27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SOFR+636</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8,283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02/04/28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3,804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05/18/26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SOFR+651</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4,338</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11/09/27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8,071</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7,970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10/02/28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12,968</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12,726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12,968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05/08/26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2,536</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3,257</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3,231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03/31/25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12,634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12/18/25</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04/28/28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4,920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01/29/26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9,623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12/20/24</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11.07 %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14,280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12,166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06/21/25</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3,952</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3,933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132" w:right="680"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8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20" w:type="dxa"/>
            <w:vAlign w:val="bottom"/>
          </w:tcPr>
          <w:p>
            <w:pPr>
              <w:jc w:val="center"/>
              <w:ind w:right="89"/>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7"/>
                <w:szCs w:val="17"/>
                <w:color w:val="auto"/>
              </w:rPr>
            </w:pP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06/16/29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3,730</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3,664</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4,229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4,166</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4,186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01/03/25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6,676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6,650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12/20/24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12.93 %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SOFR+750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4,789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4,789</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06/13/29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14,775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14,572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12/18/27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8,367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8,298</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8,284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12/02/26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11,416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11,236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05/17/28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9.94 %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SOFR+450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1,297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07/17/25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SOFR+700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03/01/28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10.95 %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9,559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9,327</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SOFR+475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3,554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08/16/27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11.08 %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15,884</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15,649</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15,868</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01/23/29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11.81 %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2,674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2,668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07/27/26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SOFR+665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11,956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11,907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08/31/27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7,650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7,566</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5,451</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02/29/28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15,473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15,253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15,318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06/06/25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5,684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04/03/28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11,299</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06/15/26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3,840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12/01/29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11.31 %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9,000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8,862</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02/27/27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11.06 %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19,355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19,197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SOFR+725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19,696</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19,545</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19,253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00" w:type="dxa"/>
            <w:vAlign w:val="bottom"/>
            <w:shd w:val="clear" w:color="auto" w:fill="CCECFF"/>
          </w:tcPr>
          <w:p>
            <w:pPr>
              <w:spacing w:after="0"/>
              <w:rPr>
                <w:sz w:val="15"/>
                <w:szCs w:val="15"/>
                <w:color w:val="auto"/>
              </w:rPr>
            </w:pPr>
          </w:p>
        </w:tc>
        <w:tc>
          <w:tcPr>
            <w:tcW w:w="20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928,066</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923,865</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- 770.3%</w:t>
            </w:r>
          </w:p>
        </w:tc>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- 46.6%</w:t>
            </w:r>
          </w:p>
        </w:tc>
        <w:tc>
          <w:tcPr>
            <w:tcW w:w="1000" w:type="dxa"/>
            <w:vAlign w:val="bottom"/>
            <w:shd w:val="clear" w:color="auto" w:fill="CCECFF"/>
          </w:tcPr>
          <w:p>
            <w:pPr>
              <w:spacing w:after="0"/>
              <w:rPr>
                <w:sz w:val="16"/>
                <w:szCs w:val="16"/>
                <w:color w:val="auto"/>
              </w:rPr>
            </w:pPr>
          </w:p>
        </w:tc>
        <w:tc>
          <w:tcPr>
            <w:tcW w:w="20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00" w:type="dxa"/>
            <w:vAlign w:val="bottom"/>
            <w:shd w:val="clear" w:color="auto" w:fill="CCECFF"/>
          </w:tcPr>
          <w:p>
            <w:pPr>
              <w:spacing w:after="0"/>
              <w:rPr>
                <w:sz w:val="16"/>
                <w:szCs w:val="16"/>
                <w:color w:val="auto"/>
              </w:rPr>
            </w:pPr>
          </w:p>
        </w:tc>
        <w:tc>
          <w:tcPr>
            <w:tcW w:w="20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1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- 816.9%</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983,958</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979,757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716.9%</w:t>
            </w:r>
          </w:p>
        </w:tc>
        <w:tc>
          <w:tcPr>
            <w:tcW w:w="1000" w:type="dxa"/>
            <w:vAlign w:val="bottom"/>
            <w:shd w:val="clear" w:color="auto" w:fill="CCECFF"/>
          </w:tcPr>
          <w:p>
            <w:pPr>
              <w:spacing w:after="0"/>
              <w:rPr>
                <w:sz w:val="13"/>
                <w:szCs w:val="13"/>
                <w:color w:val="auto"/>
              </w:rPr>
            </w:pPr>
          </w:p>
        </w:tc>
        <w:tc>
          <w:tcPr>
            <w:tcW w:w="20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(859,829 )</w:t>
            </w: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119,928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right="3080"/>
        <w:spacing w:after="0" w:line="231"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8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71"/>
              <w:spacing w:after="0" w:line="156"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860" w:type="dxa"/>
            <w:vAlign w:val="bottom"/>
            <w:shd w:val="clear" w:color="auto" w:fill="CCECFF"/>
          </w:tcPr>
          <w:p>
            <w:pPr>
              <w:spacing w:after="0"/>
              <w:rPr>
                <w:sz w:val="12"/>
                <w:szCs w:val="12"/>
                <w:color w:val="auto"/>
              </w:rPr>
            </w:pPr>
          </w:p>
        </w:tc>
        <w:tc>
          <w:tcPr>
            <w:tcW w:w="21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12/22/28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11.84 %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14,668</w:t>
            </w: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05/07/26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11.65 %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11/30/26</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11.26 %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14,837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06/10/25</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13,869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05/23/24</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12.04 %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07/21/27</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10,847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11.11 %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10.76 %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11.51 %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Unfunded Term Loan (3)</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08/03/29</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07/01/29</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1"/>
              <w:spacing w:after="0" w:line="180" w:lineRule="exact"/>
              <w:rPr>
                <w:sz w:val="20"/>
                <w:szCs w:val="20"/>
                <w:color w:val="auto"/>
              </w:rPr>
            </w:pPr>
            <w:r>
              <w:rPr>
                <w:rFonts w:ascii="Times New Roman" w:cs="Times New Roman" w:eastAsia="Times New Roman" w:hAnsi="Times New Roman"/>
                <w:sz w:val="10"/>
                <w:szCs w:val="10"/>
                <w:color w:val="auto"/>
              </w:rPr>
              <w:t xml:space="preserve">11.14 </w:t>
            </w:r>
            <w:r>
              <w:rPr>
                <w:rFonts w:ascii="Times New Roman" w:cs="Times New Roman" w:eastAsia="Times New Roman" w:hAnsi="Times New Roman"/>
                <w:sz w:val="19"/>
                <w:szCs w:val="19"/>
                <w:color w:val="auto"/>
                <w:vertAlign w:val="subscript"/>
              </w:rPr>
              <w:t>%</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14,604</w:t>
            </w:r>
          </w:p>
        </w:tc>
        <w:tc>
          <w:tcPr>
            <w:tcW w:w="2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01/31/28</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11.83 %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09/17/24</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17,588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12/04/25</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09/26/29</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06/14/28</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17,013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08/20/26</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11.60 %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07/13/27</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11.16 %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08/16/27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6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08/31/27</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3"/>
                <w:szCs w:val="13"/>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28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12/21/28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3,959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11/03/25</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14,395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14,345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06/30/24</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8,561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01/10/29</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6,219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01/17/24</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05/29/29</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11.89 %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12,171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03/15/27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06/17/28</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02/23/28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12.43 %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4,373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4,291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03/16/26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11.96 %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7,027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08/10/27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11/23/28</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11.32 %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12/17/26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12/10/24</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09/22/28</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11.45 %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11/15/27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5,565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12/31/24</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12.50 %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SOFR+715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19,410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12/28/28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12.24 %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SOFR+685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10,867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11/01/26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08/27/26</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12/20/23</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13.42 %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SOFR+800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11/10/27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SOFR+615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16,641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37"/>
        </w:trPr>
        <w:tc>
          <w:tcPr>
            <w:tcW w:w="28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0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10/31/24</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Entertainment</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11.46 %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4,658</w:t>
            </w: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4,631</w:t>
            </w: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02/18/27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12.13 %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02/03/26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12,056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01/31/30</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SOFR+665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6,206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04/01/27</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7,601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7,153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05/14/26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11.04 %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04/16/27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12/10/27</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10.58 %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10/01/27</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11.04 %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08/19/26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7,429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05/09/29</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SOFR+660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7,910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05/07/27</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11.68 %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02/04/28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8"/>
              </w:rPr>
              <w:t>Education</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10.80 %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3,794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05/18/26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12.90 %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12/02/26</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11/09/27</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rPr>
              <w:t>Retail</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12.42 %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7,930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7,818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7,137</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05/08/26</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11/19/26</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03/31/25</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12,703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12,641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12/18/25</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4/28/2028</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4,937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4,800</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1/29/2026</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12.54 %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9,458</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12/20/2024</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14,332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12,591</w:t>
            </w:r>
          </w:p>
        </w:tc>
        <w:tc>
          <w:tcPr>
            <w:tcW w:w="0" w:type="dxa"/>
            <w:vAlign w:val="bottom"/>
          </w:tcPr>
          <w:p>
            <w:pPr>
              <w:spacing w:after="0"/>
              <w:rPr>
                <w:sz w:val="1"/>
                <w:szCs w:val="1"/>
                <w:color w:val="auto"/>
              </w:rPr>
            </w:pPr>
          </w:p>
        </w:tc>
      </w:tr>
      <w:tr>
        <w:trPr>
          <w:trHeight w:val="140"/>
        </w:trPr>
        <w:tc>
          <w:tcPr>
            <w:tcW w:w="28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60" w:type="dxa"/>
            <w:vAlign w:val="bottom"/>
            <w:vMerge w:val="restart"/>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6/20/2025</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vMerge w:val="restart"/>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10.54 %</w:t>
            </w:r>
          </w:p>
        </w:tc>
        <w:tc>
          <w:tcPr>
            <w:tcW w:w="1080" w:type="dxa"/>
            <w:vAlign w:val="bottom"/>
            <w:vMerge w:val="restart"/>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3,176</w:t>
            </w:r>
          </w:p>
        </w:tc>
        <w:tc>
          <w:tcPr>
            <w:tcW w:w="24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3,162</w:t>
            </w:r>
          </w:p>
        </w:tc>
        <w:tc>
          <w:tcPr>
            <w:tcW w:w="28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3,131</w:t>
            </w:r>
          </w:p>
        </w:tc>
        <w:tc>
          <w:tcPr>
            <w:tcW w:w="0" w:type="dxa"/>
            <w:vAlign w:val="bottom"/>
          </w:tcPr>
          <w:p>
            <w:pPr>
              <w:spacing w:after="0"/>
              <w:rPr>
                <w:sz w:val="1"/>
                <w:szCs w:val="1"/>
                <w:color w:val="auto"/>
              </w:rPr>
            </w:pPr>
          </w:p>
        </w:tc>
      </w:tr>
      <w:tr>
        <w:trPr>
          <w:trHeight w:val="92"/>
        </w:trPr>
        <w:tc>
          <w:tcPr>
            <w:tcW w:w="2800" w:type="dxa"/>
            <w:vAlign w:val="bottom"/>
            <w:vMerge w:val="continue"/>
            <w:shd w:val="clear" w:color="auto" w:fill="CCECFF"/>
          </w:tcPr>
          <w:p>
            <w:pPr>
              <w:spacing w:after="0"/>
              <w:rPr>
                <w:sz w:val="8"/>
                <w:szCs w:val="8"/>
                <w:color w:val="auto"/>
              </w:rPr>
            </w:pPr>
          </w:p>
        </w:tc>
        <w:tc>
          <w:tcPr>
            <w:tcW w:w="860" w:type="dxa"/>
            <w:vAlign w:val="bottom"/>
            <w:vMerge w:val="continue"/>
            <w:shd w:val="clear" w:color="auto" w:fill="CCECFF"/>
          </w:tcPr>
          <w:p>
            <w:pPr>
              <w:spacing w:after="0"/>
              <w:rPr>
                <w:sz w:val="8"/>
                <w:szCs w:val="8"/>
                <w:color w:val="auto"/>
              </w:rPr>
            </w:pPr>
          </w:p>
        </w:tc>
        <w:tc>
          <w:tcPr>
            <w:tcW w:w="2140" w:type="dxa"/>
            <w:vAlign w:val="bottom"/>
            <w:shd w:val="clear" w:color="auto" w:fill="CCECFF"/>
          </w:tcPr>
          <w:p>
            <w:pPr>
              <w:spacing w:after="0"/>
              <w:rPr>
                <w:sz w:val="8"/>
                <w:szCs w:val="8"/>
                <w:color w:val="auto"/>
              </w:rPr>
            </w:pPr>
          </w:p>
        </w:tc>
        <w:tc>
          <w:tcPr>
            <w:tcW w:w="900" w:type="dxa"/>
            <w:vAlign w:val="bottom"/>
            <w:vMerge w:val="continue"/>
            <w:shd w:val="clear" w:color="auto" w:fill="CCECFF"/>
          </w:tcPr>
          <w:p>
            <w:pPr>
              <w:spacing w:after="0"/>
              <w:rPr>
                <w:sz w:val="8"/>
                <w:szCs w:val="8"/>
                <w:color w:val="auto"/>
              </w:rPr>
            </w:pPr>
          </w:p>
        </w:tc>
        <w:tc>
          <w:tcPr>
            <w:tcW w:w="1080" w:type="dxa"/>
            <w:vAlign w:val="bottom"/>
            <w:vMerge w:val="continue"/>
            <w:shd w:val="clear" w:color="auto" w:fill="CCECFF"/>
          </w:tcPr>
          <w:p>
            <w:pPr>
              <w:spacing w:after="0"/>
              <w:rPr>
                <w:sz w:val="8"/>
                <w:szCs w:val="8"/>
                <w:color w:val="auto"/>
              </w:rPr>
            </w:pPr>
          </w:p>
        </w:tc>
        <w:tc>
          <w:tcPr>
            <w:tcW w:w="100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40" w:type="dxa"/>
            <w:vAlign w:val="bottom"/>
            <w:vMerge w:val="continue"/>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6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3/10/2025</w:t>
            </w:r>
          </w:p>
        </w:tc>
        <w:tc>
          <w:tcPr>
            <w:tcW w:w="214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8"/>
              </w:rPr>
              <w:t>Education</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10,895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6/16/2029</w:t>
            </w:r>
          </w:p>
        </w:tc>
        <w:tc>
          <w:tcPr>
            <w:tcW w:w="214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3,678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132" w:right="68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6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5"/>
        </w:trPr>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100" w:type="dxa"/>
            <w:vAlign w:val="bottom"/>
            <w:vMerge w:val="restart"/>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6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69"/>
              <w:spacing w:after="0" w:line="156"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11.59 %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6,859</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36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12.92 %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4,872</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206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14,850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206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12.04 %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11,201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9.93 %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3"/>
              </w:rPr>
              <w:t>Communications</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12.37 %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11.04 %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9,607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12,099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10.43 %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3,572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06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11.49 %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15,966</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10.75 %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SOFR+515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2,688</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2,936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06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12.04 %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11,095</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12.79 %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7,855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11.70 %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7,690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Food</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10.68 %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5,479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8"/>
              </w:rPr>
              <w:t>Education</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11.80 %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7,177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06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10.90 %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3,860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10.54 %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SOFR+515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11,386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06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12.67 %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19,682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0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00" w:type="dxa"/>
            <w:vAlign w:val="bottom"/>
            <w:tcBorders>
              <w:bottom w:val="single" w:sz="8" w:color="CCECFF"/>
            </w:tcBorders>
            <w:shd w:val="clear" w:color="auto" w:fill="CCECFF"/>
          </w:tcPr>
          <w:p>
            <w:pPr>
              <w:spacing w:after="0"/>
              <w:rPr>
                <w:sz w:val="16"/>
                <w:szCs w:val="16"/>
                <w:color w:val="auto"/>
              </w:rPr>
            </w:pPr>
          </w:p>
        </w:tc>
        <w:tc>
          <w:tcPr>
            <w:tcW w:w="206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Borders>
              <w:bottom w:val="single" w:sz="8" w:color="CCECFF"/>
            </w:tcBorders>
            <w:shd w:val="clear" w:color="auto" w:fill="CCECFF"/>
          </w:tcPr>
          <w:p>
            <w:pPr>
              <w:spacing w:after="0"/>
              <w:rPr>
                <w:sz w:val="16"/>
                <w:szCs w:val="16"/>
                <w:color w:val="auto"/>
              </w:rPr>
            </w:pPr>
          </w:p>
        </w:tc>
        <w:tc>
          <w:tcPr>
            <w:tcW w:w="206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3080"/>
        <w:spacing w:after="0" w:line="231"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ind w:right="3200"/>
        <w:spacing w:after="0" w:line="211"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 in thousands):</w:t>
            </w: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8"/>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March 31, 2024 (Unaudited)</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cost—$928,066 and $810,737, respectively)</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923,865</w:t>
            </w:r>
          </w:p>
        </w:tc>
        <w:tc>
          <w:tcPr>
            <w:tcW w:w="6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(cost—$55,892 and $59,096, respectively)</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7,043</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80" w:type="dxa"/>
            <w:vAlign w:val="bottom"/>
            <w:shd w:val="clear" w:color="auto" w:fill="CCECFF"/>
          </w:tcPr>
          <w:p>
            <w:pPr>
              <w:spacing w:after="0"/>
              <w:rPr>
                <w:sz w:val="16"/>
                <w:szCs w:val="16"/>
                <w:color w:val="auto"/>
              </w:rPr>
            </w:pPr>
          </w:p>
        </w:tc>
      </w:tr>
      <w:tr>
        <w:trPr>
          <w:trHeight w:val="177"/>
        </w:trPr>
        <w:tc>
          <w:tcPr>
            <w:tcW w:w="59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987,402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Pr>
          <w:p>
            <w:pPr>
              <w:spacing w:after="0"/>
              <w:rPr>
                <w:sz w:val="15"/>
                <w:szCs w:val="15"/>
                <w:color w:val="auto"/>
              </w:rPr>
            </w:pPr>
          </w:p>
        </w:tc>
      </w:tr>
      <w:tr>
        <w:trPr>
          <w:trHeight w:val="177"/>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14"/>
        </w:trPr>
        <w:tc>
          <w:tcPr>
            <w:tcW w:w="598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90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18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244,478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243,923</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163,600</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7,750</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867,474</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80" w:type="dxa"/>
            <w:vAlign w:val="bottom"/>
            <w:shd w:val="clear" w:color="auto" w:fill="CCECFF"/>
          </w:tcPr>
          <w:p>
            <w:pPr>
              <w:spacing w:after="0"/>
              <w:rPr>
                <w:sz w:val="16"/>
                <w:szCs w:val="16"/>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9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119,928</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80" w:type="dxa"/>
            <w:vAlign w:val="bottom"/>
            <w:shd w:val="clear" w:color="auto" w:fill="CCECFF"/>
          </w:tcPr>
          <w:p>
            <w:pPr>
              <w:spacing w:after="0"/>
              <w:rPr>
                <w:sz w:val="16"/>
                <w:szCs w:val="16"/>
                <w:color w:val="auto"/>
              </w:rPr>
            </w:pPr>
          </w:p>
        </w:tc>
      </w:tr>
      <w:tr>
        <w:trPr>
          <w:trHeight w:val="177"/>
        </w:trPr>
        <w:tc>
          <w:tcPr>
            <w:tcW w:w="59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987,402</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Pr>
          <w:p>
            <w:pPr>
              <w:spacing w:after="0"/>
              <w:rPr>
                <w:sz w:val="15"/>
                <w:szCs w:val="15"/>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As of March 31, 2024 and September 30, 2023, PSLF had zero and $0.5 million, respectively, of unfunded commitments to fund investments</w:t>
      </w:r>
    </w:p>
    <w:p>
      <w:pPr>
        <w:sectPr>
          <w:pgSz w:w="11900" w:h="16840" w:orient="portrait"/>
          <w:cols w:equalWidth="0" w:num="1">
            <w:col w:w="10560"/>
          </w:cols>
          <w:pgMar w:left="660" w:top="1132" w:right="68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528"/>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0" w:type="dxa"/>
            <w:vAlign w:val="bottom"/>
          </w:tcPr>
          <w:p>
            <w:pPr>
              <w:spacing w:after="0"/>
              <w:rPr>
                <w:sz w:val="24"/>
                <w:szCs w:val="24"/>
                <w:color w:val="auto"/>
              </w:rPr>
            </w:pPr>
          </w:p>
        </w:tc>
        <w:tc>
          <w:tcPr>
            <w:tcW w:w="204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0"/>
        </w:trPr>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27,839</w:t>
            </w:r>
          </w:p>
        </w:tc>
        <w:tc>
          <w:tcPr>
            <w:tcW w:w="34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21,223</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54,946</w:t>
            </w:r>
          </w:p>
        </w:tc>
        <w:tc>
          <w:tcPr>
            <w:tcW w:w="40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40,068</w:t>
            </w:r>
          </w:p>
        </w:tc>
        <w:tc>
          <w:tcPr>
            <w:tcW w:w="80" w:type="dxa"/>
            <w:vAlign w:val="bottom"/>
            <w:shd w:val="clear" w:color="auto" w:fill="CCECFF"/>
          </w:tcPr>
          <w:p>
            <w:pPr>
              <w:spacing w:after="0"/>
              <w:rPr>
                <w:sz w:val="16"/>
                <w:szCs w:val="16"/>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5"/>
                <w:szCs w:val="15"/>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28,173</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21,974</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55,420</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40,916</w:t>
            </w:r>
          </w:p>
        </w:tc>
        <w:tc>
          <w:tcPr>
            <w:tcW w:w="80" w:type="dxa"/>
            <w:vAlign w:val="bottom"/>
            <w:shd w:val="clear" w:color="auto" w:fill="CCECFF"/>
          </w:tcPr>
          <w:p>
            <w:pPr>
              <w:spacing w:after="0"/>
              <w:rPr>
                <w:sz w:val="16"/>
                <w:szCs w:val="16"/>
                <w:color w:val="auto"/>
              </w:rPr>
            </w:pP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12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13,338</w:t>
            </w: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8,874</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25,978</w:t>
            </w: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16,689</w:t>
            </w:r>
          </w:p>
        </w:tc>
        <w:tc>
          <w:tcPr>
            <w:tcW w:w="80" w:type="dxa"/>
            <w:vAlign w:val="bottom"/>
            <w:shd w:val="clear" w:color="auto" w:fill="CCECFF"/>
          </w:tcPr>
          <w:p>
            <w:pPr>
              <w:spacing w:after="0"/>
              <w:rPr>
                <w:sz w:val="15"/>
                <w:szCs w:val="15"/>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9,726</w:t>
            </w:r>
          </w:p>
        </w:tc>
        <w:tc>
          <w:tcPr>
            <w:tcW w:w="80" w:type="dxa"/>
            <w:vAlign w:val="bottom"/>
          </w:tcPr>
          <w:p>
            <w:pPr>
              <w:spacing w:after="0"/>
              <w:rPr>
                <w:sz w:val="15"/>
                <w:szCs w:val="15"/>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80" w:type="dxa"/>
            <w:vAlign w:val="bottom"/>
            <w:shd w:val="clear" w:color="auto" w:fill="CCECFF"/>
          </w:tcPr>
          <w:p>
            <w:pPr>
              <w:spacing w:after="0"/>
              <w:rPr>
                <w:sz w:val="16"/>
                <w:szCs w:val="16"/>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5"/>
                <w:szCs w:val="15"/>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20,230</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14,547</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39,479</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27,926</w:t>
            </w:r>
          </w:p>
        </w:tc>
        <w:tc>
          <w:tcPr>
            <w:tcW w:w="80" w:type="dxa"/>
            <w:vAlign w:val="bottom"/>
            <w:shd w:val="clear" w:color="auto" w:fill="CCECFF"/>
          </w:tcPr>
          <w:p>
            <w:pPr>
              <w:spacing w:after="0"/>
              <w:rPr>
                <w:sz w:val="16"/>
                <w:szCs w:val="16"/>
                <w:color w:val="auto"/>
              </w:rPr>
            </w:pPr>
          </w:p>
        </w:tc>
      </w:tr>
      <w:tr>
        <w:trPr>
          <w:trHeight w:val="177"/>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12,990</w:t>
            </w:r>
          </w:p>
        </w:tc>
        <w:tc>
          <w:tcPr>
            <w:tcW w:w="80" w:type="dxa"/>
            <w:vAlign w:val="bottom"/>
          </w:tcPr>
          <w:p>
            <w:pPr>
              <w:spacing w:after="0"/>
              <w:rPr>
                <w:sz w:val="15"/>
                <w:szCs w:val="15"/>
                <w:color w:val="auto"/>
              </w:rPr>
            </w:pPr>
          </w:p>
        </w:tc>
      </w:tr>
      <w:tr>
        <w:trPr>
          <w:trHeight w:val="183"/>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r>
      <w:tr>
        <w:trPr>
          <w:trHeight w:val="184"/>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(1,695 )</w:t>
            </w: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(5,617 )</w:t>
            </w: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(1,641 )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(5,596 )</w:t>
            </w:r>
          </w:p>
        </w:tc>
      </w:tr>
      <w:tr>
        <w:trPr>
          <w:trHeight w:val="220"/>
        </w:trPr>
        <w:tc>
          <w:tcPr>
            <w:tcW w:w="6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9,335</w:t>
            </w:r>
          </w:p>
        </w:tc>
        <w:tc>
          <w:tcPr>
            <w:tcW w:w="1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5,786</w:t>
            </w: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18,276</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rPr>
          <w:sz w:val="20"/>
          <w:szCs w:val="20"/>
          <w:color w:val="auto"/>
        </w:rPr>
      </w:pPr>
      <w:r>
        <w:rPr>
          <w:rFonts w:ascii="Times New Roman" w:cs="Times New Roman" w:eastAsia="Times New Roman" w:hAnsi="Times New Roman"/>
          <w:sz w:val="10"/>
          <w:szCs w:val="10"/>
          <w:color w:val="auto"/>
        </w:rPr>
        <w:t>———————————</w:t>
      </w:r>
    </w:p>
    <w:p>
      <w:pPr>
        <w:ind w:left="160" w:hanging="154"/>
        <w:spacing w:after="0" w:line="231" w:lineRule="auto"/>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management or incentive fees are payable by PSLF.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600" w:right="780" w:hanging="1055"/>
        <w:spacing w:after="0" w:line="268" w:lineRule="auto"/>
        <w:tabs>
          <w:tab w:leader="none" w:pos="15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5" w:lineRule="exact"/>
        <w:rPr>
          <w:sz w:val="20"/>
          <w:szCs w:val="20"/>
          <w:color w:val="auto"/>
        </w:rPr>
      </w:pPr>
    </w:p>
    <w:p>
      <w:pPr>
        <w:ind w:left="1600" w:right="780" w:hanging="1055"/>
        <w:spacing w:after="0" w:line="286" w:lineRule="auto"/>
        <w:tabs>
          <w:tab w:leader="none" w:pos="15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244"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Truist Credit Facility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88"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our 2026 Notes -2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ectPr>
          <w:pgSz w:w="11900" w:h="16840" w:orient="portrait"/>
          <w:cols w:equalWidth="0" w:num="1">
            <w:col w:w="10560"/>
          </w:cols>
          <w:pgMar w:left="660" w:top="1132" w:right="68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30" w:lineRule="exact"/>
        <w:rPr>
          <w:sz w:val="20"/>
          <w:szCs w:val="20"/>
          <w:color w:val="auto"/>
        </w:rPr>
      </w:pPr>
    </w:p>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 ($ in thousands)</w:t>
            </w:r>
          </w:p>
        </w:tc>
        <w:tc>
          <w:tcPr>
            <w:tcW w:w="200" w:type="dxa"/>
            <w:vAlign w:val="bottom"/>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20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xml:space="preserve">(Weighted Average) </w:t>
            </w:r>
            <w:r>
              <w:rPr>
                <w:rFonts w:ascii="Times New Roman" w:cs="Times New Roman" w:eastAsia="Times New Roman" w:hAnsi="Times New Roman"/>
                <w:sz w:val="16"/>
                <w:szCs w:val="16"/>
                <w:b w:val="1"/>
                <w:bCs w:val="1"/>
                <w:color w:val="auto"/>
                <w:w w:val="97"/>
                <w:vertAlign w:val="superscript"/>
              </w:rPr>
              <w:t>(1)</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9,060</w:t>
            </w:r>
          </w:p>
        </w:tc>
        <w:tc>
          <w:tcPr>
            <w:tcW w:w="220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260"/>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00" w:type="dxa"/>
            <w:vAlign w:val="bottom"/>
            <w:tcBorders>
              <w:bottom w:val="single" w:sz="8" w:color="CCECFF"/>
            </w:tcBorders>
            <w:shd w:val="clear" w:color="auto" w:fill="CCECFF"/>
          </w:tcPr>
          <w:p>
            <w:pPr>
              <w:spacing w:after="0"/>
              <w:rPr>
                <w:sz w:val="22"/>
                <w:szCs w:val="22"/>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661,521</w:t>
            </w:r>
          </w:p>
        </w:tc>
        <w:tc>
          <w:tcPr>
            <w:tcW w:w="2200" w:type="dxa"/>
            <w:vAlign w:val="bottom"/>
            <w:tcBorders>
              <w:bottom w:val="single" w:sz="8" w:color="CCECFF"/>
            </w:tcBorders>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 - 16.5% (10.7%)</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8,024</w:t>
            </w:r>
          </w:p>
        </w:tc>
        <w:tc>
          <w:tcPr>
            <w:tcW w:w="220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7.5x</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63,737</w:t>
            </w:r>
          </w:p>
        </w:tc>
        <w:tc>
          <w:tcPr>
            <w:tcW w:w="2200" w:type="dxa"/>
            <w:vAlign w:val="bottom"/>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14.3% - 17.0% (14.9%)</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165,098</w:t>
            </w:r>
          </w:p>
        </w:tc>
        <w:tc>
          <w:tcPr>
            <w:tcW w:w="220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13.3% - 16.7% (14.0%)</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185,784</w:t>
            </w:r>
          </w:p>
        </w:tc>
        <w:tc>
          <w:tcPr>
            <w:tcW w:w="2200" w:type="dxa"/>
            <w:vAlign w:val="bottom"/>
            <w:shd w:val="clear" w:color="auto" w:fill="CCECFF"/>
          </w:tcPr>
          <w:p>
            <w:pPr>
              <w:jc w:val="center"/>
              <w:ind w:left="17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0.5x - 18.3x (10.6x)</w:t>
            </w:r>
          </w:p>
        </w:tc>
      </w:tr>
      <w:tr>
        <w:trPr>
          <w:trHeight w:val="176"/>
        </w:trPr>
        <w:tc>
          <w:tcPr>
            <w:tcW w:w="2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1,093,224</w:t>
            </w:r>
          </w:p>
        </w:tc>
        <w:tc>
          <w:tcPr>
            <w:tcW w:w="2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200" w:type="dxa"/>
            <w:vAlign w:val="bottom"/>
            <w:shd w:val="clear" w:color="auto" w:fill="CCECFF"/>
          </w:tcPr>
          <w:p>
            <w:pPr>
              <w:spacing w:after="0"/>
              <w:rPr>
                <w:sz w:val="16"/>
                <w:szCs w:val="16"/>
                <w:color w:val="auto"/>
              </w:rPr>
            </w:pPr>
          </w:p>
        </w:tc>
        <w:tc>
          <w:tcPr>
            <w:tcW w:w="1340" w:type="dxa"/>
            <w:vAlign w:val="bottom"/>
            <w:shd w:val="clear" w:color="auto" w:fill="CCECFF"/>
          </w:tcPr>
          <w:p>
            <w:pPr>
              <w:spacing w:after="0"/>
              <w:rPr>
                <w:sz w:val="16"/>
                <w:szCs w:val="16"/>
                <w:color w:val="auto"/>
              </w:rPr>
            </w:pPr>
          </w:p>
        </w:tc>
        <w:tc>
          <w:tcPr>
            <w:tcW w:w="2200" w:type="dxa"/>
            <w:vAlign w:val="bottom"/>
            <w:shd w:val="clear" w:color="auto" w:fill="CCECFF"/>
          </w:tcPr>
          <w:p>
            <w:pPr>
              <w:spacing w:after="0"/>
              <w:rPr>
                <w:sz w:val="16"/>
                <w:szCs w:val="16"/>
                <w:color w:val="auto"/>
              </w:rPr>
            </w:pPr>
          </w:p>
        </w:tc>
        <w:tc>
          <w:tcPr>
            <w:tcW w:w="2220" w:type="dxa"/>
            <w:vAlign w:val="bottom"/>
            <w:shd w:val="clear" w:color="auto" w:fill="CCECFF"/>
          </w:tcPr>
          <w:p>
            <w:pPr>
              <w:spacing w:after="0"/>
              <w:rPr>
                <w:sz w:val="16"/>
                <w:szCs w:val="16"/>
                <w:color w:val="auto"/>
              </w:rPr>
            </w:pPr>
          </w:p>
        </w:tc>
        <w:tc>
          <w:tcPr>
            <w:tcW w:w="2020" w:type="dxa"/>
            <w:vAlign w:val="bottom"/>
            <w:shd w:val="clear" w:color="auto" w:fill="CCECFF"/>
          </w:tcPr>
          <w:p>
            <w:pPr>
              <w:spacing w:after="0"/>
              <w:rPr>
                <w:sz w:val="16"/>
                <w:szCs w:val="16"/>
                <w:color w:val="auto"/>
              </w:rPr>
            </w:pP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220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color w:val="auto"/>
        </w:rPr>
        <w:t>(1)The weighted averages disclosed in the table above were weighted by their relative fair value.</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color w:val="auto"/>
        </w:rPr>
        <w:t>(2)DLOM is defined as discount for lack of marketability.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6"/>
                <w:szCs w:val="16"/>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80"/>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512,567</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 – 25.0% (11.4%)</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9,512</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70,884</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 - 20.8% (15.9%)</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156,222</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13.4% - 18.8% (14.3%)</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161,895</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0.5x - 17.7x (10.9x)</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4"/>
              </w:rPr>
              <w:t>DLOM</w:t>
            </w:r>
            <w:r>
              <w:rPr>
                <w:rFonts w:ascii="Times New Roman" w:cs="Times New Roman" w:eastAsia="Times New Roman" w:hAnsi="Times New Roman"/>
                <w:sz w:val="16"/>
                <w:szCs w:val="16"/>
                <w:color w:val="auto"/>
                <w:w w:val="94"/>
                <w:vertAlign w:val="superscript"/>
              </w:rPr>
              <w:t>(2)</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27.9%</w:t>
            </w:r>
          </w:p>
        </w:tc>
      </w:tr>
      <w:tr>
        <w:trPr>
          <w:trHeight w:val="180"/>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20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rPr>
                <w:sz w:val="13"/>
                <w:szCs w:val="13"/>
                <w:color w:val="auto"/>
              </w:rPr>
            </w:pPr>
          </w:p>
        </w:tc>
        <w:tc>
          <w:tcPr>
            <w:tcW w:w="1940" w:type="dxa"/>
            <w:vAlign w:val="bottom"/>
            <w:shd w:val="clear" w:color="auto" w:fill="CCECFF"/>
          </w:tcPr>
          <w:p>
            <w:pPr>
              <w:spacing w:after="0"/>
              <w:rPr>
                <w:sz w:val="13"/>
                <w:szCs w:val="13"/>
                <w:color w:val="auto"/>
              </w:rPr>
            </w:pPr>
          </w:p>
        </w:tc>
      </w:tr>
      <w:tr>
        <w:trPr>
          <w:trHeight w:val="22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w:t>
            </w: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weighted averages disclosed in the table above were weighted by their relative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2.DLOM is defined as discount for lack of marketability.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9080" w:type="dxa"/>
            <w:vAlign w:val="bottom"/>
            <w:gridSpan w:val="12"/>
          </w:tcPr>
          <w:p>
            <w:pPr>
              <w:ind w:left="420"/>
              <w:spacing w:after="0"/>
              <w:rPr>
                <w:sz w:val="20"/>
                <w:szCs w:val="20"/>
                <w:color w:val="auto"/>
              </w:rPr>
            </w:pPr>
            <w:r>
              <w:rPr>
                <w:rFonts w:ascii="Times New Roman" w:cs="Times New Roman" w:eastAsia="Times New Roman" w:hAnsi="Times New Roman"/>
                <w:sz w:val="13"/>
                <w:szCs w:val="13"/>
                <w:color w:val="auto"/>
              </w:rPr>
              <w:t>Our investments, cash and cash equivalents, Truist Credit Facility, 2026 Notes and 2026 Notes-2 were categorized as follows in the fair value hierarchy: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Fair Value at March 31, 2024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00" w:type="dxa"/>
            <w:vAlign w:val="bottom"/>
          </w:tcPr>
          <w:p>
            <w:pPr>
              <w:spacing w:after="0"/>
              <w:rPr>
                <w:sz w:val="13"/>
                <w:szCs w:val="13"/>
                <w:color w:val="auto"/>
              </w:rPr>
            </w:pPr>
          </w:p>
        </w:tc>
        <w:tc>
          <w:tcPr>
            <w:tcW w:w="104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3"/>
                <w:szCs w:val="13"/>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907,440</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907,440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59,685</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59,685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271,106</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185,784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1,238,231</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59,685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1,093,224</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85,322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35,418</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35,418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35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1,273,649</w:t>
            </w:r>
          </w:p>
        </w:tc>
        <w:tc>
          <w:tcPr>
            <w:tcW w:w="240" w:type="dxa"/>
            <w:vAlign w:val="bottom"/>
            <w:tcBorders>
              <w:bottom w:val="single" w:sz="8" w:color="CCECFF"/>
            </w:tcBorders>
            <w:shd w:val="clear" w:color="auto" w:fill="CCECFF"/>
          </w:tcPr>
          <w:p>
            <w:pPr>
              <w:spacing w:after="0"/>
              <w:rPr>
                <w:sz w:val="19"/>
                <w:szCs w:val="19"/>
                <w:color w:val="auto"/>
              </w:rPr>
            </w:pPr>
          </w:p>
        </w:tc>
        <w:tc>
          <w:tcPr>
            <w:tcW w:w="800" w:type="dxa"/>
            <w:vAlign w:val="bottom"/>
            <w:tcBorders>
              <w:bottom w:val="single" w:sz="8" w:color="auto"/>
            </w:tcBorders>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35,418</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59,685</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1,093,224</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85,322</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148,120</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148,120</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162,653</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162,653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703,319</w:t>
            </w:r>
          </w:p>
        </w:tc>
        <w:tc>
          <w:tcPr>
            <w:tcW w:w="240" w:type="dxa"/>
            <w:vAlign w:val="bottom"/>
            <w:tcBorders>
              <w:bottom w:val="single" w:sz="8" w:color="CCECFF"/>
            </w:tcBorders>
            <w:shd w:val="clear" w:color="auto" w:fill="CCECFF"/>
          </w:tcPr>
          <w:p>
            <w:pPr>
              <w:spacing w:after="0"/>
              <w:rPr>
                <w:sz w:val="19"/>
                <w:szCs w:val="19"/>
                <w:color w:val="auto"/>
              </w:rPr>
            </w:pPr>
          </w:p>
        </w:tc>
        <w:tc>
          <w:tcPr>
            <w:tcW w:w="800" w:type="dxa"/>
            <w:vAlign w:val="bottom"/>
            <w:tcBorders>
              <w:bottom w:val="single" w:sz="8" w:color="auto"/>
            </w:tcBorders>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310,773</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1"/>
          <w:szCs w:val="11"/>
          <w:color w:val="auto"/>
        </w:rPr>
        <w:t>(1)In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(2)We elected not to apply ASC 825-10 to the 2026 Notes and the 2026 Notes-2, and thus the balance reported in the Consolidated Statement of Assets and Liabilities represents the carrying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Our U.S. Treasury Bills are classified as Level 2, as they were valued by the pricing service who utilize broker-supplied prices.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237,621</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516,835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309,895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11201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125"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0"/>
          <w:szCs w:val="10"/>
          <w:color w:val="auto"/>
        </w:rPr>
        <w:t>(1)In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rPr>
          <w:sz w:val="20"/>
          <w:szCs w:val="20"/>
          <w:color w:val="auto"/>
        </w:rPr>
      </w:pPr>
      <w:r>
        <w:rPr>
          <w:rFonts w:ascii="Times New Roman" w:cs="Times New Roman" w:eastAsia="Times New Roman" w:hAnsi="Times New Roman"/>
          <w:sz w:val="10"/>
          <w:szCs w:val="10"/>
          <w:color w:val="auto"/>
        </w:rPr>
        <w:t>(2)We elected not to apply ASC 825-10 to the SBA debentures and the 2026 Notes and thus the balance reported in the Consolidated Statement of Assets and Liabilities represents the carrying value.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(3)Our U.S. Treasury Bills are classified as Level 2, as they were valued by the pricing service who utilize broker-supplied prices.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investments measured at fair value using significant unobservable inputs (Level 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gridSpan w:val="6"/>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Six Months Ended March 31, 2024</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(18,136 )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(9,646 )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(27,782 )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4,868</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26,290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393,349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(236,916 )</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(10,222 )</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(247,138 )</w:t>
            </w: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907,440</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185,784</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1,093,224</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9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xml:space="preserve">(10,521 </w:t>
            </w:r>
            <w:r>
              <w:rPr>
                <w:rFonts w:ascii="Times New Roman" w:cs="Times New Roman" w:eastAsia="Times New Roman" w:hAnsi="Times New Roman"/>
                <w:sz w:val="26"/>
                <w:szCs w:val="26"/>
                <w:color w:val="auto"/>
                <w:vertAlign w:val="subscript"/>
              </w:rPr>
              <w:t>)</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11,479</w:t>
            </w:r>
          </w:p>
        </w:tc>
        <w:tc>
          <w:tcPr>
            <w:tcW w:w="240" w:type="dxa"/>
            <w:vAlign w:val="bottom"/>
          </w:tcPr>
          <w:p>
            <w:pPr>
              <w:spacing w:after="0"/>
              <w:rPr>
                <w:sz w:val="13"/>
                <w:szCs w:val="13"/>
                <w:color w:val="auto"/>
              </w:rPr>
            </w:pP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6"/>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Six Months Ended March 31, 2023</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12"/>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9"/>
                <w:szCs w:val="9"/>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9"/>
                <w:szCs w:val="9"/>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257,162</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(11,792 )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(128,201 )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(139,993 )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42,893</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44,447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126,528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(110,911 )</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(32,144 )</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(143,055 )</w:t>
            </w: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907,544</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159,603</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1,067,147</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9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xml:space="preserve">(2,814 </w:t>
            </w:r>
            <w:r>
              <w:rPr>
                <w:rFonts w:ascii="Times New Roman" w:cs="Times New Roman" w:eastAsia="Times New Roman" w:hAnsi="Times New Roman"/>
                <w:sz w:val="26"/>
                <w:szCs w:val="26"/>
                <w:color w:val="auto"/>
                <w:vertAlign w:val="subscript"/>
              </w:rPr>
              <w:t>)</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(42,728 </w:t>
            </w:r>
            <w:r>
              <w:rPr>
                <w:rFonts w:ascii="Times New Roman" w:cs="Times New Roman" w:eastAsia="Times New Roman" w:hAnsi="Times New Roman"/>
                <w:sz w:val="26"/>
                <w:szCs w:val="26"/>
                <w:color w:val="auto"/>
                <w:vertAlign w:val="subscript"/>
              </w:rPr>
              <w:t>)</w:t>
            </w: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(45,542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44"/>
        </w:trPr>
        <w:tc>
          <w:tcPr>
            <w:tcW w:w="59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132" w:right="68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2860" w:type="dxa"/>
            <w:vAlign w:val="bottom"/>
            <w:gridSpan w:val="2"/>
          </w:tcPr>
          <w:p>
            <w:pPr>
              <w:jc w:val="right"/>
              <w:ind w:right="1605"/>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6"/>
        </w:trPr>
        <w:tc>
          <w:tcPr>
            <w:tcW w:w="954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measured at fair value using significant unobservable inputs (Level 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8"/>
        </w:trPr>
        <w:tc>
          <w:tcPr>
            <w:tcW w:w="4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6"/>
                <w:szCs w:val="16"/>
                <w:color w:val="auto"/>
              </w:rPr>
            </w:pPr>
          </w:p>
        </w:tc>
      </w:tr>
      <w:tr>
        <w:trPr>
          <w:trHeight w:val="184"/>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$212,420 and $385,920, respectively)</w:t>
            </w:r>
          </w:p>
        </w:tc>
        <w:tc>
          <w:tcPr>
            <w:tcW w:w="2860" w:type="dxa"/>
            <w:vAlign w:val="bottom"/>
            <w:gridSpan w:val="2"/>
            <w:shd w:val="clear" w:color="auto" w:fill="CCECFF"/>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80" w:type="dxa"/>
            <w:vAlign w:val="bottom"/>
            <w:shd w:val="clear" w:color="auto" w:fill="CCECFF"/>
          </w:tcPr>
          <w:p>
            <w:pPr>
              <w:spacing w:after="0"/>
              <w:rPr>
                <w:sz w:val="16"/>
                <w:szCs w:val="16"/>
                <w:color w:val="auto"/>
              </w:rPr>
            </w:pPr>
          </w:p>
        </w:tc>
        <w:tc>
          <w:tcPr>
            <w:tcW w:w="64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80" w:type="dxa"/>
            <w:vAlign w:val="bottom"/>
            <w:shd w:val="clear" w:color="auto" w:fill="CCECFF"/>
          </w:tcPr>
          <w:p>
            <w:pPr>
              <w:spacing w:after="0"/>
              <w:rPr>
                <w:sz w:val="16"/>
                <w:szCs w:val="16"/>
                <w:color w:val="auto"/>
              </w:rPr>
            </w:pPr>
          </w:p>
        </w:tc>
      </w:tr>
      <w:tr>
        <w:trPr>
          <w:trHeight w:val="176"/>
        </w:trPr>
        <w:tc>
          <w:tcPr>
            <w:tcW w:w="4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 included in earnings</w:t>
            </w:r>
          </w:p>
        </w:tc>
        <w:tc>
          <w:tcPr>
            <w:tcW w:w="2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(5,919 )</w:t>
            </w:r>
          </w:p>
        </w:tc>
      </w:tr>
      <w:tr>
        <w:trPr>
          <w:trHeight w:val="184"/>
        </w:trPr>
        <w:tc>
          <w:tcPr>
            <w:tcW w:w="45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(1)</w:t>
            </w:r>
          </w:p>
        </w:tc>
        <w:tc>
          <w:tcPr>
            <w:tcW w:w="248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331,036</w:t>
            </w:r>
          </w:p>
        </w:tc>
        <w:tc>
          <w:tcPr>
            <w:tcW w:w="280" w:type="dxa"/>
            <w:vAlign w:val="bottom"/>
            <w:shd w:val="clear" w:color="auto" w:fill="CCECFF"/>
          </w:tcPr>
          <w:p>
            <w:pPr>
              <w:spacing w:after="0"/>
              <w:rPr>
                <w:sz w:val="16"/>
                <w:szCs w:val="16"/>
                <w:color w:val="auto"/>
              </w:rPr>
            </w:pPr>
          </w:p>
        </w:tc>
        <w:tc>
          <w:tcPr>
            <w:tcW w:w="6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75,500</w:t>
            </w:r>
          </w:p>
        </w:tc>
        <w:tc>
          <w:tcPr>
            <w:tcW w:w="80" w:type="dxa"/>
            <w:vAlign w:val="bottom"/>
            <w:shd w:val="clear" w:color="auto" w:fill="CCECFF"/>
          </w:tcPr>
          <w:p>
            <w:pPr>
              <w:spacing w:after="0"/>
              <w:rPr>
                <w:sz w:val="16"/>
                <w:szCs w:val="16"/>
                <w:color w:val="auto"/>
              </w:rPr>
            </w:pPr>
          </w:p>
        </w:tc>
      </w:tr>
      <w:tr>
        <w:trPr>
          <w:trHeight w:val="180"/>
        </w:trPr>
        <w:tc>
          <w:tcPr>
            <w:tcW w:w="4520" w:type="dxa"/>
            <w:vAlign w:val="bottom"/>
          </w:tcPr>
          <w:p>
            <w:pPr>
              <w:ind w:left="340"/>
              <w:spacing w:after="0" w:line="180" w:lineRule="exact"/>
              <w:rPr>
                <w:sz w:val="20"/>
                <w:szCs w:val="20"/>
                <w:color w:val="auto"/>
              </w:rPr>
            </w:pPr>
            <w:r>
              <w:rPr>
                <w:rFonts w:ascii="Times New Roman" w:cs="Times New Roman" w:eastAsia="Times New Roman" w:hAnsi="Times New Roman"/>
                <w:sz w:val="13"/>
                <w:szCs w:val="13"/>
                <w:color w:val="auto"/>
              </w:rPr>
              <w:t xml:space="preserve">Repayments </w:t>
            </w:r>
            <w:r>
              <w:rPr>
                <w:rFonts w:ascii="Times New Roman" w:cs="Times New Roman" w:eastAsia="Times New Roman" w:hAnsi="Times New Roman"/>
                <w:sz w:val="16"/>
                <w:szCs w:val="16"/>
                <w:color w:val="auto"/>
                <w:vertAlign w:val="superscript"/>
              </w:rPr>
              <w:t>(1)</w:t>
            </w:r>
          </w:p>
        </w:tc>
        <w:tc>
          <w:tcPr>
            <w:tcW w:w="2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(147,000 )</w:t>
            </w:r>
          </w:p>
        </w:tc>
        <w:tc>
          <w:tcPr>
            <w:tcW w:w="6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(84,000 )</w:t>
            </w:r>
          </w:p>
        </w:tc>
      </w:tr>
      <w:tr>
        <w:trPr>
          <w:trHeight w:val="216"/>
        </w:trPr>
        <w:tc>
          <w:tcPr>
            <w:tcW w:w="45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4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5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(cost – $396,456 and $377,420, respectively)</w:t>
            </w:r>
          </w:p>
        </w:tc>
        <w:tc>
          <w:tcPr>
            <w:tcW w:w="2480" w:type="dxa"/>
            <w:vAlign w:val="bottom"/>
          </w:tcPr>
          <w:p>
            <w:pPr>
              <w:spacing w:after="0"/>
              <w:rPr>
                <w:sz w:val="15"/>
                <w:szCs w:val="15"/>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362,268</w:t>
            </w:r>
          </w:p>
        </w:tc>
        <w:tc>
          <w:tcPr>
            <w:tcW w:w="8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5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Temporary draws outstanding, at cost</w:t>
            </w:r>
          </w:p>
        </w:tc>
        <w:tc>
          <w:tcPr>
            <w:tcW w:w="24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5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(cost – $396,456 and $377,420, respectively)</w:t>
            </w:r>
          </w:p>
        </w:tc>
        <w:tc>
          <w:tcPr>
            <w:tcW w:w="2860" w:type="dxa"/>
            <w:vAlign w:val="bottom"/>
            <w:gridSpan w:val="2"/>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392,546</w:t>
            </w:r>
          </w:p>
        </w:tc>
        <w:tc>
          <w:tcPr>
            <w:tcW w:w="280" w:type="dxa"/>
            <w:vAlign w:val="bottom"/>
          </w:tcPr>
          <w:p>
            <w:pPr>
              <w:spacing w:after="0"/>
              <w:rPr>
                <w:sz w:val="15"/>
                <w:szCs w:val="15"/>
                <w:color w:val="auto"/>
              </w:rPr>
            </w:pPr>
          </w:p>
        </w:tc>
        <w:tc>
          <w:tcPr>
            <w:tcW w:w="6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362,268</w:t>
            </w:r>
          </w:p>
        </w:tc>
        <w:tc>
          <w:tcPr>
            <w:tcW w:w="8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temporary draws.</w:t>
      </w:r>
    </w:p>
    <w:p>
      <w:pPr>
        <w:spacing w:after="0" w:line="61"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we had outstanding non-U.S. dollar borrowings on our Credit Facility. Net change in fair value on foreign currency translation on outstanding borrowings is listed below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5"/>
                <w:szCs w:val="15"/>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5"/>
                <w:szCs w:val="15"/>
                <w:color w:val="auto"/>
              </w:rPr>
            </w:pPr>
          </w:p>
        </w:tc>
        <w:tc>
          <w:tcPr>
            <w:tcW w:w="162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8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84"/>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45,477</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June 26, 2024</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(3,943 )</w:t>
            </w:r>
          </w:p>
        </w:tc>
      </w:tr>
      <w:tr>
        <w:trPr>
          <w:trHeight w:val="172"/>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2,800</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2,036</w:t>
            </w: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2,069</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18,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r>
    </w:tbl>
    <w:p>
      <w:pPr>
        <w:spacing w:after="0" w:line="15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we had outstanding non-U.S. dollar borrowings on our Truist Credit Facility. Net change in fair value on foreign currency translation on outstanding borrowings is listed below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5"/>
                <w:szCs w:val="15"/>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5"/>
                <w:szCs w:val="15"/>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84"/>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43,940</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2023</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(5,480 )</w:t>
            </w:r>
          </w:p>
        </w:tc>
      </w:tr>
    </w:tbl>
    <w:p>
      <w:pPr>
        <w:spacing w:after="0" w:line="144"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and six months ended March 31, 2024 and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2026 Notes, and 2026 Notes-2.</w:t>
      </w:r>
    </w:p>
    <w:p>
      <w:pPr>
        <w:spacing w:after="0" w:line="134"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the Truist Credit Facility had a net change in unrealized (appreciation) depreciation of $0.5 million and $ (1.6) million, respectively. For the three and six months ended March 31, 2023, the Truist Credit Facility had a net change in unrealized (appreciation) depreciation of $1.5 million and $5.9 million, respectively. As of March 31, 2024 and September 30, 2023, the net unrealized depreciation on the Truist Credit Facility totaled $3.9 million and $5.5 million, respectively. We use an independent valuation service to measure the fair value of our Truist Credit Facility in a manner consistent with the valuation process that our board of directors uses to value our investments.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65"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2024 were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Net Realized</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Fair Value at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0"/>
                <w:szCs w:val="10"/>
                <w:color w:val="auto"/>
              </w:rPr>
            </w:pPr>
          </w:p>
        </w:tc>
        <w:tc>
          <w:tcPr>
            <w:tcW w:w="104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Appreciation /</w:t>
            </w:r>
          </w:p>
        </w:tc>
        <w:tc>
          <w:tcPr>
            <w:tcW w:w="80" w:type="dxa"/>
            <w:vAlign w:val="bottom"/>
          </w:tcPr>
          <w:p>
            <w:pPr>
              <w:spacing w:after="0"/>
              <w:rPr>
                <w:sz w:val="10"/>
                <w:szCs w:val="10"/>
                <w:color w:val="auto"/>
              </w:rPr>
            </w:pPr>
          </w:p>
        </w:tc>
        <w:tc>
          <w:tcPr>
            <w:tcW w:w="7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PIK</w:t>
            </w:r>
          </w:p>
        </w:tc>
        <w:tc>
          <w:tcPr>
            <w:tcW w:w="180" w:type="dxa"/>
            <w:vAlign w:val="bottom"/>
          </w:tcPr>
          <w:p>
            <w:pPr>
              <w:spacing w:after="0"/>
              <w:rPr>
                <w:sz w:val="10"/>
                <w:szCs w:val="10"/>
                <w:color w:val="auto"/>
              </w:rPr>
            </w:pP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Gains</w:t>
            </w: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 of Investment</w:t>
            </w:r>
          </w:p>
        </w:tc>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220" w:type="dxa"/>
            <w:vAlign w:val="bottom"/>
          </w:tcPr>
          <w:p>
            <w:pPr>
              <w:spacing w:after="0"/>
              <w:rPr>
                <w:sz w:val="13"/>
                <w:szCs w:val="13"/>
                <w:color w:val="auto"/>
              </w:rPr>
            </w:pPr>
          </w:p>
        </w:tc>
        <w:tc>
          <w:tcPr>
            <w:tcW w:w="640" w:type="dxa"/>
            <w:vAlign w:val="bottom"/>
            <w:gridSpan w:val="2"/>
          </w:tcPr>
          <w:p>
            <w:pPr>
              <w:jc w:val="right"/>
              <w:ind w:right="6"/>
              <w:spacing w:after="0" w:line="156" w:lineRule="exact"/>
              <w:rPr>
                <w:sz w:val="20"/>
                <w:szCs w:val="20"/>
                <w:color w:val="auto"/>
              </w:rPr>
            </w:pPr>
            <w:r>
              <w:rPr>
                <w:rFonts w:ascii="Times New Roman" w:cs="Times New Roman" w:eastAsia="Times New Roman" w:hAnsi="Times New Roman"/>
                <w:sz w:val="11"/>
                <w:szCs w:val="11"/>
                <w:b w:val="1"/>
                <w:bCs w:val="1"/>
                <w:color w:val="auto"/>
                <w:w w:val="98"/>
              </w:rPr>
              <w:t>Additions</w:t>
            </w:r>
            <w:r>
              <w:rPr>
                <w:rFonts w:ascii="Times New Roman" w:cs="Times New Roman" w:eastAsia="Times New Roman" w:hAnsi="Times New Roman"/>
                <w:sz w:val="14"/>
                <w:szCs w:val="14"/>
                <w:b w:val="1"/>
                <w:bCs w:val="1"/>
                <w:color w:val="auto"/>
                <w:w w:val="98"/>
                <w:vertAlign w:val="superscript"/>
              </w:rPr>
              <w:t>(1)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5"/>
              </w:rPr>
              <w:t>Reductions</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8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(Losses)</w:t>
            </w:r>
          </w:p>
        </w:tc>
        <w:tc>
          <w:tcPr>
            <w:tcW w:w="0" w:type="dxa"/>
            <w:vAlign w:val="bottom"/>
          </w:tcPr>
          <w:p>
            <w:pPr>
              <w:spacing w:after="0"/>
              <w:rPr>
                <w:sz w:val="1"/>
                <w:szCs w:val="1"/>
                <w:color w:val="auto"/>
              </w:rPr>
            </w:pPr>
          </w:p>
        </w:tc>
      </w:tr>
      <w:tr>
        <w:trPr>
          <w:trHeight w:val="156"/>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Controlled Affiliates</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AKW Holdings Limited</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51,660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55,626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JF Intermediate, LLC (MidOcean JF Holdings</w:t>
            </w: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Corp.) </w:t>
            </w:r>
            <w:r>
              <w:rPr>
                <w:rFonts w:ascii="Times New Roman" w:cs="Times New Roman" w:eastAsia="Times New Roman" w:hAnsi="Times New Roman"/>
                <w:sz w:val="14"/>
                <w:szCs w:val="14"/>
                <w:color w:val="auto"/>
                <w:vertAlign w:val="superscript"/>
              </w:rPr>
              <w:t>(2)</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8,759</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51,776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(125 )</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19,991</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80,401</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(28,899 )</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(28,899 )</w:t>
            </w:r>
          </w:p>
        </w:tc>
        <w:tc>
          <w:tcPr>
            <w:tcW w:w="0" w:type="dxa"/>
            <w:vAlign w:val="bottom"/>
          </w:tcPr>
          <w:p>
            <w:pPr>
              <w:spacing w:after="0"/>
              <w:rPr>
                <w:sz w:val="1"/>
                <w:szCs w:val="1"/>
                <w:color w:val="auto"/>
              </w:rPr>
            </w:pPr>
          </w:p>
        </w:tc>
      </w:tr>
      <w:tr>
        <w:trPr>
          <w:trHeight w:val="158"/>
        </w:trPr>
        <w:tc>
          <w:tcPr>
            <w:tcW w:w="2400" w:type="dxa"/>
            <w:vAlign w:val="bottom"/>
            <w:shd w:val="clear" w:color="auto" w:fill="CCECFF"/>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(3)</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164,408</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22,354</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1,681</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188,443</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7,206</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RAM Energy LLC </w:t>
            </w:r>
            <w:r>
              <w:rPr>
                <w:rFonts w:ascii="Times New Roman" w:cs="Times New Roman" w:eastAsia="Times New Roman" w:hAnsi="Times New Roman"/>
                <w:sz w:val="14"/>
                <w:szCs w:val="14"/>
                <w:color w:val="auto"/>
                <w:vertAlign w:val="superscript"/>
              </w:rPr>
              <w:t>(4)</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(1,270 )</w:t>
            </w:r>
          </w:p>
        </w:tc>
        <w:tc>
          <w:tcPr>
            <w:tcW w:w="0" w:type="dxa"/>
            <w:vAlign w:val="bottom"/>
          </w:tcPr>
          <w:p>
            <w:pPr>
              <w:spacing w:after="0"/>
              <w:rPr>
                <w:sz w:val="1"/>
                <w:szCs w:val="1"/>
                <w:color w:val="auto"/>
              </w:rPr>
            </w:pPr>
          </w:p>
        </w:tc>
      </w:tr>
      <w:tr>
        <w:trPr>
          <w:trHeight w:val="156"/>
        </w:trPr>
        <w:tc>
          <w:tcPr>
            <w:tcW w:w="24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Total Controlled Affiliates</w:t>
            </w:r>
          </w:p>
        </w:tc>
        <w:tc>
          <w:tcPr>
            <w:tcW w:w="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224,827</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75,619</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(29,024 )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53,048</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324,470</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11,422</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9,378</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(30,169 )</w:t>
            </w: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Non-Controlled Affiliates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32,105</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(4,828 )</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27,277</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(6,145 )</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2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Total Non-Controlled Affiliates</w:t>
            </w:r>
          </w:p>
        </w:tc>
        <w:tc>
          <w:tcPr>
            <w:tcW w:w="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46,012</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2,131</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(10,973 )</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37,170</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Controlled and</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270,839</w:t>
            </w:r>
          </w:p>
        </w:tc>
        <w:tc>
          <w:tcPr>
            <w:tcW w:w="3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77,750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180"/>
              <w:spacing w:after="0" w:line="232" w:lineRule="exact"/>
              <w:rPr>
                <w:sz w:val="20"/>
                <w:szCs w:val="20"/>
                <w:color w:val="auto"/>
              </w:rPr>
            </w:pPr>
            <w:r>
              <w:rPr>
                <w:rFonts w:ascii="Times New Roman" w:cs="Times New Roman" w:eastAsia="Times New Roman" w:hAnsi="Times New Roman"/>
                <w:sz w:val="11"/>
                <w:szCs w:val="11"/>
                <w:color w:val="auto"/>
              </w:rPr>
              <w:t xml:space="preserve">(29,024 </w:t>
            </w:r>
            <w:r>
              <w:rPr>
                <w:rFonts w:ascii="Times New Roman" w:cs="Times New Roman" w:eastAsia="Times New Roman" w:hAnsi="Times New Roman"/>
                <w:sz w:val="21"/>
                <w:szCs w:val="21"/>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42,075</w:t>
            </w:r>
          </w:p>
        </w:tc>
        <w:tc>
          <w:tcPr>
            <w:tcW w:w="2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361,640</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11,422</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9,378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40"/>
              <w:spacing w:after="0" w:line="232" w:lineRule="exact"/>
              <w:rPr>
                <w:sz w:val="20"/>
                <w:szCs w:val="20"/>
                <w:color w:val="auto"/>
              </w:rPr>
            </w:pPr>
            <w:r>
              <w:rPr>
                <w:rFonts w:ascii="Times New Roman" w:cs="Times New Roman" w:eastAsia="Times New Roman" w:hAnsi="Times New Roman"/>
                <w:sz w:val="11"/>
                <w:szCs w:val="11"/>
                <w:color w:val="auto"/>
              </w:rPr>
              <w:t xml:space="preserve">(30,169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10"/>
        </w:trPr>
        <w:tc>
          <w:tcPr>
            <w:tcW w:w="240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Non-Controlled Affiliates</w:t>
            </w:r>
          </w:p>
        </w:tc>
        <w:tc>
          <w:tcPr>
            <w:tcW w:w="1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0"/>
          <w:szCs w:val="10"/>
          <w:color w:val="auto"/>
        </w:rPr>
        <w:t>Includes PIK.</w:t>
      </w:r>
    </w:p>
    <w:p>
      <w:pPr>
        <w:spacing w:after="0" w:line="184" w:lineRule="auto"/>
        <w:rPr>
          <w:sz w:val="20"/>
          <w:szCs w:val="20"/>
          <w:color w:val="auto"/>
        </w:rPr>
      </w:pP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0"/>
          <w:szCs w:val="10"/>
          <w:color w:val="auto"/>
        </w:rPr>
        <w:t>JF Intermediate, LLC became a controlled affiliate during the quarter end December 31, 2023.</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b w:val="1"/>
          <w:bCs w:val="1"/>
          <w:color w:val="auto"/>
          <w:vertAlign w:val="superscript"/>
        </w:rPr>
        <w:t>(3)</w:t>
      </w:r>
      <w:r>
        <w:rPr>
          <w:rFonts w:ascii="Times New Roman" w:cs="Times New Roman" w:eastAsia="Times New Roman" w:hAnsi="Times New Roman"/>
          <w:sz w:val="10"/>
          <w:szCs w:val="10"/>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Times New Roman" w:cs="Times New Roman" w:eastAsia="Times New Roman" w:hAnsi="Times New Roman"/>
          <w:sz w:val="9"/>
          <w:szCs w:val="9"/>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(4)</w:t>
      </w:r>
      <w:r>
        <w:rPr>
          <w:rFonts w:ascii="Times New Roman" w:cs="Times New Roman" w:eastAsia="Times New Roman" w:hAnsi="Times New Roman"/>
          <w:sz w:val="10"/>
          <w:szCs w:val="10"/>
          <w:color w:val="auto"/>
        </w:rPr>
        <w:t>RAM Energy LLC was fully realized in January 2023, during the six months ended March 31, 2024 there was realized loss due to reduction of the escrow receivable.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60" w:type="dxa"/>
            <w:vAlign w:val="bottom"/>
          </w:tcPr>
          <w:p>
            <w:pPr>
              <w:spacing w:after="0"/>
              <w:rPr>
                <w:sz w:val="15"/>
                <w:szCs w:val="15"/>
                <w:color w:val="auto"/>
              </w:rPr>
            </w:pPr>
          </w:p>
        </w:tc>
        <w:tc>
          <w:tcPr>
            <w:tcW w:w="2280" w:type="dxa"/>
            <w:vAlign w:val="bottom"/>
            <w:gridSpan w:val="3"/>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4"/>
        </w:trPr>
        <w:tc>
          <w:tcPr>
            <w:tcW w:w="5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6"/>
                <w:szCs w:val="16"/>
                <w:color w:val="auto"/>
              </w:rPr>
            </w:pP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4"/>
        </w:trPr>
        <w:tc>
          <w:tcPr>
            <w:tcW w:w="5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Numerator for net increase (decrease) in net assets resulting from operations</w:t>
            </w:r>
          </w:p>
        </w:tc>
        <w:tc>
          <w:tcPr>
            <w:tcW w:w="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16,085</w:t>
            </w:r>
          </w:p>
        </w:tc>
        <w:tc>
          <w:tcPr>
            <w:tcW w:w="3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4,872</w:t>
            </w:r>
          </w:p>
        </w:tc>
        <w:tc>
          <w:tcPr>
            <w:tcW w:w="3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26,738</w:t>
            </w:r>
          </w:p>
        </w:tc>
        <w:tc>
          <w:tcPr>
            <w:tcW w:w="3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(67,020 )</w:t>
            </w:r>
          </w:p>
        </w:tc>
      </w:tr>
      <w:tr>
        <w:trPr>
          <w:trHeight w:val="176"/>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480" w:type="dxa"/>
            <w:vAlign w:val="bottom"/>
          </w:tcPr>
          <w:p>
            <w:pPr>
              <w:spacing w:after="0"/>
              <w:rPr>
                <w:sz w:val="15"/>
                <w:szCs w:val="15"/>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65,224,500</w:t>
            </w:r>
          </w:p>
        </w:tc>
        <w:tc>
          <w:tcPr>
            <w:tcW w:w="3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65,224,500</w:t>
            </w:r>
          </w:p>
        </w:tc>
        <w:tc>
          <w:tcPr>
            <w:tcW w:w="36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65,224,500</w:t>
            </w:r>
          </w:p>
        </w:tc>
        <w:tc>
          <w:tcPr>
            <w:tcW w:w="36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65,224,500</w:t>
            </w:r>
          </w:p>
        </w:tc>
      </w:tr>
      <w:tr>
        <w:trPr>
          <w:trHeight w:val="184"/>
        </w:trPr>
        <w:tc>
          <w:tcPr>
            <w:tcW w:w="5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Basic and diluted net increase (decrease) in net assets per share resulting from operations</w:t>
            </w:r>
          </w:p>
        </w:tc>
        <w:tc>
          <w:tcPr>
            <w:tcW w:w="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0.25</w:t>
            </w:r>
          </w:p>
        </w:tc>
        <w:tc>
          <w:tcPr>
            <w:tcW w:w="3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0.07</w:t>
            </w:r>
          </w:p>
        </w:tc>
        <w:tc>
          <w:tcPr>
            <w:tcW w:w="3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0.41</w:t>
            </w:r>
          </w:p>
        </w:tc>
        <w:tc>
          <w:tcPr>
            <w:tcW w:w="3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CASH AND CASH EQUIVALENTS</w:t>
      </w:r>
    </w:p>
    <w:p>
      <w:pPr>
        <w:spacing w:after="0" w:line="165"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and for other general corporate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2024 and September 30, 2023, cash and cash equivalents consisted of money market funds, and non-money market in the amounts of $35.4 million and $38.8 million at fair value, respectively.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6" w:name="page37"/>
    <w:bookmarkEnd w:id="36"/>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12"/>
        </w:trPr>
        <w:tc>
          <w:tcPr>
            <w:tcW w:w="6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 in thousands, except share and per share data):</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6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14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0.41</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6"/>
                <w:szCs w:val="16"/>
                <w:color w:val="auto"/>
                <w:vertAlign w:val="superscript"/>
              </w:rPr>
              <w:t>(1)</w:t>
            </w:r>
          </w:p>
        </w:tc>
        <w:tc>
          <w:tcPr>
            <w:tcW w:w="1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(0.05 )</w:t>
            </w:r>
          </w:p>
        </w:tc>
        <w:tc>
          <w:tcPr>
            <w:tcW w:w="7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(1.44 )</w:t>
            </w:r>
          </w:p>
        </w:tc>
        <w:tc>
          <w:tcPr>
            <w:tcW w:w="40" w:type="dxa"/>
            <w:vAlign w:val="bottom"/>
          </w:tcPr>
          <w:p>
            <w:pPr>
              <w:spacing w:after="0"/>
              <w:rPr>
                <w:sz w:val="15"/>
                <w:szCs w:val="15"/>
                <w:color w:val="auto"/>
              </w:rPr>
            </w:pPr>
          </w:p>
        </w:tc>
      </w:tr>
      <w:tr>
        <w:trPr>
          <w:trHeight w:val="20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Net increase (decrease) in net assets resulting from operations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0.41</w:t>
            </w:r>
          </w:p>
        </w:tc>
        <w:tc>
          <w:tcPr>
            <w:tcW w:w="34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(1.03 )</w:t>
            </w:r>
          </w:p>
        </w:tc>
        <w:tc>
          <w:tcPr>
            <w:tcW w:w="40" w:type="dxa"/>
            <w:vAlign w:val="bottom"/>
          </w:tcPr>
          <w:p>
            <w:pPr>
              <w:spacing w:after="0"/>
              <w:rPr>
                <w:sz w:val="17"/>
                <w:szCs w:val="17"/>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1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(0.42 )</w:t>
            </w:r>
          </w:p>
        </w:tc>
        <w:tc>
          <w:tcPr>
            <w:tcW w:w="7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(0.35 )</w:t>
            </w: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 share market value, end of period</w:t>
            </w:r>
          </w:p>
        </w:tc>
        <w:tc>
          <w:tcPr>
            <w:tcW w:w="1140" w:type="dxa"/>
            <w:vAlign w:val="bottom"/>
            <w:tcBorders>
              <w:bottom w:val="single" w:sz="8" w:color="auto"/>
            </w:tcBorders>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340" w:type="dxa"/>
            <w:vAlign w:val="bottom"/>
            <w:tcBorders>
              <w:bottom w:val="single" w:sz="8" w:color="CCECFF"/>
            </w:tcBorders>
            <w:shd w:val="clear" w:color="auto" w:fill="CCECFF"/>
          </w:tcPr>
          <w:p>
            <w:pPr>
              <w:spacing w:after="0"/>
              <w:rPr>
                <w:sz w:val="17"/>
                <w:szCs w:val="17"/>
                <w:color w:val="auto"/>
              </w:rPr>
            </w:pPr>
          </w:p>
        </w:tc>
        <w:tc>
          <w:tcPr>
            <w:tcW w:w="720" w:type="dxa"/>
            <w:vAlign w:val="bottom"/>
            <w:tcBorders>
              <w:bottom w:val="single" w:sz="8" w:color="auto"/>
            </w:tcBorders>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tcBorders>
              <w:bottom w:val="single" w:sz="8" w:color="CCECFF"/>
            </w:tcBorders>
            <w:shd w:val="clear" w:color="auto" w:fill="CCECFF"/>
          </w:tcPr>
          <w:p>
            <w:pPr>
              <w:spacing w:after="0"/>
              <w:rPr>
                <w:sz w:val="17"/>
                <w:szCs w:val="17"/>
                <w:color w:val="auto"/>
              </w:rPr>
            </w:pPr>
          </w:p>
        </w:tc>
        <w:tc>
          <w:tcPr>
            <w:tcW w:w="40" w:type="dxa"/>
            <w:vAlign w:val="bottom"/>
          </w:tcPr>
          <w:p>
            <w:pPr>
              <w:spacing w:after="0"/>
              <w:rPr>
                <w:sz w:val="17"/>
                <w:szCs w:val="17"/>
                <w:color w:val="auto"/>
              </w:rPr>
            </w:pPr>
          </w:p>
        </w:tc>
      </w:tr>
      <w:tr>
        <w:trPr>
          <w:trHeight w:val="160"/>
        </w:trPr>
        <w:tc>
          <w:tcPr>
            <w:tcW w:w="6400" w:type="dxa"/>
            <w:vAlign w:val="bottom"/>
          </w:tcPr>
          <w:p>
            <w:pPr>
              <w:ind w:left="20"/>
              <w:spacing w:after="0" w:line="160" w:lineRule="exact"/>
              <w:rPr>
                <w:sz w:val="20"/>
                <w:szCs w:val="20"/>
                <w:color w:val="auto"/>
              </w:rPr>
            </w:pPr>
            <w:r>
              <w:rPr>
                <w:rFonts w:ascii="Times New Roman" w:cs="Times New Roman" w:eastAsia="Times New Roman" w:hAnsi="Times New Roman"/>
                <w:sz w:val="13"/>
                <w:szCs w:val="13"/>
                <w:color w:val="auto"/>
              </w:rPr>
              <w:t>Total return</w:t>
            </w:r>
            <w:r>
              <w:rPr>
                <w:rFonts w:ascii="Times New Roman" w:cs="Times New Roman" w:eastAsia="Times New Roman" w:hAnsi="Times New Roman"/>
                <w:sz w:val="16"/>
                <w:szCs w:val="16"/>
                <w:color w:val="auto"/>
                <w:vertAlign w:val="superscript"/>
              </w:rPr>
              <w:t>* (3)</w:t>
            </w:r>
          </w:p>
        </w:tc>
        <w:tc>
          <w:tcPr>
            <w:tcW w:w="1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11.32 %</w:t>
            </w:r>
          </w:p>
        </w:tc>
        <w:tc>
          <w:tcPr>
            <w:tcW w:w="72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2.96 %</w:t>
            </w: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114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3"/>
                <w:szCs w:val="13"/>
                <w:b w:val="1"/>
                <w:bCs w:val="1"/>
                <w:color w:val="auto"/>
              </w:rPr>
              <w:t xml:space="preserve"> / Supplemental Data:</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7.57 %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7.11 %</w:t>
            </w: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1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8.55 %</w:t>
            </w:r>
          </w:p>
        </w:tc>
        <w:tc>
          <w:tcPr>
            <w:tcW w:w="7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7.55 %</w:t>
            </w: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16.12 %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14.66 %</w:t>
            </w: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1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11.94 %</w:t>
            </w:r>
          </w:p>
        </w:tc>
        <w:tc>
          <w:tcPr>
            <w:tcW w:w="7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10.09 %</w:t>
            </w: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501,529</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495,715</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660,095</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700,434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Portfolio turnover ratio</w:t>
            </w:r>
            <w:r>
              <w:rPr>
                <w:rFonts w:ascii="Times New Roman" w:cs="Times New Roman" w:eastAsia="Times New Roman" w:hAnsi="Times New Roman"/>
                <w:sz w:val="16"/>
                <w:szCs w:val="16"/>
                <w:color w:val="auto"/>
                <w:vertAlign w:val="superscript"/>
              </w:rPr>
              <w:t>* (7)</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20.04 %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12.11 %</w:t>
            </w:r>
          </w:p>
        </w:tc>
        <w:tc>
          <w:tcPr>
            <w:tcW w:w="40" w:type="dxa"/>
            <w:vAlign w:val="bottom"/>
          </w:tcPr>
          <w:p>
            <w:pPr>
              <w:spacing w:after="0"/>
              <w:rPr>
                <w:sz w:val="15"/>
                <w:szCs w:val="15"/>
                <w:color w:val="auto"/>
              </w:rPr>
            </w:pPr>
          </w:p>
        </w:tc>
      </w:tr>
    </w:tbl>
    <w:p>
      <w:pPr>
        <w:ind w:left="80" w:hanging="74"/>
        <w:spacing w:after="0"/>
        <w:tabs>
          <w:tab w:leader="none" w:pos="80" w:val="left"/>
        </w:tabs>
        <w:numPr>
          <w:ilvl w:val="0"/>
          <w:numId w:val="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Not annualized for periods less than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**Re-occurring investment income and expenses included in these ratios are annualized for periods less than one 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expense and investment income ratios do not reflect the Company's proportionate share of income and expenses of PSLF and PTSF II.</w:t>
      </w:r>
    </w:p>
    <w:p>
      <w:pPr>
        <w:spacing w:after="0" w:line="19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Based on the weighted average shares outstanding for the respective periods.</w:t>
      </w:r>
    </w:p>
    <w:p>
      <w:pPr>
        <w:spacing w:after="0" w:line="184"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Excludes debt-related costs.</w:t>
      </w:r>
    </w:p>
    <w:p>
      <w:pPr>
        <w:spacing w:after="0" w:line="184"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Includes interest and expenses on debt (annualized) as well as Credit Facility amendment, debt issuance costs and excludes debt extinguishment cost, if any, (not annualized).</w:t>
      </w:r>
    </w:p>
    <w:p>
      <w:pPr>
        <w:spacing w:after="0" w:line="1"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9"/>
          <w:szCs w:val="9"/>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Excludes short-term U.S. Government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DEBT</w:t>
      </w:r>
    </w:p>
    <w:p>
      <w:pPr>
        <w:spacing w:after="0" w:line="165"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annualized weighted average cost of debt for the six months ended March 31, 2024 and 2023, inclusive of the fee on the undrawn commitment and amendment costs on the Truist Credit Facility and amortized upfront fees on SBA debentures, 2026 Notes and 2026 Notes-2, was 6.5% and 5.8%, respectively. As of March 31, 2024, in accordance with the 1940 Act, with certain limited exceptions, we are only allowed to borrow amounts such that we are in compliance with a 150% asset coverage ratio after such borrowing.</w:t>
      </w:r>
    </w:p>
    <w:p>
      <w:pPr>
        <w:spacing w:after="0" w:line="123" w:lineRule="exact"/>
        <w:rPr>
          <w:sz w:val="20"/>
          <w:szCs w:val="20"/>
          <w:color w:val="auto"/>
        </w:rPr>
      </w:pPr>
    </w:p>
    <w:p>
      <w:pPr>
        <w:ind w:right="300" w:firstLine="420"/>
        <w:spacing w:after="0" w:line="259"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2024 and September 30, 2023, our asset coverage ratio, as computed in accordance with the 1940 Act, was 170% and 195%,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Truist Credit Facility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March 31, 2024, we had the multi-currency Truist Credit Facility for up to $475.0 million (decreased from $500.0 million in September 2023), which may be further increased up to</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3"/>
          <w:szCs w:val="13"/>
          <w:color w:val="auto"/>
        </w:rPr>
        <w:t>$750.0 million in borrowings with certain lenders and Truist Bank, acting as administrative agent, Regions Bank, acting as an additional multicurrency lender, and JPMorgan Chase Bank, N.A., acting as syndication agent for the lenders. As of March 31, 2024 and September 30, 2023, we had $396.5 million and $212.4 million, respectively, in outstanding borrowings under the Truist Credit Facility. The Truist Credit Facility had a weighted average interest rate of 7.7% and 7.7%, respectively, exclusive of the fee on undrawn commitment, as of March 31, 2024 and September 30, 2023. The Truist Credit Facility is a revolving facility with a stated maturity date of July 29, 2027 and pricing set at 235 basis points over SOFR (or an alternative risk-free floating interest rate index). As of March 31, 2024 and September 30, 2023, we had $78.5 million and $262.6 million of unused borrowing capacity under the Truist Credit Facility, respectively, subject to leverage and borrowing base restrictions. The Truist Credit Facility is secured by substantially all of our assets. As of March 31, 2024, we were in compliance with the terms of the Truist Credit Facility.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Debentures</w:t>
      </w:r>
    </w:p>
    <w:p>
      <w:pPr>
        <w:spacing w:after="0" w:line="167"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SBIC II was historically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as of March 31, 2024 and September 30, 2023, respectively. SBA debentures are non-recourse to us and may be prepaid at any time without penalty. The interest rate of SBA debentures is fixed at the time of issuance, often referred to as pooling, at a market -driven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 As of both March 31, 2024 and September 30, 2023, SBIC II had zero in debt commitments, all of which was drawn as of September 30, 2022. We repaid the remaining SBA debentures during the year ended September 30,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Notes-2</w:t>
      </w:r>
    </w:p>
    <w:p>
      <w:pPr>
        <w:spacing w:after="0" w:line="16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 Notes -2 is paid semi-annually on May 1 and November 1 of each year, at a rate of 4.00% per year, commencing May 1, 2022. The 2026 Notes- 2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Notes- 2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65"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2"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March 31, 2024 and September 30, 2023, we had $242.1 million and $160.8 million, respectively, in commitments to fund investments. Additionally, the Company had unfunded commitments of zero and up to $22.4 million to PSLF as of March 31, 2024 and September 30, 2023, respectively, that may be contributed primarily for the purpose of funding new investments approved by PSLF board of directors or investment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UNCONSOLIDATED SIGNIFICANT SUBSIDIARIES</w:t>
      </w:r>
    </w:p>
    <w:p>
      <w:pPr>
        <w:spacing w:after="0" w:line="165"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2023, PennantPark Senior Loan Fund, LLC triggered at least one of the significance tests. As a result and in accordance with Rule 3-09 of Regulation S -X, separate audited financial statements of PSLF, LLC for the years ended September 30, 2023, 2022, and 2021 were filed as exhibits to our Annual Report on Form 10-K for the fiscal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Review of Interim Financial Statements</w:t>
      </w:r>
    </w:p>
    <w:p>
      <w:pPr>
        <w:spacing w:after="0" w:line="23"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3"/>
          <w:szCs w:val="13"/>
          <w:color w:val="auto"/>
        </w:rPr>
        <w:t>We have reviewed the accompanying consolidated statement of assets and liabilities of PennantPark Investment Corporation and its subsidiaries (the Company), including the consolidated schedules of investments, as of March 31, 2024, the related consolidated statements of operations and changes in net assets for the three-month and six -month periods ended March 31, 2024 and 2023, and cash flows for the six-month periods ended March 31, 2024 and 2023,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2023, and the related consolidated statements of operations, changes in net assets, and cash flows for the year then ended (not presented herein); and in our report dated December 7, 2023, we expressed an unqualified opinion on those consolidated financial statements. In our opinion, the information set forth in the accompanying consolidated statement of assets and liabilities, including the consolidated schedule of investments, as of September 30, 2023, is fairly stated, in all material respects, in relation to the consolidated statement of assets and liabilities, including the consolidated schedule of investments, from which it has been derived.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Emphasis of Matter</w:t>
      </w:r>
    </w:p>
    <w:p>
      <w:pPr>
        <w:spacing w:after="0" w:line="23"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3"/>
          <w:szCs w:val="13"/>
          <w:color w:val="auto"/>
        </w:rPr>
        <w:t>As discussed in Note 2 of the consolidated financial statements, the consolidated statement of cash flows for the six months ended March 31, 2023 has been restated to reclassify certain amounts presented within.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Review Results</w:t>
      </w:r>
    </w:p>
    <w:p>
      <w:pPr>
        <w:spacing w:after="0" w:line="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3"/>
          <w:szCs w:val="13"/>
          <w:color w:val="auto"/>
        </w:rP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8, 2024</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2" w:right="70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3"/>
          <w:szCs w:val="13"/>
          <w:b w:val="1"/>
          <w:bCs w:val="1"/>
          <w:color w:val="auto"/>
        </w:rPr>
        <w:t>Awareness Letter of Independent Registered Public Accounting Firm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17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3"/>
          <w:szCs w:val="13"/>
          <w:color w:val="auto"/>
        </w:rPr>
        <w:t>We have reviewed, in accordance with the standards of the Public Company Accounting Oversight Board (United States), the unaudited interim financial information of PennantPark Investment Corporation and its Subsidiaries for the periods ended March 31, 2024 and 2023, as indicated in our report dated May 8, 2024; because we did not perform an audit, we expressed no opinion on that information.</w:t>
      </w:r>
    </w:p>
    <w:p>
      <w:pPr>
        <w:spacing w:after="0" w:line="2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We are aware that our report referred to above, which is included in your Quarterly Report on Form 10-Q for the quarter ended March 31, 2024, is incorporated by reference in Registration Statement No. 333-263564 on Form N-2.</w:t>
      </w:r>
    </w:p>
    <w:p>
      <w:pPr>
        <w:spacing w:after="0" w:line="2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8, 2024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expected financings and investments;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the ongoing invasion of Ukraine by Russia and other world economic and political issues; and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6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3" w:lineRule="exact"/>
        <w:rPr>
          <w:sz w:val="20"/>
          <w:szCs w:val="20"/>
          <w:color w:val="auto"/>
        </w:rPr>
      </w:pPr>
    </w:p>
    <w:p>
      <w:pPr>
        <w:jc w:val="both"/>
        <w:ind w:right="30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7"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28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67"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12"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8"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67"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12"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provided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PennantPark Investment, through the Administrator, provided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67"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63" w:lineRule="exact"/>
        <w:rPr>
          <w:sz w:val="20"/>
          <w:szCs w:val="20"/>
          <w:color w:val="auto"/>
        </w:rPr>
      </w:pPr>
    </w:p>
    <w:p>
      <w:pPr>
        <w:ind w:left="540" w:right="62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2" w:lineRule="exact"/>
        <w:rPr>
          <w:sz w:val="20"/>
          <w:szCs w:val="20"/>
          <w:color w:val="auto"/>
        </w:rPr>
      </w:pPr>
    </w:p>
    <w:p>
      <w:pPr>
        <w:ind w:left="540" w:right="1660"/>
        <w:spacing w:after="0" w:line="268" w:lineRule="auto"/>
        <w:rPr>
          <w:sz w:val="20"/>
          <w:szCs w:val="20"/>
          <w:color w:val="auto"/>
        </w:rPr>
      </w:pPr>
      <w:r>
        <w:rPr>
          <w:rFonts w:ascii="Times New Roman" w:cs="Times New Roman" w:eastAsia="Times New Roman" w:hAnsi="Times New Roman"/>
          <w:sz w:val="13"/>
          <w:szCs w:val="13"/>
          <w:color w:val="auto"/>
        </w:rPr>
        <w:t>•expenses incurred by the Investment Adviser in performing due diligence and reviews of investments; including expenses incurred by the Investment Adviser payable to third parties (including agents and consultants) in monitoring financial and legal affairs for the Company and in monitoring the Company's investments;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42" w:name="page43"/>
    <w:bookmarkEnd w:id="42"/>
    <w:p>
      <w:pPr>
        <w:ind w:left="54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54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Restatement of Previously Issued Financial Statement</w:t>
      </w:r>
    </w:p>
    <w:p>
      <w:pPr>
        <w:spacing w:after="0" w:line="167"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March 31, 2023, and the impact of the error correction is reflected on the consolidated statement of cash flows for the six months ended March 31, 2023 as an increase to cash and cash equivalents, beginning of period totaling $2.1 million, an increase to cash and cash equivalents, end of period totaling $3.3 million, and increase in due to affiliates of $1.2 million.</w:t>
      </w:r>
    </w:p>
    <w:p>
      <w:pPr>
        <w:spacing w:after="0" w:line="132"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There was no impact from the error correction to total net assets and net asset value per share as reported on the consolidated statement of assets and liabilities as of March 31, 2023. In addition, there was no impact from the error correction on net investment income or net increase (decrease) in net assets resulting from operations in total or on a per common share basis as reported on the consolidated statements of operations for the six months ended March 31, 2023. The corrections related to the prior year comparative cash flow statement amounts were reported in the quarter ended March 31, 2024.</w:t>
      </w:r>
    </w:p>
    <w:p>
      <w:pPr>
        <w:spacing w:after="0" w:line="12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As a result of the error in the classification and presentation of cash described above, we conducted an analysis to determine whether incentive-based compensation was erroneously awarded, thereby necessitating recovery under the Clawback Policy we adopted effective December 1, 2023. Because we do not pay or otherwise award incentive -based compensation to the Company’s executives, we concluded that the error did not result in erroneously-awarded incentive-based compensation, and therefore no compensation recovery is required.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65"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of March 31, 2024, our portfolio totaled $1,238.2 million and consisted of $678.6 million or 55% of first lien secured debt, $59.7 million or 5% of U.S. Government Securities, $63.7 million or 5% of second lien secured debt, $165.1 million or13% of subordinated debt (including $115.9 million or 9% in PSLF) and $271.1 million or 22% of preferred and common equity (including $72.6 million or 6% in PSLF). Our interest bearing debt portfolio consisted of 97% variable-rate investments and 3% fixed-rate investments. As of March 31, 2024, we had two portfolio companies on non -accrual, representing 3.7% and 3.0% percent of our overall portfolio on a cost and fair value basis, respectively. Overall, the portfolio had net unrealized appreciation of $ 12.0 million as of March 31, 2024. Our overall portfolio consisted of 138 companies with an average investment size of $8.5 million, had a weighted average yield on interest bearing debt investments of 12.5%.</w:t>
      </w:r>
    </w:p>
    <w:p>
      <w:pPr>
        <w:spacing w:after="0" w:line="130" w:lineRule="exact"/>
        <w:rPr>
          <w:sz w:val="20"/>
          <w:szCs w:val="20"/>
          <w:color w:val="auto"/>
        </w:rPr>
      </w:pPr>
    </w:p>
    <w:p>
      <w:pPr>
        <w:ind w:right="16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had a weighted average yield on interest bearing debt investments of 13.0%.</w:t>
      </w:r>
    </w:p>
    <w:p>
      <w:pPr>
        <w:spacing w:after="0" w:line="132"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2024, we invested $188.5 million in six new and 43 existing portfolio companies with a weighted average yield on debt investments of 11.7% (excluding U.S. Government Securities). For the three months ended March 31, 2024, sales and repayments of investments totaled $176.2 million (excluding U.S. Government Securities). For the six months ended March 31, 2024, we invested $ 419.6 million in 18 new and 60 existing portfolio companies with a weighted average yield on debt investments of 11.8% (excluding U.S. Government Securities). For the six months ended March 31, 2024, sales and repayment of investments totaled $247.2 million (excluding U.S. Government Securities).</w:t>
      </w:r>
    </w:p>
    <w:p>
      <w:pPr>
        <w:spacing w:after="0" w:line="127"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March 31, 2023, we invested $58.3 million in six new and 34 existing portfolio companies with a weighted average yield on debt investments of 11.8%. For the three months ended March 31, 2023, sales and repayments of investments totaled $114.2 million. For the six months ended March 31, 2023, we invested $144.8 million in 12 new and 64 existing portfolio companies with a weighted average yield on debt investments of 11.5%. For the six month ended March 31, 2023, sales and repayment of investments totaled $136.8 million.</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PSLF’s portfolio totaled $923.9 million, consisted of 99 companies with an average investment size of $9.3 million and had a weighted average yield interest bearing debt investments of 12.0%.</w:t>
      </w:r>
    </w:p>
    <w:p>
      <w:pPr>
        <w:spacing w:after="0" w:line="11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PSLF’s portfolio totaled $804.2 million, consisted of 90 companies with an average investment size of $8.9 million and had a weighted average yield interest bearing debt investments of 12.1%.</w:t>
      </w:r>
    </w:p>
    <w:p>
      <w:pPr>
        <w:spacing w:after="0" w:line="11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2024, PSLF invested $113.2 million (including $103.1 million were purchased from the Company) in 11 new and five existing portfolio companies at weighted average yield interest bearing debt investments of 11.8%. PSLF’s sales and repayments of investments for the same period totaled $49.7 million. For the six months ended March 31, 2024, PSLF invested $194.2 (of which $154.0 million was purchased from the Company) in 16 new and 11 existing portfolio companies with a weighted average yield on debt investments of 12.2%. PSLF Sales and repayments of investments for the same period totaled $78.9 million.</w:t>
      </w:r>
    </w:p>
    <w:p>
      <w:pPr>
        <w:spacing w:after="0" w:line="12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2023, PSLF invested $38.5 million (of which $18.4 were purchased from the Company) in one new and one existing portfolio companies at weighted average yield on interest bearing debt investments of 11.6%. PSLF’s sales and repayments of investments for the same period totaled $24.9 million. For the six months ended March 31, 2023, PSLF invested $55.3 million (of which $18.4 million was purchased from the Company) in eight new and five existing portfolio companies with a weighted average yield on debt investments of 11.5%. PSLF's sales and repayments of investments for the the same period totaled $33.9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65"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w:t>
      </w:r>
    </w:p>
    <w:p>
      <w:pPr>
        <w:spacing w:after="0" w:line="15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3"/>
          <w:szCs w:val="13"/>
          <w:color w:val="auto"/>
        </w:rPr>
        <w:t>describe our critical accounting policies in the notes to our Consolidated Financial Statements. We discuss our critical accounting estimates in Management’s Discussion and Analysis of Financial Condition and Results of Operations in our 2023 Annual Report on Form 10-K. There have been no significant changes in our critical accounting estimates during the six months from those disclosed in our 2023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2"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540" w:right="2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540" w:right="46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2" w:right="700" w:bottom="1440" w:gutter="0" w:footer="0" w:header="0"/>
        </w:sectPr>
      </w:pPr>
    </w:p>
    <w:bookmarkStart w:id="44" w:name="page45"/>
    <w:bookmarkEnd w:id="44"/>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600" w:right="780" w:hanging="1055"/>
        <w:spacing w:after="0" w:line="268" w:lineRule="auto"/>
        <w:tabs>
          <w:tab w:leader="none" w:pos="15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5" w:lineRule="exact"/>
        <w:rPr>
          <w:sz w:val="20"/>
          <w:szCs w:val="20"/>
          <w:color w:val="auto"/>
        </w:rPr>
      </w:pPr>
    </w:p>
    <w:p>
      <w:pPr>
        <w:ind w:left="1600" w:right="780" w:hanging="1055"/>
        <w:spacing w:after="0" w:line="286" w:lineRule="auto"/>
        <w:tabs>
          <w:tab w:leader="none" w:pos="15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2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3"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and six months ended March 31, 2024 and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and 2026 Notes-2.</w:t>
      </w:r>
    </w:p>
    <w:p>
      <w:pPr>
        <w:spacing w:after="0" w:line="134"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the Truist Credit Facility had a net change in unrealized (appreciation) depreciation of $0.5 million and $(1.6) million, respectively. For the three and six months ended March 31, 2023, the Truist Credit Facility had a net change in unrealized appreciation of $1.5 million and $5.9 million, respectively. As of March 31, 2024 and September 30, 2023, the net unrealized depreciation on the Truist Credit Facility totaled $3.9 million and $5.5 million, respectively. We use a nationally recognized independent valuation service to measure the fair value of our Truist Credit Facility in a manner consistent with the valuation process that the board of directors uses to value our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3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right="60" w:firstLine="468"/>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-in-Kind, or PIK Interest</w:t>
      </w:r>
    </w:p>
    <w:p>
      <w:pPr>
        <w:spacing w:after="0" w:line="16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7"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2" w:lineRule="exact"/>
        <w:rPr>
          <w:sz w:val="20"/>
          <w:szCs w:val="20"/>
          <w:color w:val="auto"/>
        </w:rPr>
      </w:pPr>
    </w:p>
    <w:p>
      <w:pPr>
        <w:ind w:right="36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we recorded a provision for taxes on net investment income of $0.8 million and $1.2 million respectively, pertaining to federal excise tax. For the three and six months ended March 31, 2023, we recorded a provision for taxes on net investment income of $0.5 million and $2.5 million respectively, all of which pertains to U.S. federal excise tax.</w:t>
      </w:r>
    </w:p>
    <w:p>
      <w:pPr>
        <w:spacing w:after="0" w:line="123" w:lineRule="exact"/>
        <w:rPr>
          <w:sz w:val="20"/>
          <w:szCs w:val="20"/>
          <w:color w:val="auto"/>
        </w:rPr>
      </w:pPr>
    </w:p>
    <w:p>
      <w:pPr>
        <w:ind w:right="20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For the three months and six months ended March 31, 2024, the Company recognized a provision for taxes of $(0.2) million and $ (0.2) million, respectively, on net realized gain (loss) on investments by the Taxable Subsidiary. For the three months and six months ended March 31, 2023, the Company recognized a provision for taxes of $ (0.7) million and $(0.7) million, respectively, on net realized gain on investments by the Taxable Subsidiary. For the three months and six months ended March 31, 2024, the Company recognized a provision for taxes of $(0.8) million and $(0.7) million, respectively, on net unrealized gain (loss) on investments by the Taxable Subsidiary. For the three and six months ended March 31, 2023, the Company recognized a provision for taxes of zero and $ 0.9 million,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2024 and (ii) the expected tax benefit resulting from the use of loss carryforwards to offset such gains. As of March 31, 2024 and September 30, 2023, the Company recognized a provision for taxes of $0.9 million and $3.4 million, respectively, on net realized and unrealized gains on investments by the Taxable Subsidiary.</w:t>
      </w:r>
    </w:p>
    <w:p>
      <w:pPr>
        <w:spacing w:after="0" w:line="134" w:lineRule="exact"/>
        <w:rPr>
          <w:sz w:val="20"/>
          <w:szCs w:val="20"/>
          <w:color w:val="auto"/>
        </w:rPr>
      </w:pPr>
    </w:p>
    <w:p>
      <w:pPr>
        <w:ind w:right="520" w:firstLine="420"/>
        <w:spacing w:after="0" w:line="286" w:lineRule="auto"/>
        <w:rPr>
          <w:sz w:val="20"/>
          <w:szCs w:val="20"/>
          <w:color w:val="auto"/>
        </w:rPr>
      </w:pPr>
      <w:r>
        <w:rPr>
          <w:rFonts w:ascii="Times New Roman" w:cs="Times New Roman" w:eastAsia="Times New Roman" w:hAnsi="Times New Roman"/>
          <w:sz w:val="13"/>
          <w:szCs w:val="13"/>
          <w:color w:val="auto"/>
        </w:rPr>
        <w:t>During the three months and six months ended March 31, 2024, the Company paid zero, respectively, in federal taxes on realized gains on the sale of investments held by the Taxable Subsidiary. The state and local tax liability is $0.4 million as of March 31, 2024 is included under accrued other expenses in the consolidated statement of assets and liabilities.</w:t>
      </w:r>
    </w:p>
    <w:p>
      <w:pPr>
        <w:spacing w:after="0" w:line="112"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Set forth below are the results of operations for the three and six months ended March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6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For the three and six months ended March 31, 2024, investment income was $36.0 million and $70.3 million, respectively, which was attributable to $27.8 million and $52.9 million from first lien secured debt, $2.8 million and $5.4 million from second lien secured debt, $0.1 million and $1.4 million from subordinated debt and $5.3 million and $ 10.6 million from preferred and common equity, respectively. For the three and six months ended March 31, 2023, investment income was $36.3 million and $66.3 million, respectively, which was attributable to $26.8 million and $48.6 million from first lien secured debt, $3.7 million and $7.4 million from second lien secured debt, $1.1 million and $ 2.2 million from subordinated debt and $4.8 million and $8.1 million from preferred and common equity, respectively. The increase in investment income for the six months ended March 31, 2024 was primarily due to the increase in the cost of yield of our debt portfolio.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For the three and six months ended March 31, 2024, expenses totaled $21.7 million and $40.4 million, respectively and were comprised of; $11.9 million and $21.4 million of debt related interest and expenses, $4.1 million and $8.1 million of base management fees, $ 3.0 million and $6.3 million of incentive fees, $1.9 million and $3.3 million of general and administrative expenses and $0.8 million and $ 1.2 million of provision for excise taxes. For the three and six months ended March 31, 2023, expenses totaled $19.7 million and $39.3 million, respectively and were comprised of; $10.6 million and $20.3 million of debt-related interest and expenses, $4.0 million and $8.6 million of base management fees, $3.5 million and $5.7 million of incentive fees, $1.1 million and $2.2 million of general and administrative expenses and $0.5 million and $2.5 million of provision for excise taxes, respectively. The increase in expenses was primarily due an increase in debt related interest and expenses and an increase in general and administrative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net investment income totaled $14.3 million and $29.9 million, or $0.22 per share, and $0.46 per share, respectively. For the three and six months ended March 31, 2023, net investment income totaled $ 16.6 million and $27.0 million, or $0.26 per share and $0.41 per share, respectively. The increase in net investment income for the six months ended March 31, 2024 was primarily due to an increase in investment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67" w:lineRule="exact"/>
        <w:rPr>
          <w:sz w:val="20"/>
          <w:szCs w:val="20"/>
          <w:color w:val="auto"/>
        </w:rPr>
      </w:pPr>
    </w:p>
    <w:p>
      <w:pPr>
        <w:jc w:val="both"/>
        <w:ind w:right="16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net realized gains (losses) totaled $(31.0) million and $(29.2) million, respectively. For the three and six months ended March 31, 2023, net realized gains (losses) totaled $(148.7) million and $(144.7) million, respectively. The change in realized gains (losses) was primarily due to changes in the market conditions of our investments and the values at which they were realized.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we reported net change in unrealized appreciation (depreciation) on investments of $33.2 million and $28.3 million, respectively. For the three and six months ended March 31, 2023, the net unrealized appreciation (depreciation) on investments totaled $135.4 million and $43.8 million, respectively. As of March 31, 2024 and September 30, 2023, our net unrealized appreciation (depreciation) on investments totaled $ 12.0 million and $(16.3) million, respectively. The net change in unrealized depreciation on our investments was primarily due to changes in the capital market conditions of our investments and the values at which they were realized.</w:t>
      </w:r>
    </w:p>
    <w:p>
      <w:pPr>
        <w:spacing w:after="0" w:line="127"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the Truist Credit Facility had a net change in unrealized (appreciation) depreciation of $0.5 million and $ (1.6) million, respectively. For the three and six months ended March 31, 2023, the Truist Credit Facility had a net change in unrealized (appreciation) depreciation of $1.5 million and $5.9 million, respectively. As of March 31, 2024 and September 30, 2023, the net unrealized depreciation on the Truist Credit Facility totaled $3.9 million and $5.5 million, respectively. Net change in unrealized appreciation was primarily due to changes in the capital markets.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6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net increase (decrease) in net assets resulting from operations totaled $16.1 million and $26.7 million, or $ 0.25 per share, and $0.41 per share, respectively. For the three and six months ended March 31, 2023, net increase (decrease) in net assets resulting from operations totaled $4.9 million and $(67.0) million, or $0.07 per share and $(1.03) per share, respectively. The increase in net assets from operations for the three months ended March 31, 2024 was primarily due to a decrease in the net realized and unrealized depreciation in the portfolio primarily driven by changes in market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5"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March 31, 2024,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132"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2" w:right="660"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3"/>
          <w:szCs w:val="13"/>
          <w:color w:val="auto"/>
        </w:rPr>
        <w:t>As of March 31, 2024 and September 30, 2023, our asset coverage ratio, as computed in accordance with the 1940 Act was 170% and 195%, respectively.</w:t>
      </w:r>
    </w:p>
    <w:p>
      <w:pPr>
        <w:spacing w:after="0" w:line="163"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For the six months ended March 31, 2024 and 2023, the annualized weighted average cost of debt inclusive of the fee on the undrawn commitment and amendment costs on the Truist Credit Facility, and amortized upfront fees on SBA debentures, 2026 Notes and 2026 Notes-2, was 6.5% and 5.8%, respectively.</w:t>
      </w:r>
    </w:p>
    <w:p>
      <w:pPr>
        <w:spacing w:after="0" w:line="11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As of March 31, 2024, we had the multi-currency Truist Credit Facility for up to $475.0 million (decreased from $500.0 million in September 2023), which may be further increased up to $750.0 million in borrowings with certain lenders and Truist Bank, acting as administrative agent, Regions Bank, acting as an additional multicurrency lender, and JPMorgan Chase Bank, N.A., acting as syndication agent for the lenders. As of March 31, 2024 and September 30, 2023, we had $396.5 million and $212.4 million, respectively, in outstanding borrowings under the Truist Credit Facility. The Truist Credit Facility had a weighted average interest rate of 7.7% and 7.7%, respectively, exclusive of the fee on undrawn commitment, as of March 31, 2024 and September 30, 2023. The Truist Credit Facility is a revolving facility with a stated maturity date of July 29, 2027 and pricing set at 235 basis points over SOFR (or an alternative risk-free floating interest rate index). As of March 31, 2024 and September 30, 2023, we had $78.5 million and $262.6 million of unused borrowing capacity under the Truist Credit Facility, respectively, subject to leverage and borrowing base restrictions. The Truist Credit Facility is secured by substantially all of our assets. As of March 31, 2024, we were in compliance with the terms of the Truist Credit Facility.</w:t>
      </w:r>
    </w:p>
    <w:p>
      <w:pPr>
        <w:spacing w:after="0" w:line="96"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 xml:space="preserve">As of March 31, 2024,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 xml:space="preserve">As of March 31, 2024, we had $165.0 million in aggregate principal amount of 2026 Notes -2 outstanding. Interest on the 2026 Notes-2 is paid semi-annually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and 2026 Notes-2.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a stock repurchase program.</w:t>
      </w:r>
    </w:p>
    <w:p>
      <w:pPr>
        <w:spacing w:after="0" w:line="9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May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91"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Administrator furnishes us with office facilities and administrative services necessary to conduct our day-to -day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94"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3"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In accordance with the 1940 Act, with certain limited exceptions, PennantPark Investment is only allowed to borrow amounts such that our required 150% asset coverage ratio is met after such borrowing. As of March 31, 2024 and September 30, 2023,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7"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and September 30, 2023, we had cash and cash equivalents of $ 35.4 million and $38.8 million, respectively, available for investing and general corporate purposes. We believe our liquidity and capital resources are sufficient to allows us to effectively operate our business.</w:t>
      </w:r>
    </w:p>
    <w:p>
      <w:pPr>
        <w:spacing w:after="0" w:line="112"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For the six months ended March 31, 2024, our operating activities used cash of $ 150.9 million and our financing activities provided cash of $147.5 million. Our operating activities provided cash primarily due to our investment activities and our financing activities provided cash primarily from borrowings under the Truist Credit Facility.</w:t>
      </w:r>
    </w:p>
    <w:p>
      <w:pPr>
        <w:spacing w:after="0" w:line="112"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For the six months ended March 31, 2023, our operating activities provided cash of $60.5 million and our financing activities used cash of $49.0 million. Our operating activities provided cash primarily due to our investment activities and our financing activities used cash primarily due to repayments under the Truist Credit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its strategy. PSLF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was formed as a Delaware limited liability company. As of March 31, 2024 and September 30, 2023, PSLF had total assets of $987.4 million and $872.8 million, respectively and its investment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portfolio consisted of debt investments in 99 and 90 portfolio companies, respectively. As of the same dates, we and Pantheon had remaining commitments to fund subordinated debt of zero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$22.4 million, respectively, and equity interest of zero and $14.5 million, respectively, in PSLF. As of March 31, 2024, at fair value, the largest investment in a single portfolio company in PSLF was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$21.5 million and the five largest investments totaled $100.1 million. As of September 30, 2023, at fair value, the largest investment in a single portfolio company in PSLF was $19.7 million and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five largest investments totaled $97.5 million. PSLF invests in portfolio companies in the same industries in which we may directly invest.</w:t>
      </w:r>
    </w:p>
    <w:p>
      <w:pPr>
        <w:spacing w:after="0" w:line="149"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March 31, 2024 and September 30, 2023, we and Pantheon owned 60.5% and 39.5%, respectively, of each of the outstanding subordinated notes and equity interests of PSLF. As of March 31, 2024 and September 30, 2023, our investment in PSLF consisted of subordinated notes of $115.9 million and $102.3 million, respectively, and equity interests of $67.4 million and $58.6 million, respectively.</w:t>
      </w:r>
    </w:p>
    <w:p>
      <w:pPr>
        <w:spacing w:after="0" w:line="123"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wholly-owned subsidiary, or PSLF Subsidiary, has entered into a $325.0 million (increased from $225.0 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spacing w:after="0" w:line="123"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March 31, 2024 and September 30, 2023, there was $246.0 million of external 2034 Asset-Back Debt.</w:t>
      </w:r>
    </w:p>
    <w:p>
      <w:pPr>
        <w:spacing w:after="0" w:line="13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$ 151.0 million Class A-1a Notes maturing 2035, which bear interest at the three- month SOFR plus 2.7%, (ii) $20.0 million Class A-1b Loans 2035, which bear interest at 6.5%, (iii) $ 12.0 million Class A-2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March 31, 2024 and September 30, 2023, there was $246.0 million of external 2035 Asset-Backed Debt.</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100" w:type="dxa"/>
            <w:vAlign w:val="bottom"/>
          </w:tcPr>
          <w:p>
            <w:pPr>
              <w:spacing w:after="0"/>
              <w:rPr>
                <w:sz w:val="15"/>
                <w:szCs w:val="15"/>
                <w:color w:val="auto"/>
              </w:rPr>
            </w:pPr>
          </w:p>
        </w:tc>
        <w:tc>
          <w:tcPr>
            <w:tcW w:w="150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923,865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100" w:type="dxa"/>
            <w:vAlign w:val="bottom"/>
          </w:tcPr>
          <w:p>
            <w:pPr>
              <w:spacing w:after="0"/>
              <w:rPr>
                <w:sz w:val="15"/>
                <w:szCs w:val="15"/>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12.0 %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99</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1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21,520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19,737</w:t>
            </w:r>
          </w:p>
        </w:tc>
        <w:tc>
          <w:tcPr>
            <w:tcW w:w="40" w:type="dxa"/>
            <w:vAlign w:val="bottom"/>
          </w:tcPr>
          <w:p>
            <w:pPr>
              <w:spacing w:after="0"/>
              <w:rPr>
                <w:sz w:val="15"/>
                <w:szCs w:val="15"/>
                <w:color w:val="auto"/>
              </w:rPr>
            </w:pP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1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100,071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97,526</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2" w:right="640"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March 31, 2024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tcPr>
          <w:p>
            <w:pPr>
              <w:jc w:val="right"/>
              <w:ind w:right="272"/>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20" w:type="dxa"/>
            <w:vAlign w:val="bottom"/>
          </w:tcPr>
          <w:p>
            <w:pPr>
              <w:jc w:val="center"/>
              <w:ind w:right="9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1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7"/>
                <w:szCs w:val="17"/>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- 770.3%</w:t>
            </w:r>
          </w:p>
        </w:tc>
        <w:tc>
          <w:tcPr>
            <w:tcW w:w="1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12/22/28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14,813</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14,563</w:t>
            </w:r>
          </w:p>
        </w:tc>
        <w:tc>
          <w:tcPr>
            <w:tcW w:w="3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14,809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10/02/29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6,484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6,370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6,322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08/01/29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15,428</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15,127</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15,443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04/09/27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05/07/26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12/18/28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14,813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14,762</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14,495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14,172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13,886</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13,712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13,947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13,875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13,878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07/21/27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10,827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10,796</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10,718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13,786</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13,650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13,515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08/03/29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21,738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21,426</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21,520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07/01/29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11.10 %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14,546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14,369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09/17/26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19,697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19,436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19,568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10.42 %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12,259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12,179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12,076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12/04/25</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11.61 %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9,501</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09/26/29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5,500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06/14/28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16,945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2,906</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2,890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07/13/27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11.09 %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8,762</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8,748</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08/16/27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SOFR+551</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08/31/27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10,603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12/21/28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3,965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4,074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11/03/25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14,118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14,085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14,005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06/30/24</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8,566</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01/10/29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6,188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6,122</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6,064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05/29/29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11.84 %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12,311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12,102</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12,434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03/15/27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9,701</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9,595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9,506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06/17/28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10.32 %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3,419</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02/23/28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4,233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03/16/26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6,990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6,974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6,640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08/10/27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0" w:type="dxa"/>
            <w:vAlign w:val="bottom"/>
          </w:tcPr>
          <w:p>
            <w:pPr>
              <w:spacing w:after="0"/>
              <w:rPr>
                <w:sz w:val="1"/>
                <w:szCs w:val="1"/>
                <w:color w:val="auto"/>
              </w:rPr>
            </w:pPr>
          </w:p>
        </w:tc>
      </w:tr>
      <w:tr>
        <w:trPr>
          <w:trHeight w:val="113"/>
        </w:trPr>
        <w:tc>
          <w:tcPr>
            <w:tcW w:w="29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20" w:type="dxa"/>
            <w:vAlign w:val="bottom"/>
            <w:vMerge w:val="restart"/>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12/31/26</w:t>
            </w:r>
          </w:p>
        </w:tc>
        <w:tc>
          <w:tcPr>
            <w:tcW w:w="21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vMerge w:val="restart"/>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40" w:type="dxa"/>
            <w:vAlign w:val="bottom"/>
            <w:shd w:val="clear" w:color="auto" w:fill="CCECFF"/>
          </w:tcPr>
          <w:p>
            <w:pPr>
              <w:spacing w:after="0"/>
              <w:rPr>
                <w:sz w:val="9"/>
                <w:szCs w:val="9"/>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380" w:type="dxa"/>
            <w:vAlign w:val="bottom"/>
            <w:shd w:val="clear" w:color="auto" w:fill="CCECFF"/>
          </w:tcPr>
          <w:p>
            <w:pPr>
              <w:spacing w:after="0"/>
              <w:rPr>
                <w:sz w:val="9"/>
                <w:szCs w:val="9"/>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5,777</w:t>
            </w:r>
          </w:p>
        </w:tc>
        <w:tc>
          <w:tcPr>
            <w:tcW w:w="0" w:type="dxa"/>
            <w:vAlign w:val="bottom"/>
          </w:tcPr>
          <w:p>
            <w:pPr>
              <w:spacing w:after="0"/>
              <w:rPr>
                <w:sz w:val="1"/>
                <w:szCs w:val="1"/>
                <w:color w:val="auto"/>
              </w:rPr>
            </w:pPr>
          </w:p>
        </w:tc>
      </w:tr>
      <w:tr>
        <w:trPr>
          <w:trHeight w:val="132"/>
        </w:trPr>
        <w:tc>
          <w:tcPr>
            <w:tcW w:w="2900" w:type="dxa"/>
            <w:vAlign w:val="bottom"/>
            <w:vMerge w:val="continue"/>
            <w:shd w:val="clear" w:color="auto" w:fill="CCECFF"/>
          </w:tcPr>
          <w:p>
            <w:pPr>
              <w:spacing w:after="0"/>
              <w:rPr>
                <w:sz w:val="11"/>
                <w:szCs w:val="11"/>
                <w:color w:val="auto"/>
              </w:rPr>
            </w:pPr>
          </w:p>
        </w:tc>
        <w:tc>
          <w:tcPr>
            <w:tcW w:w="1020" w:type="dxa"/>
            <w:vAlign w:val="bottom"/>
            <w:vMerge w:val="continue"/>
            <w:shd w:val="clear" w:color="auto" w:fill="CCECFF"/>
          </w:tcPr>
          <w:p>
            <w:pPr>
              <w:spacing w:after="0"/>
              <w:rPr>
                <w:sz w:val="11"/>
                <w:szCs w:val="11"/>
                <w:color w:val="auto"/>
              </w:rPr>
            </w:pPr>
          </w:p>
        </w:tc>
        <w:tc>
          <w:tcPr>
            <w:tcW w:w="2160" w:type="dxa"/>
            <w:vAlign w:val="bottom"/>
            <w:vMerge w:val="continue"/>
            <w:shd w:val="clear" w:color="auto" w:fill="CCECFF"/>
          </w:tcPr>
          <w:p>
            <w:pPr>
              <w:spacing w:after="0"/>
              <w:rPr>
                <w:sz w:val="11"/>
                <w:szCs w:val="11"/>
                <w:color w:val="auto"/>
              </w:rPr>
            </w:pP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10.90</w:t>
            </w:r>
          </w:p>
        </w:tc>
        <w:tc>
          <w:tcPr>
            <w:tcW w:w="1020" w:type="dxa"/>
            <w:vAlign w:val="bottom"/>
            <w:vMerge w:val="continue"/>
            <w:shd w:val="clear" w:color="auto" w:fill="CCECFF"/>
          </w:tcPr>
          <w:p>
            <w:pPr>
              <w:spacing w:after="0"/>
              <w:rPr>
                <w:sz w:val="11"/>
                <w:szCs w:val="11"/>
                <w:color w:val="auto"/>
              </w:rPr>
            </w:pPr>
          </w:p>
        </w:tc>
        <w:tc>
          <w:tcPr>
            <w:tcW w:w="720" w:type="dxa"/>
            <w:vAlign w:val="bottom"/>
            <w:vMerge w:val="continue"/>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80" w:type="dxa"/>
            <w:vAlign w:val="bottom"/>
            <w:vMerge w:val="continue"/>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580" w:type="dxa"/>
            <w:vAlign w:val="bottom"/>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11/08/29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14,364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14,167</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11/23/28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19,614</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19,314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19,614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12/17/26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15,026</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14,883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05/10/26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11.70 %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18,499</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18,394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18,222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09/22/28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4,405</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11/15/27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5,462</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12/31/24</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19,637</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19,424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12/28/28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11/01/26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08/27/26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19,620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19,576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19,424</w:t>
            </w:r>
          </w:p>
        </w:tc>
        <w:tc>
          <w:tcPr>
            <w:tcW w:w="0" w:type="dxa"/>
            <w:vAlign w:val="bottom"/>
          </w:tcPr>
          <w:p>
            <w:pPr>
              <w:spacing w:after="0"/>
              <w:rPr>
                <w:sz w:val="1"/>
                <w:szCs w:val="1"/>
                <w:color w:val="auto"/>
              </w:rPr>
            </w:pPr>
          </w:p>
        </w:tc>
      </w:tr>
      <w:tr>
        <w:trPr>
          <w:trHeight w:val="16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12.94 %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13,167</w:t>
            </w:r>
          </w:p>
        </w:tc>
        <w:tc>
          <w:tcPr>
            <w:tcW w:w="24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12,974</w:t>
            </w:r>
          </w:p>
        </w:tc>
        <w:tc>
          <w:tcPr>
            <w:tcW w:w="38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11/10/27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16,835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16,584</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16,835</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4,636</w:t>
            </w:r>
          </w:p>
        </w:tc>
        <w:tc>
          <w:tcPr>
            <w:tcW w:w="24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4,622</w:t>
            </w:r>
          </w:p>
        </w:tc>
        <w:tc>
          <w:tcPr>
            <w:tcW w:w="38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4,571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02/18/27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SOFR+710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19,930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19,802</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02/03/26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12,155</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12,025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01/31/30</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SOFR+665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6,287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6,180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7,560</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7,165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7,210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SOFR+526</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3,766</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3,551</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05/14/26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10,830</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04/16/27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8,373</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8,290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8,261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12/10/27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2,938</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2,895</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10/20/28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10/01/27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7,391</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7,340</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05/09/29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7,649</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7,553</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08/31/29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12/29/29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3,450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05/07/27</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SOFR+636</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8,283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02/04/28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3,804</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05/18/26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SOFR+651</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4,338</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11/09/27</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8,071</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7,970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10/02/28</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12,968</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12,726</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12,968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05/08/26</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2,536</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2,479</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3,297</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3,257</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3,231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03/31/25</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12,634</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12/18/25</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5,575</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5,575</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04/28/28</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4,920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01/29/26</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9,700</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9,623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0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12/20/24</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11.07 %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14,313</w:t>
            </w:r>
          </w:p>
        </w:tc>
        <w:tc>
          <w:tcPr>
            <w:tcW w:w="24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14,280</w:t>
            </w:r>
          </w:p>
        </w:tc>
        <w:tc>
          <w:tcPr>
            <w:tcW w:w="38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12,166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06/21/25</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3,952</w:t>
            </w:r>
          </w:p>
        </w:tc>
        <w:tc>
          <w:tcPr>
            <w:tcW w:w="2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3,933</w:t>
            </w:r>
          </w:p>
        </w:tc>
        <w:tc>
          <w:tcPr>
            <w:tcW w:w="38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56"/>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20" w:type="dxa"/>
            <w:vAlign w:val="bottom"/>
          </w:tcPr>
          <w:p>
            <w:pPr>
              <w:jc w:val="center"/>
              <w:ind w:right="89"/>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7"/>
                <w:szCs w:val="17"/>
                <w:color w:val="auto"/>
              </w:rPr>
            </w:pP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06/16/29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11.43 %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3,730</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3,664</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4,229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4,166</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4,186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01/03/25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6,676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6,650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000" w:type="dxa"/>
            <w:vAlign w:val="bottom"/>
            <w:vMerge w:val="restart"/>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12/20/24</w:t>
            </w:r>
          </w:p>
        </w:tc>
        <w:tc>
          <w:tcPr>
            <w:tcW w:w="20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vMerge w:val="restart"/>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12.93 %</w:t>
            </w:r>
          </w:p>
        </w:tc>
        <w:tc>
          <w:tcPr>
            <w:tcW w:w="1020" w:type="dxa"/>
            <w:vAlign w:val="bottom"/>
            <w:vMerge w:val="restart"/>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SOFR+750</w:t>
            </w:r>
          </w:p>
        </w:tc>
        <w:tc>
          <w:tcPr>
            <w:tcW w:w="820" w:type="dxa"/>
            <w:vAlign w:val="bottom"/>
            <w:vMerge w:val="restart"/>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4,789</w:t>
            </w:r>
          </w:p>
        </w:tc>
        <w:tc>
          <w:tcPr>
            <w:tcW w:w="140" w:type="dxa"/>
            <w:vAlign w:val="bottom"/>
            <w:shd w:val="clear" w:color="auto" w:fill="CCECFF"/>
          </w:tcPr>
          <w:p>
            <w:pPr>
              <w:spacing w:after="0"/>
              <w:rPr>
                <w:sz w:val="12"/>
                <w:szCs w:val="12"/>
                <w:color w:val="auto"/>
              </w:rPr>
            </w:pPr>
          </w:p>
        </w:tc>
        <w:tc>
          <w:tcPr>
            <w:tcW w:w="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4,789</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60" w:type="dxa"/>
            <w:vAlign w:val="bottom"/>
            <w:shd w:val="clear" w:color="auto" w:fill="CCECFF"/>
          </w:tcPr>
          <w:p>
            <w:pPr>
              <w:spacing w:after="0"/>
              <w:rPr>
                <w:sz w:val="10"/>
                <w:szCs w:val="10"/>
                <w:color w:val="auto"/>
              </w:rPr>
            </w:pPr>
          </w:p>
        </w:tc>
        <w:tc>
          <w:tcPr>
            <w:tcW w:w="1000" w:type="dxa"/>
            <w:vAlign w:val="bottom"/>
            <w:vMerge w:val="continue"/>
            <w:shd w:val="clear" w:color="auto" w:fill="CCECFF"/>
          </w:tcPr>
          <w:p>
            <w:pPr>
              <w:spacing w:after="0"/>
              <w:rPr>
                <w:sz w:val="10"/>
                <w:szCs w:val="10"/>
                <w:color w:val="auto"/>
              </w:rPr>
            </w:pPr>
          </w:p>
        </w:tc>
        <w:tc>
          <w:tcPr>
            <w:tcW w:w="2080" w:type="dxa"/>
            <w:vAlign w:val="bottom"/>
            <w:vMerge w:val="continue"/>
            <w:shd w:val="clear" w:color="auto" w:fill="CCECFF"/>
          </w:tcPr>
          <w:p>
            <w:pPr>
              <w:spacing w:after="0"/>
              <w:rPr>
                <w:sz w:val="10"/>
                <w:szCs w:val="10"/>
                <w:color w:val="auto"/>
              </w:rPr>
            </w:pPr>
          </w:p>
        </w:tc>
        <w:tc>
          <w:tcPr>
            <w:tcW w:w="1000" w:type="dxa"/>
            <w:vAlign w:val="bottom"/>
            <w:vMerge w:val="continue"/>
            <w:shd w:val="clear" w:color="auto" w:fill="CCECFF"/>
          </w:tcPr>
          <w:p>
            <w:pPr>
              <w:spacing w:after="0"/>
              <w:rPr>
                <w:sz w:val="10"/>
                <w:szCs w:val="10"/>
                <w:color w:val="auto"/>
              </w:rPr>
            </w:pPr>
          </w:p>
        </w:tc>
        <w:tc>
          <w:tcPr>
            <w:tcW w:w="1020" w:type="dxa"/>
            <w:vAlign w:val="bottom"/>
            <w:vMerge w:val="continue"/>
            <w:shd w:val="clear" w:color="auto" w:fill="CCECFF"/>
          </w:tcPr>
          <w:p>
            <w:pPr>
              <w:spacing w:after="0"/>
              <w:rPr>
                <w:sz w:val="10"/>
                <w:szCs w:val="10"/>
                <w:color w:val="auto"/>
              </w:rPr>
            </w:pPr>
          </w:p>
        </w:tc>
        <w:tc>
          <w:tcPr>
            <w:tcW w:w="820" w:type="dxa"/>
            <w:vAlign w:val="bottom"/>
            <w:vMerge w:val="continue"/>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06/13/29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14,775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14,572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12/18/27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SOFR+715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8,367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8,298</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8,284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12/02/26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11.70 %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11,416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11,236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05/17/28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9.94 %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SOFR+450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1,297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07/17/25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12.46 %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SOFR+700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03/01/28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10.95 %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9,559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9,327</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SOFR+475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3,554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0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08/16/27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11.08 %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15,884</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15,649</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15,868</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01/23/29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11.81 %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10.49 %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2,674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2,668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07/27/26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11.96 %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SOFR+665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11,956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11,907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08/31/27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7,650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7,566</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5,451</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02/29/28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11.33 %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15,473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15,253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15,318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06/06/25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11.73 %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5,684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04/03/28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11,299</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06/15/26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3,840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12/01/29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11.31 %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9,000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8,862</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02/27/27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71"/>
              <w:spacing w:after="0" w:line="180" w:lineRule="exact"/>
              <w:rPr>
                <w:sz w:val="20"/>
                <w:szCs w:val="20"/>
                <w:color w:val="auto"/>
              </w:rPr>
            </w:pPr>
            <w:r>
              <w:rPr>
                <w:rFonts w:ascii="Times New Roman" w:cs="Times New Roman" w:eastAsia="Times New Roman" w:hAnsi="Times New Roman"/>
                <w:sz w:val="10"/>
                <w:szCs w:val="10"/>
                <w:color w:val="auto"/>
              </w:rPr>
              <w:t xml:space="preserve">11.06 </w:t>
            </w:r>
            <w:r>
              <w:rPr>
                <w:rFonts w:ascii="Times New Roman" w:cs="Times New Roman" w:eastAsia="Times New Roman" w:hAnsi="Times New Roman"/>
                <w:sz w:val="19"/>
                <w:szCs w:val="19"/>
                <w:color w:val="auto"/>
                <w:vertAlign w:val="subscript"/>
              </w:rPr>
              <w:t>%</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19,355</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19,197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0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12.68 %</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SOFR+725</w:t>
            </w:r>
          </w:p>
        </w:tc>
        <w:tc>
          <w:tcPr>
            <w:tcW w:w="82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19,696</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19,545</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19,253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00" w:type="dxa"/>
            <w:vAlign w:val="bottom"/>
            <w:shd w:val="clear" w:color="auto" w:fill="CCECFF"/>
          </w:tcPr>
          <w:p>
            <w:pPr>
              <w:spacing w:after="0"/>
              <w:rPr>
                <w:sz w:val="15"/>
                <w:szCs w:val="15"/>
                <w:color w:val="auto"/>
              </w:rPr>
            </w:pPr>
          </w:p>
        </w:tc>
        <w:tc>
          <w:tcPr>
            <w:tcW w:w="20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928,066</w:t>
            </w: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923,865</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- 770.3%</w:t>
            </w:r>
          </w:p>
        </w:tc>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- 46.6%</w:t>
            </w:r>
          </w:p>
        </w:tc>
        <w:tc>
          <w:tcPr>
            <w:tcW w:w="1000" w:type="dxa"/>
            <w:vAlign w:val="bottom"/>
            <w:shd w:val="clear" w:color="auto" w:fill="CCECFF"/>
          </w:tcPr>
          <w:p>
            <w:pPr>
              <w:spacing w:after="0"/>
              <w:rPr>
                <w:sz w:val="16"/>
                <w:szCs w:val="16"/>
                <w:color w:val="auto"/>
              </w:rPr>
            </w:pPr>
          </w:p>
        </w:tc>
        <w:tc>
          <w:tcPr>
            <w:tcW w:w="20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00" w:type="dxa"/>
            <w:vAlign w:val="bottom"/>
            <w:shd w:val="clear" w:color="auto" w:fill="CCECFF"/>
          </w:tcPr>
          <w:p>
            <w:pPr>
              <w:spacing w:after="0"/>
              <w:rPr>
                <w:sz w:val="16"/>
                <w:szCs w:val="16"/>
                <w:color w:val="auto"/>
              </w:rPr>
            </w:pPr>
          </w:p>
        </w:tc>
        <w:tc>
          <w:tcPr>
            <w:tcW w:w="20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1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55,892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- 816.9%</w:t>
            </w: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983,958</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979,757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716.9%</w:t>
            </w:r>
          </w:p>
        </w:tc>
        <w:tc>
          <w:tcPr>
            <w:tcW w:w="1000" w:type="dxa"/>
            <w:vAlign w:val="bottom"/>
            <w:shd w:val="clear" w:color="auto" w:fill="CCECFF"/>
          </w:tcPr>
          <w:p>
            <w:pPr>
              <w:spacing w:after="0"/>
              <w:rPr>
                <w:sz w:val="13"/>
                <w:szCs w:val="13"/>
                <w:color w:val="auto"/>
              </w:rPr>
            </w:pPr>
          </w:p>
        </w:tc>
        <w:tc>
          <w:tcPr>
            <w:tcW w:w="20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(859,829 )</w:t>
            </w: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9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119,928</w:t>
            </w:r>
          </w:p>
        </w:tc>
      </w:tr>
      <w:tr>
        <w:trPr>
          <w:trHeight w:val="20"/>
        </w:trPr>
        <w:tc>
          <w:tcPr>
            <w:tcW w:w="9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3080"/>
        <w:spacing w:after="0" w:line="23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80" w:type="dxa"/>
            <w:vAlign w:val="bottom"/>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71"/>
              <w:spacing w:after="0" w:line="156"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8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12/22/28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11.84 %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14,668</w:t>
            </w: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13"/>
        </w:trPr>
        <w:tc>
          <w:tcPr>
            <w:tcW w:w="28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60" w:type="dxa"/>
            <w:vAlign w:val="bottom"/>
            <w:vMerge w:val="restart"/>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05/07/26</w:t>
            </w:r>
          </w:p>
        </w:tc>
        <w:tc>
          <w:tcPr>
            <w:tcW w:w="20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vMerge w:val="restart"/>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9"/>
                <w:szCs w:val="9"/>
                <w:color w:val="auto"/>
              </w:rPr>
            </w:pPr>
          </w:p>
        </w:tc>
        <w:tc>
          <w:tcPr>
            <w:tcW w:w="6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80" w:type="dxa"/>
            <w:vAlign w:val="bottom"/>
            <w:shd w:val="clear" w:color="auto" w:fill="CCECFF"/>
          </w:tcPr>
          <w:p>
            <w:pPr>
              <w:spacing w:after="0"/>
              <w:rPr>
                <w:sz w:val="9"/>
                <w:szCs w:val="9"/>
                <w:color w:val="auto"/>
              </w:rPr>
            </w:pPr>
          </w:p>
        </w:tc>
        <w:tc>
          <w:tcPr>
            <w:tcW w:w="6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32"/>
        </w:trPr>
        <w:tc>
          <w:tcPr>
            <w:tcW w:w="2800" w:type="dxa"/>
            <w:vAlign w:val="bottom"/>
            <w:vMerge w:val="continue"/>
            <w:shd w:val="clear" w:color="auto" w:fill="CCECFF"/>
          </w:tcPr>
          <w:p>
            <w:pPr>
              <w:spacing w:after="0"/>
              <w:rPr>
                <w:sz w:val="11"/>
                <w:szCs w:val="11"/>
                <w:color w:val="auto"/>
              </w:rPr>
            </w:pPr>
          </w:p>
        </w:tc>
        <w:tc>
          <w:tcPr>
            <w:tcW w:w="860" w:type="dxa"/>
            <w:vAlign w:val="bottom"/>
            <w:vMerge w:val="continue"/>
            <w:shd w:val="clear" w:color="auto" w:fill="CCECFF"/>
          </w:tcPr>
          <w:p>
            <w:pPr>
              <w:spacing w:after="0"/>
              <w:rPr>
                <w:sz w:val="11"/>
                <w:szCs w:val="11"/>
                <w:color w:val="auto"/>
              </w:rPr>
            </w:pPr>
          </w:p>
        </w:tc>
        <w:tc>
          <w:tcPr>
            <w:tcW w:w="2080" w:type="dxa"/>
            <w:vAlign w:val="bottom"/>
            <w:vMerge w:val="continue"/>
            <w:shd w:val="clear" w:color="auto" w:fill="CCECFF"/>
          </w:tcPr>
          <w:p>
            <w:pPr>
              <w:spacing w:after="0"/>
              <w:rPr>
                <w:sz w:val="11"/>
                <w:szCs w:val="11"/>
                <w:color w:val="auto"/>
              </w:rPr>
            </w:pPr>
          </w:p>
        </w:tc>
        <w:tc>
          <w:tcPr>
            <w:tcW w:w="9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11.65</w:t>
            </w:r>
          </w:p>
        </w:tc>
        <w:tc>
          <w:tcPr>
            <w:tcW w:w="1080" w:type="dxa"/>
            <w:vAlign w:val="bottom"/>
            <w:vMerge w:val="continue"/>
            <w:shd w:val="clear" w:color="auto" w:fill="CCECFF"/>
          </w:tcPr>
          <w:p>
            <w:pPr>
              <w:spacing w:after="0"/>
              <w:rPr>
                <w:sz w:val="11"/>
                <w:szCs w:val="11"/>
                <w:color w:val="auto"/>
              </w:rPr>
            </w:pPr>
          </w:p>
        </w:tc>
        <w:tc>
          <w:tcPr>
            <w:tcW w:w="1000" w:type="dxa"/>
            <w:vAlign w:val="bottom"/>
            <w:vMerge w:val="continue"/>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vMerge w:val="continue"/>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20" w:type="dxa"/>
            <w:vAlign w:val="bottom"/>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11/30/26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11.26 %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14,837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13,869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05/23/24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12.04 %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07/21/27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10,847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11.11 %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10.76 %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11.51 %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Unfunded Term Loan (3)</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08/03/29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07/01/29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14,604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11.83 %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09/17/24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17,588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12/04/25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09/26/29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06/14/28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17,013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11.60 %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07/13/27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11.16 %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08/16/27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0"/>
        </w:trPr>
        <w:tc>
          <w:tcPr>
            <w:tcW w:w="28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60" w:type="dxa"/>
            <w:vAlign w:val="bottom"/>
            <w:vMerge w:val="restart"/>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08/31/27</w:t>
            </w:r>
          </w:p>
        </w:tc>
        <w:tc>
          <w:tcPr>
            <w:tcW w:w="20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vMerge w:val="restart"/>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11.24 %</w:t>
            </w:r>
          </w:p>
        </w:tc>
        <w:tc>
          <w:tcPr>
            <w:tcW w:w="1080" w:type="dxa"/>
            <w:vAlign w:val="bottom"/>
            <w:vMerge w:val="restart"/>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04"/>
        </w:trPr>
        <w:tc>
          <w:tcPr>
            <w:tcW w:w="2800" w:type="dxa"/>
            <w:vAlign w:val="bottom"/>
            <w:vMerge w:val="continue"/>
            <w:shd w:val="clear" w:color="auto" w:fill="CCECFF"/>
          </w:tcPr>
          <w:p>
            <w:pPr>
              <w:spacing w:after="0"/>
              <w:rPr>
                <w:sz w:val="9"/>
                <w:szCs w:val="9"/>
                <w:color w:val="auto"/>
              </w:rPr>
            </w:pPr>
          </w:p>
        </w:tc>
        <w:tc>
          <w:tcPr>
            <w:tcW w:w="860" w:type="dxa"/>
            <w:vAlign w:val="bottom"/>
            <w:vMerge w:val="continue"/>
            <w:shd w:val="clear" w:color="auto" w:fill="CCECFF"/>
          </w:tcPr>
          <w:p>
            <w:pPr>
              <w:spacing w:after="0"/>
              <w:rPr>
                <w:sz w:val="9"/>
                <w:szCs w:val="9"/>
                <w:color w:val="auto"/>
              </w:rPr>
            </w:pPr>
          </w:p>
        </w:tc>
        <w:tc>
          <w:tcPr>
            <w:tcW w:w="2080" w:type="dxa"/>
            <w:vAlign w:val="bottom"/>
            <w:vMerge w:val="continue"/>
            <w:shd w:val="clear" w:color="auto" w:fill="CCECFF"/>
          </w:tcPr>
          <w:p>
            <w:pPr>
              <w:spacing w:after="0"/>
              <w:rPr>
                <w:sz w:val="9"/>
                <w:szCs w:val="9"/>
                <w:color w:val="auto"/>
              </w:rPr>
            </w:pPr>
          </w:p>
        </w:tc>
        <w:tc>
          <w:tcPr>
            <w:tcW w:w="960" w:type="dxa"/>
            <w:vAlign w:val="bottom"/>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12/21/28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3,959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11/03/25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14,395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14,345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06/30/24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8,561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01/10/29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6,219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01/17/24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05/29/29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11.89 %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12,171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03/15/27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06/17/28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02/23/28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12.43 %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4,373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4,291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03/16/26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11.96 %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7,027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11/23/28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11.32 %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12/17/26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09/22/28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11.45 %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11/15/27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5,565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12.50 %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SOFR+715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19,410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12/28/28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12.24 %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SOFR+685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10,867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11/01/26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08/27/26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12/20/23</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13.42 %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SOFR+800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SOFR+615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16,641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37"/>
        </w:trPr>
        <w:tc>
          <w:tcPr>
            <w:tcW w:w="28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6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11.46 %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4,658</w:t>
            </w: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4,631</w:t>
            </w: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02/18/27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12.13 %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02/03/26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12,056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01/31/30</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SOFR+665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6,206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04/01/27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7,601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7,153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05/14/26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11.04 %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04/16/27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10.58 %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10/01/27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11.04 %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08/19/26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7,429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05/09/29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SOFR+660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7,910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05/07/27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11.68 %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02/04/28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10.80 %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3,794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05/18/26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12.90 %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12/02/26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SOFR+640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11/09/27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12.42 %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7,930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7,818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7,137</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05/08/26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11/19/26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11.74 %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12,703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12,641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12/18/25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4/28/2028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4,937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4,800</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1/29/2026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12.54 %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9,458</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12/20/2024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11.13 %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14,332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12,591</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6/20/2025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3"/>
              </w:rPr>
              <w:t>3/10/2025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10,895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3"/>
              </w:rPr>
              <w:t>6/16/2029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11.52 %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3,678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100" w:type="dxa"/>
            <w:vAlign w:val="bottom"/>
            <w:vMerge w:val="restart"/>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6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69"/>
              <w:spacing w:after="0" w:line="156"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11.59 %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6,859</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36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12.92 %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4,872</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14,850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12.04 %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11,201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9.93 %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12.37 %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11.04 %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9,607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12,099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10.43 %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3,572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0"/>
                <w:szCs w:val="10"/>
                <w:color w:val="auto"/>
              </w:rPr>
              <w:t>11.49 %</w:t>
            </w: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1100" w:type="dxa"/>
            <w:vAlign w:val="bottom"/>
            <w:vMerge w:val="restart"/>
          </w:tcPr>
          <w:p>
            <w:pPr>
              <w:jc w:val="right"/>
              <w:ind w:right="151"/>
              <w:spacing w:after="0"/>
              <w:rPr>
                <w:sz w:val="20"/>
                <w:szCs w:val="20"/>
                <w:color w:val="auto"/>
              </w:rPr>
            </w:pPr>
            <w:r>
              <w:rPr>
                <w:rFonts w:ascii="Times New Roman" w:cs="Times New Roman" w:eastAsia="Times New Roman" w:hAnsi="Times New Roman"/>
                <w:sz w:val="10"/>
                <w:szCs w:val="10"/>
                <w:color w:val="auto"/>
              </w:rPr>
              <w:t>15,966</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8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10.75 %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SOFR+515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2,688</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2,936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12.04 %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11,095</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12.79 %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7,855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11.70 %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7,690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10.68 %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5,479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11.80 %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7,177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10.90 %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11.79 %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3,860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10.54 %</w:t>
            </w:r>
          </w:p>
        </w:tc>
        <w:tc>
          <w:tcPr>
            <w:tcW w:w="10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SOFR+515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11,386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12.67 %</w:t>
            </w:r>
          </w:p>
        </w:tc>
        <w:tc>
          <w:tcPr>
            <w:tcW w:w="10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19,682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00" w:type="dxa"/>
            <w:vAlign w:val="bottom"/>
            <w:tcBorders>
              <w:bottom w:val="single" w:sz="8" w:color="CCECFF"/>
            </w:tcBorders>
            <w:shd w:val="clear" w:color="auto" w:fill="CCECFF"/>
          </w:tcPr>
          <w:p>
            <w:pPr>
              <w:spacing w:after="0"/>
              <w:rPr>
                <w:sz w:val="16"/>
                <w:szCs w:val="16"/>
                <w:color w:val="auto"/>
              </w:rPr>
            </w:pPr>
          </w:p>
        </w:tc>
        <w:tc>
          <w:tcPr>
            <w:tcW w:w="190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Borders>
              <w:bottom w:val="single" w:sz="8" w:color="CCECFF"/>
            </w:tcBorders>
            <w:shd w:val="clear" w:color="auto" w:fill="CCECFF"/>
          </w:tcPr>
          <w:p>
            <w:pPr>
              <w:spacing w:after="0"/>
              <w:rPr>
                <w:sz w:val="16"/>
                <w:szCs w:val="16"/>
                <w:color w:val="auto"/>
              </w:rPr>
            </w:pPr>
          </w:p>
        </w:tc>
        <w:tc>
          <w:tcPr>
            <w:tcW w:w="190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right="3080"/>
        <w:spacing w:after="0" w:line="23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in thousands):</w:t>
            </w:r>
          </w:p>
        </w:tc>
        <w:tc>
          <w:tcPr>
            <w:tcW w:w="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92"/>
        </w:trPr>
        <w:tc>
          <w:tcPr>
            <w:tcW w:w="5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March 31, 2024 (Unaudited)</w:t>
            </w:r>
          </w:p>
        </w:tc>
        <w:tc>
          <w:tcPr>
            <w:tcW w:w="460" w:type="dxa"/>
            <w:vAlign w:val="bottom"/>
          </w:tcPr>
          <w:p>
            <w:pPr>
              <w:spacing w:after="0"/>
              <w:rPr>
                <w:sz w:val="16"/>
                <w:szCs w:val="16"/>
                <w:color w:val="auto"/>
              </w:rPr>
            </w:pPr>
          </w:p>
        </w:tc>
        <w:tc>
          <w:tcPr>
            <w:tcW w:w="190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4"/>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cost—$928,066 and $810,737, respectively)</w:t>
            </w:r>
          </w:p>
        </w:tc>
        <w:tc>
          <w:tcPr>
            <w:tcW w:w="5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923,865</w:t>
            </w:r>
          </w:p>
        </w:tc>
        <w:tc>
          <w:tcPr>
            <w:tcW w:w="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(cost—$55,892 and $59,096, respectively)</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55,892</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59,096</w:t>
            </w:r>
          </w:p>
        </w:tc>
      </w:tr>
      <w:tr>
        <w:trPr>
          <w:trHeight w:val="184"/>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7,043</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5,248</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543</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936</w:t>
            </w:r>
          </w:p>
        </w:tc>
      </w:tr>
      <w:tr>
        <w:trPr>
          <w:trHeight w:val="184"/>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59</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3,296</w:t>
            </w:r>
          </w:p>
        </w:tc>
      </w:tr>
      <w:tr>
        <w:trPr>
          <w:trHeight w:val="177"/>
        </w:trPr>
        <w:tc>
          <w:tcPr>
            <w:tcW w:w="55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987,402</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872,763</w:t>
            </w:r>
          </w:p>
        </w:tc>
      </w:tr>
      <w:tr>
        <w:trPr>
          <w:trHeight w:val="183"/>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560" w:type="dxa"/>
            <w:vAlign w:val="bottom"/>
            <w:shd w:val="clear" w:color="auto" w:fill="CCECFF"/>
          </w:tcPr>
          <w:p>
            <w:pPr>
              <w:spacing w:after="0"/>
              <w:rPr>
                <w:sz w:val="15"/>
                <w:szCs w:val="15"/>
                <w:color w:val="auto"/>
              </w:rPr>
            </w:pPr>
          </w:p>
        </w:tc>
        <w:tc>
          <w:tcPr>
            <w:tcW w:w="206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1900" w:type="dxa"/>
            <w:vAlign w:val="bottom"/>
            <w:shd w:val="clear" w:color="auto" w:fill="CCECFF"/>
          </w:tcPr>
          <w:p>
            <w:pPr>
              <w:spacing w:after="0"/>
              <w:rPr>
                <w:sz w:val="15"/>
                <w:szCs w:val="15"/>
                <w:color w:val="auto"/>
              </w:rPr>
            </w:pP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244,478</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244,284</w:t>
            </w:r>
          </w:p>
        </w:tc>
      </w:tr>
      <w:tr>
        <w:trPr>
          <w:trHeight w:val="184"/>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243,923</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243,727</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191,546</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169,131</w:t>
            </w:r>
          </w:p>
        </w:tc>
      </w:tr>
      <w:tr>
        <w:trPr>
          <w:trHeight w:val="212"/>
        </w:trPr>
        <w:tc>
          <w:tcPr>
            <w:tcW w:w="5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560" w:type="dxa"/>
            <w:vAlign w:val="bottom"/>
            <w:tcBorders>
              <w:bottom w:val="single" w:sz="8" w:color="CCECFF"/>
            </w:tcBorders>
            <w:shd w:val="clear" w:color="auto" w:fill="CCECFF"/>
          </w:tcPr>
          <w:p>
            <w:pPr>
              <w:spacing w:after="0"/>
              <w:rPr>
                <w:sz w:val="18"/>
                <w:szCs w:val="18"/>
                <w:color w:val="auto"/>
              </w:rPr>
            </w:pPr>
          </w:p>
        </w:tc>
        <w:tc>
          <w:tcPr>
            <w:tcW w:w="2060" w:type="dxa"/>
            <w:vAlign w:val="bottom"/>
            <w:tcBorders>
              <w:bottom w:val="single" w:sz="8" w:color="CCECFF"/>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163,600</w:t>
            </w:r>
          </w:p>
        </w:tc>
        <w:tc>
          <w:tcPr>
            <w:tcW w:w="460" w:type="dxa"/>
            <w:vAlign w:val="bottom"/>
            <w:tcBorders>
              <w:bottom w:val="single" w:sz="8" w:color="CCECFF"/>
            </w:tcBorders>
            <w:shd w:val="clear" w:color="auto" w:fill="CCECFF"/>
          </w:tcPr>
          <w:p>
            <w:pPr>
              <w:spacing w:after="0"/>
              <w:rPr>
                <w:sz w:val="18"/>
                <w:szCs w:val="18"/>
                <w:color w:val="auto"/>
              </w:rPr>
            </w:pPr>
          </w:p>
        </w:tc>
        <w:tc>
          <w:tcPr>
            <w:tcW w:w="1900" w:type="dxa"/>
            <w:vAlign w:val="bottom"/>
            <w:tcBorders>
              <w:bottom w:val="single" w:sz="8" w:color="CCECFF"/>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88,600</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11,127</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10,421</w:t>
            </w:r>
          </w:p>
        </w:tc>
      </w:tr>
      <w:tr>
        <w:trPr>
          <w:trHeight w:val="184"/>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7,750</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7,250</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4,244</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3,895</w:t>
            </w:r>
          </w:p>
        </w:tc>
      </w:tr>
      <w:tr>
        <w:trPr>
          <w:trHeight w:val="184"/>
        </w:trPr>
        <w:tc>
          <w:tcPr>
            <w:tcW w:w="5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806</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835</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560" w:type="dxa"/>
            <w:vAlign w:val="bottom"/>
          </w:tcPr>
          <w:p>
            <w:pPr>
              <w:spacing w:after="0"/>
              <w:rPr>
                <w:sz w:val="15"/>
                <w:szCs w:val="15"/>
                <w:color w:val="auto"/>
              </w:rPr>
            </w:pP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2,002</w:t>
            </w:r>
          </w:p>
        </w:tc>
      </w:tr>
      <w:tr>
        <w:trPr>
          <w:trHeight w:val="184"/>
        </w:trPr>
        <w:tc>
          <w:tcPr>
            <w:tcW w:w="55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867,474</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770,145</w:t>
            </w:r>
          </w:p>
        </w:tc>
      </w:tr>
      <w:tr>
        <w:trPr>
          <w:trHeight w:val="176"/>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4"/>
        </w:trPr>
        <w:tc>
          <w:tcPr>
            <w:tcW w:w="55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56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119,928</w:t>
            </w:r>
          </w:p>
        </w:tc>
        <w:tc>
          <w:tcPr>
            <w:tcW w:w="460" w:type="dxa"/>
            <w:vAlign w:val="bottom"/>
            <w:shd w:val="clear" w:color="auto" w:fill="CCECFF"/>
          </w:tcPr>
          <w:p>
            <w:pPr>
              <w:spacing w:after="0"/>
              <w:rPr>
                <w:sz w:val="16"/>
                <w:szCs w:val="16"/>
                <w:color w:val="auto"/>
              </w:rPr>
            </w:pPr>
          </w:p>
        </w:tc>
        <w:tc>
          <w:tcPr>
            <w:tcW w:w="1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102,618</w:t>
            </w:r>
          </w:p>
        </w:tc>
      </w:tr>
      <w:tr>
        <w:trPr>
          <w:trHeight w:val="174"/>
        </w:trPr>
        <w:tc>
          <w:tcPr>
            <w:tcW w:w="55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987,402</w:t>
            </w:r>
          </w:p>
        </w:tc>
        <w:tc>
          <w:tcPr>
            <w:tcW w:w="4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3810</wp:posOffset>
            </wp:positionV>
            <wp:extent cx="285051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0515" cy="2286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As of March 31, 2024 and September 30, 2023, PSLF had zero and $0.5 million, respectively, of unfunded commitments to fund investments.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0" w:type="dxa"/>
            <w:vAlign w:val="bottom"/>
          </w:tcPr>
          <w:p>
            <w:pPr>
              <w:spacing w:after="0"/>
              <w:rPr>
                <w:sz w:val="24"/>
                <w:szCs w:val="24"/>
                <w:color w:val="auto"/>
              </w:rPr>
            </w:pPr>
          </w:p>
        </w:tc>
        <w:tc>
          <w:tcPr>
            <w:tcW w:w="204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0" w:type="dxa"/>
            <w:vAlign w:val="bottom"/>
          </w:tcPr>
          <w:p>
            <w:pPr>
              <w:spacing w:after="0"/>
              <w:rPr>
                <w:sz w:val="1"/>
                <w:szCs w:val="1"/>
                <w:color w:val="auto"/>
              </w:rPr>
            </w:pPr>
          </w:p>
        </w:tc>
      </w:tr>
      <w:tr>
        <w:trPr>
          <w:trHeight w:val="180"/>
        </w:trPr>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27,839</w:t>
            </w:r>
          </w:p>
        </w:tc>
        <w:tc>
          <w:tcPr>
            <w:tcW w:w="34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21,223</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54,946</w:t>
            </w:r>
          </w:p>
        </w:tc>
        <w:tc>
          <w:tcPr>
            <w:tcW w:w="40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40,068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28,173</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21,974</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55,420</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40,916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12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13,338</w:t>
            </w: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8,874</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25,978</w:t>
            </w: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16,689</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20" w:type="dxa"/>
            <w:vAlign w:val="bottom"/>
            <w:shd w:val="clear" w:color="auto" w:fill="CCECFF"/>
          </w:tcPr>
          <w:p>
            <w:pPr>
              <w:spacing w:after="0"/>
              <w:rPr>
                <w:sz w:val="15"/>
                <w:szCs w:val="15"/>
                <w:color w:val="auto"/>
              </w:rPr>
            </w:pP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1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60" w:type="dxa"/>
            <w:vAlign w:val="bottom"/>
            <w:vMerge w:val="continue"/>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20" w:type="dxa"/>
            <w:vAlign w:val="bottom"/>
            <w:vMerge w:val="continue"/>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76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80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20,230</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14,547</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39,479</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27,926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(1,695 )</w:t>
            </w: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(5,617 )</w:t>
            </w:r>
          </w:p>
        </w:tc>
        <w:tc>
          <w:tcPr>
            <w:tcW w:w="0" w:type="dxa"/>
            <w:vAlign w:val="bottom"/>
          </w:tcPr>
          <w:p>
            <w:pPr>
              <w:spacing w:after="0"/>
              <w:rPr>
                <w:sz w:val="1"/>
                <w:szCs w:val="1"/>
                <w:color w:val="auto"/>
              </w:rPr>
            </w:pP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(1,641 )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(5,596 )</w:t>
            </w:r>
          </w:p>
        </w:tc>
        <w:tc>
          <w:tcPr>
            <w:tcW w:w="0" w:type="dxa"/>
            <w:vAlign w:val="bottom"/>
          </w:tcPr>
          <w:p>
            <w:pPr>
              <w:spacing w:after="0"/>
              <w:rPr>
                <w:sz w:val="1"/>
                <w:szCs w:val="1"/>
                <w:color w:val="auto"/>
              </w:rPr>
            </w:pPr>
          </w:p>
        </w:tc>
      </w:tr>
      <w:tr>
        <w:trPr>
          <w:trHeight w:val="220"/>
        </w:trPr>
        <w:tc>
          <w:tcPr>
            <w:tcW w:w="6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9,335</w:t>
            </w:r>
          </w:p>
        </w:tc>
        <w:tc>
          <w:tcPr>
            <w:tcW w:w="1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5,786</w:t>
            </w: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18,276</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 w:hanging="94"/>
        <w:spacing w:after="0"/>
        <w:tabs>
          <w:tab w:leader="none" w:pos="100" w:val="left"/>
        </w:tabs>
        <w:numPr>
          <w:ilvl w:val="0"/>
          <w:numId w:val="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No management or incentive fees are payable by PSLF.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6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23"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 -term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30"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During the three and six months ended March 31, 2024, we declared distributions of $0.21 and $0.42 per share, for total distributions of $13.7 million and $27.4 million. During the three and six months ended March 31, 2023, we declared distributions of $0.185 and $0.35 per share, for total distributions of $12.1 million and $22.8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0"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Effective October 2023, we changed from a quarterly distribution to a monthly distribution. We intend to continue to make monthly distributions to our stockholders. Our monthly distributions, if any, are determined by our board of directors.</w:t>
      </w:r>
    </w:p>
    <w:p>
      <w:pPr>
        <w:spacing w:after="0" w:line="112"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and six months ended March 31, 2024, the effect of which was not material to the consolidated financial statements and the notes thereto.</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4" w:right="640" w:bottom="1440" w:gutter="0" w:footer="0" w:header="0"/>
        </w:sectPr>
      </w:pPr>
    </w:p>
    <w:bookmarkStart w:id="54" w:name="page55"/>
    <w:bookmarkEnd w:id="54"/>
    <w:p>
      <w:pPr>
        <w:ind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Share Repurchase Program</w:t>
      </w:r>
    </w:p>
    <w:p>
      <w:pPr>
        <w:spacing w:after="0" w:line="191"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3"/>
          <w:szCs w:val="13"/>
          <w:color w:val="auto"/>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During the six months ended March 31, 2023, we did not make any repurchases of our common shares. The program expired on March 31, 2023.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March 31, 2024, our debt portfolio consisted of 97% variable-rate investments and 3% fixed rate investments. The variable- 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0"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326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Net of Interest</w:t>
            </w:r>
          </w:p>
        </w:tc>
        <w:tc>
          <w:tcPr>
            <w:tcW w:w="0" w:type="dxa"/>
            <w:vAlign w:val="bottom"/>
          </w:tcPr>
          <w:p>
            <w:pPr>
              <w:spacing w:after="0"/>
              <w:rPr>
                <w:sz w:val="1"/>
                <w:szCs w:val="1"/>
                <w:color w:val="auto"/>
              </w:rPr>
            </w:pPr>
          </w:p>
        </w:tc>
      </w:tr>
      <w:tr>
        <w:trPr>
          <w:trHeight w:val="178"/>
        </w:trPr>
        <w:tc>
          <w:tcPr>
            <w:tcW w:w="300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Expense Per Share</w:t>
            </w: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Down 1%</w:t>
            </w:r>
          </w:p>
        </w:tc>
        <w:tc>
          <w:tcPr>
            <w:tcW w:w="3260" w:type="dxa"/>
            <w:vAlign w:val="bottom"/>
            <w:shd w:val="clear" w:color="auto" w:fill="CCECFF"/>
          </w:tcPr>
          <w:p>
            <w:pPr>
              <w:jc w:val="right"/>
              <w:ind w:right="25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(4,948 )</w:t>
            </w:r>
          </w:p>
        </w:tc>
        <w:tc>
          <w:tcPr>
            <w:tcW w:w="600" w:type="dxa"/>
            <w:vAlign w:val="bottom"/>
            <w:shd w:val="clear" w:color="auto" w:fill="CCECFF"/>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(0.08 )</w:t>
            </w:r>
          </w:p>
        </w:tc>
        <w:tc>
          <w:tcPr>
            <w:tcW w:w="0" w:type="dxa"/>
            <w:vAlign w:val="bottom"/>
          </w:tcPr>
          <w:p>
            <w:pPr>
              <w:spacing w:after="0"/>
              <w:rPr>
                <w:sz w:val="1"/>
                <w:szCs w:val="1"/>
                <w:color w:val="auto"/>
              </w:rPr>
            </w:pPr>
          </w:p>
        </w:tc>
      </w:tr>
      <w:tr>
        <w:trPr>
          <w:trHeight w:val="17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1%</w:t>
            </w:r>
          </w:p>
        </w:tc>
        <w:tc>
          <w:tcPr>
            <w:tcW w:w="3260" w:type="dxa"/>
            <w:vAlign w:val="bottom"/>
          </w:tcPr>
          <w:p>
            <w:pPr>
              <w:spacing w:after="0"/>
              <w:rPr>
                <w:sz w:val="15"/>
                <w:szCs w:val="15"/>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4,948</w:t>
            </w:r>
          </w:p>
        </w:tc>
        <w:tc>
          <w:tcPr>
            <w:tcW w:w="600" w:type="dxa"/>
            <w:vAlign w:val="bottom"/>
          </w:tcPr>
          <w:p>
            <w:pPr>
              <w:spacing w:after="0"/>
              <w:rPr>
                <w:sz w:val="15"/>
                <w:szCs w:val="15"/>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17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2%</w:t>
            </w:r>
          </w:p>
        </w:tc>
        <w:tc>
          <w:tcPr>
            <w:tcW w:w="3260" w:type="dxa"/>
            <w:vAlign w:val="bottom"/>
            <w:shd w:val="clear" w:color="auto" w:fill="CCECFF"/>
          </w:tcPr>
          <w:p>
            <w:pPr>
              <w:spacing w:after="0"/>
              <w:rPr>
                <w:sz w:val="15"/>
                <w:szCs w:val="15"/>
                <w:color w:val="auto"/>
              </w:rPr>
            </w:pPr>
          </w:p>
        </w:tc>
        <w:tc>
          <w:tcPr>
            <w:tcW w:w="820" w:type="dxa"/>
            <w:vAlign w:val="bottom"/>
            <w:vMerge w:val="restart"/>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9,896</w:t>
            </w:r>
          </w:p>
        </w:tc>
        <w:tc>
          <w:tcPr>
            <w:tcW w:w="600" w:type="dxa"/>
            <w:vAlign w:val="bottom"/>
            <w:shd w:val="clear" w:color="auto" w:fill="CCECFF"/>
          </w:tcPr>
          <w:p>
            <w:pPr>
              <w:spacing w:after="0"/>
              <w:rPr>
                <w:sz w:val="15"/>
                <w:szCs w:val="15"/>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11"/>
                <w:szCs w:val="11"/>
                <w:color w:val="auto"/>
              </w:rPr>
            </w:pPr>
          </w:p>
        </w:tc>
        <w:tc>
          <w:tcPr>
            <w:tcW w:w="3260" w:type="dxa"/>
            <w:vAlign w:val="bottom"/>
            <w:shd w:val="clear" w:color="auto" w:fill="CCECFF"/>
          </w:tcPr>
          <w:p>
            <w:pPr>
              <w:spacing w:after="0"/>
              <w:rPr>
                <w:sz w:val="11"/>
                <w:szCs w:val="11"/>
                <w:color w:val="auto"/>
              </w:rPr>
            </w:pPr>
          </w:p>
        </w:tc>
        <w:tc>
          <w:tcPr>
            <w:tcW w:w="820" w:type="dxa"/>
            <w:vAlign w:val="bottom"/>
            <w:vMerge w:val="continue"/>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8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3%</w:t>
            </w:r>
          </w:p>
        </w:tc>
        <w:tc>
          <w:tcPr>
            <w:tcW w:w="326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14,843</w:t>
            </w:r>
          </w:p>
        </w:tc>
        <w:tc>
          <w:tcPr>
            <w:tcW w:w="600" w:type="dxa"/>
            <w:vAlign w:val="bottom"/>
          </w:tcPr>
          <w:p>
            <w:pPr>
              <w:spacing w:after="0"/>
              <w:rPr>
                <w:sz w:val="15"/>
                <w:szCs w:val="15"/>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0.23</w:t>
            </w: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4%</w:t>
            </w:r>
          </w:p>
        </w:tc>
        <w:tc>
          <w:tcPr>
            <w:tcW w:w="326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19,816</w:t>
            </w:r>
          </w:p>
        </w:tc>
        <w:tc>
          <w:tcPr>
            <w:tcW w:w="600" w:type="dxa"/>
            <w:vAlign w:val="bottom"/>
            <w:shd w:val="clear" w:color="auto" w:fill="CCECFF"/>
          </w:tcPr>
          <w:p>
            <w:pPr>
              <w:spacing w:after="0"/>
              <w:rPr>
                <w:sz w:val="16"/>
                <w:szCs w:val="16"/>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8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3"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23"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the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65" w:lineRule="exact"/>
        <w:rPr>
          <w:sz w:val="20"/>
          <w:szCs w:val="20"/>
          <w:color w:val="auto"/>
        </w:rPr>
      </w:pPr>
    </w:p>
    <w:p>
      <w:pPr>
        <w:ind w:right="140" w:firstLine="420"/>
        <w:spacing w:after="0" w:line="255" w:lineRule="auto"/>
        <w:rPr>
          <w:sz w:val="20"/>
          <w:szCs w:val="20"/>
          <w:color w:val="auto"/>
        </w:rPr>
      </w:pPr>
      <w:r>
        <w:rPr>
          <w:rFonts w:ascii="Times New Roman" w:cs="Times New Roman" w:eastAsia="Times New Roman" w:hAnsi="Times New Roman"/>
          <w:sz w:val="13"/>
          <w:szCs w:val="13"/>
          <w:color w:val="auto"/>
        </w:rPr>
        <w:t>As of the quarter ended March 31, 2024, we, including our Chief Executive Officer and Chief Financial Officer, evaluated the effectiveness of the design and operation of our disclosure controls and procedures (as defined in Rule 13a-15(e) of the Exchange Act). As disclosed in our Annual Report on Form 10 -K for the fiscal year ended September 30, 2023, a material weakness was previously identified in connection with our internal control over financial reporting relating to the review of quarterly cash and investment reconciliations. Additionally, a material weakness was identified in the operation of our internal controls over financial reporting relating to our review of interest income and non-accrual classification of investments. We have taken steps to remediate these material weaknesses, which steps have included (i) enhancing existing controls to ensure the appropriate review of the quarterly cash and investment reconciliation and that it is adequately documented so as to provide evidence that the controls are operating effectively (ii) enhancing existing controls to ensure that our internal controls over financial reporting relating to our analysis of interest income and assessment of investments for classification as non-accrual investments are operating effectively and (iii) enhancing policies and procedures to demonstrate a commitment to improving our overall control environment.</w:t>
      </w:r>
    </w:p>
    <w:p>
      <w:pPr>
        <w:spacing w:after="0" w:line="134"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Taking the above efforts into consideration, our management, including the Chief Executive Officer and Chief Financial Officer, concluded that our disclosure controls and procedures for the quarter ended March 31, 2024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Other than disclosed in this Item 4, there have been no changes in our internal control over financial reporting that occurred during the quarter ended March 31, 2024 that have materially affected, or are reasonably likely to materially affect, our internal control over financial reporting.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65" w:lineRule="exact"/>
        <w:rPr>
          <w:sz w:val="20"/>
          <w:szCs w:val="20"/>
          <w:color w:val="auto"/>
        </w:rPr>
      </w:pPr>
    </w:p>
    <w:p>
      <w:pPr>
        <w:jc w:val="both"/>
        <w:ind w:right="80"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5"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2023, filed on December 8, 2023, which could materially affect our business, financial condition and/or operating results. The risks as in our Annual Report on Form 10-K, are not the only risks facing PennantPark Investment Corp. Additional risks and uncertainties not currently known to us or that we currently deem to be immaterial also may materially and adversely affect our business, financial condition and/or operating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 unregistered securities were sold in the quarter ended March 31, 2024.</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Issuer Purchases of Equity Securities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Repurchases of our common stock under our share repurchase program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 Value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that May Yet Be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1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 Plans or</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Under the Plans</w:t>
            </w:r>
          </w:p>
        </w:tc>
        <w:tc>
          <w:tcPr>
            <w:tcW w:w="0" w:type="dxa"/>
            <w:vAlign w:val="bottom"/>
          </w:tcPr>
          <w:p>
            <w:pPr>
              <w:spacing w:after="0"/>
              <w:rPr>
                <w:sz w:val="1"/>
                <w:szCs w:val="1"/>
                <w:color w:val="auto"/>
              </w:rPr>
            </w:pPr>
          </w:p>
        </w:tc>
      </w:tr>
      <w:tr>
        <w:trPr>
          <w:trHeight w:val="174"/>
        </w:trPr>
        <w:tc>
          <w:tcPr>
            <w:tcW w:w="286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1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00" w:type="dxa"/>
            <w:vAlign w:val="bottom"/>
          </w:tcPr>
          <w:p>
            <w:pPr>
              <w:spacing w:after="0"/>
              <w:rPr>
                <w:sz w:val="15"/>
                <w:szCs w:val="15"/>
                <w:color w:val="auto"/>
              </w:rPr>
            </w:pP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Average Price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Programs </w:t>
            </w:r>
            <w:r>
              <w:rPr>
                <w:rFonts w:ascii="Times New Roman" w:cs="Times New Roman" w:eastAsia="Times New Roman" w:hAnsi="Times New Roman"/>
                <w:sz w:val="7"/>
                <w:szCs w:val="7"/>
                <w:b w:val="1"/>
                <w:bCs w:val="1"/>
                <w:color w:val="auto"/>
                <w:w w:val="99"/>
              </w:rPr>
              <w:t>(1)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or Programs (in thousands)</w:t>
            </w: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913,454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913,454</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17,944</w:t>
            </w:r>
          </w:p>
        </w:tc>
        <w:tc>
          <w:tcPr>
            <w:tcW w:w="0" w:type="dxa"/>
            <w:vAlign w:val="bottom"/>
          </w:tcPr>
          <w:p>
            <w:pPr>
              <w:spacing w:after="0"/>
              <w:rPr>
                <w:sz w:val="1"/>
                <w:szCs w:val="1"/>
                <w:color w:val="auto"/>
              </w:rPr>
            </w:pP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717,709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6.91</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1,631,163</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12,986</w:t>
            </w:r>
          </w:p>
        </w:tc>
        <w:tc>
          <w:tcPr>
            <w:tcW w:w="0" w:type="dxa"/>
            <w:vAlign w:val="bottom"/>
          </w:tcPr>
          <w:p>
            <w:pPr>
              <w:spacing w:after="0"/>
              <w:rPr>
                <w:sz w:val="1"/>
                <w:szCs w:val="1"/>
                <w:color w:val="auto"/>
              </w:rPr>
            </w:pPr>
          </w:p>
        </w:tc>
      </w:tr>
      <w:tr>
        <w:trPr>
          <w:trHeight w:val="172"/>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214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189,442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6.52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vMerge w:val="restart"/>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1,820,605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7.28</w:t>
            </w:r>
          </w:p>
        </w:tc>
        <w:tc>
          <w:tcPr>
            <w:tcW w:w="19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right="1780" w:hanging="322"/>
        <w:spacing w:after="0" w:line="268" w:lineRule="auto"/>
        <w:tabs>
          <w:tab w:leader="none" w:pos="34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program expired on March 31, 2023 and we purchased $1.8 million shares of our common stock in open market transaction while the program was in effect for an aggregate cost (including transaction costs) of $13.2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10b5-1 Disclosure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60" w:type="dxa"/>
            <w:vAlign w:val="bottom"/>
            <w:gridSpan w:val="14"/>
          </w:tcPr>
          <w:p>
            <w:pPr>
              <w:ind w:left="420"/>
              <w:spacing w:after="0"/>
              <w:rPr>
                <w:sz w:val="20"/>
                <w:szCs w:val="20"/>
                <w:color w:val="auto"/>
              </w:rPr>
            </w:pPr>
            <w:r>
              <w:rPr>
                <w:rFonts w:ascii="Times New Roman" w:cs="Times New Roman" w:eastAsia="Times New Roman" w:hAnsi="Times New Roman"/>
                <w:sz w:val="13"/>
                <w:szCs w:val="13"/>
                <w:color w:val="auto"/>
              </w:rPr>
              <w:t>Unless specifically indicated otherwise, the following exhibits are incorporated by reference to exhibits previously filed with the SEC:</w:t>
            </w:r>
          </w:p>
        </w:tc>
      </w:tr>
      <w:tr>
        <w:trPr>
          <w:trHeight w:val="320"/>
        </w:trPr>
        <w:tc>
          <w:tcPr>
            <w:tcW w:w="140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rPr>
              <w:t>3.1</w:t>
            </w:r>
          </w:p>
        </w:tc>
        <w:tc>
          <w:tcPr>
            <w:tcW w:w="912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Articles of Incorporation (Incorporated by reference to Exhibit 99(a) to the Registrant’s Pre-Effective Amendment No. 3 to the Registration Statement on Form N-2/A (File</w:t>
              </w:r>
            </w:hyperlink>
          </w:p>
        </w:tc>
        <w:tc>
          <w:tcPr>
            <w:tcW w:w="40" w:type="dxa"/>
            <w:vAlign w:val="bottom"/>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220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No. 333-140092), filed on April 5, 2007).</w:t>
              </w:r>
            </w:hyperlink>
          </w:p>
        </w:tc>
        <w:tc>
          <w:tcPr>
            <w:tcW w:w="6960" w:type="dxa"/>
            <w:vAlign w:val="bottom"/>
            <w:gridSpan w:val="9"/>
          </w:tcPr>
          <w:p>
            <w:pPr>
              <w:spacing w:after="0"/>
              <w:rPr>
                <w:sz w:val="11"/>
                <w:szCs w:val="11"/>
                <w:color w:val="auto"/>
              </w:rPr>
            </w:pPr>
          </w:p>
        </w:tc>
      </w:tr>
      <w:tr>
        <w:trPr>
          <w:trHeight w:val="340"/>
        </w:trPr>
        <w:tc>
          <w:tcPr>
            <w:tcW w:w="140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rPr>
              <w:t>3.2</w:t>
            </w:r>
          </w:p>
        </w:tc>
        <w:tc>
          <w:tcPr>
            <w:tcW w:w="910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814-00736),</w:t>
              </w:r>
            </w:hyperlink>
          </w:p>
        </w:tc>
        <w:tc>
          <w:tcPr>
            <w:tcW w:w="60" w:type="dxa"/>
            <w:vAlign w:val="bottom"/>
            <w:gridSpan w:val="2"/>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1260" w:type="dxa"/>
            <w:vAlign w:val="bottom"/>
            <w:tcBorders>
              <w:bottom w:val="single" w:sz="8" w:color="0000FF"/>
            </w:tcBorders>
            <w:gridSpan w:val="3"/>
          </w:tcPr>
          <w:p>
            <w:pPr>
              <w:spacing w:after="0" w:line="136"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filed on May 11, 2020).</w:t>
              </w:r>
            </w:hyperlink>
          </w:p>
        </w:tc>
        <w:tc>
          <w:tcPr>
            <w:tcW w:w="7900" w:type="dxa"/>
            <w:vAlign w:val="bottom"/>
            <w:gridSpan w:val="10"/>
          </w:tcPr>
          <w:p>
            <w:pPr>
              <w:spacing w:after="0"/>
              <w:rPr>
                <w:sz w:val="11"/>
                <w:szCs w:val="11"/>
                <w:color w:val="auto"/>
              </w:rPr>
            </w:pPr>
          </w:p>
        </w:tc>
      </w:tr>
      <w:tr>
        <w:trPr>
          <w:trHeight w:val="340"/>
        </w:trPr>
        <w:tc>
          <w:tcPr>
            <w:tcW w:w="140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rPr>
              <w:t>4.1</w:t>
            </w:r>
          </w:p>
        </w:tc>
        <w:tc>
          <w:tcPr>
            <w:tcW w:w="9160" w:type="dxa"/>
            <w:vAlign w:val="bottom"/>
            <w:gridSpan w:val="13"/>
          </w:tcPr>
          <w:p>
            <w:pPr>
              <w:spacing w:after="0"/>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Form of Share Certificate (Incorporated by reference to Exhibit 99(d)(1) to the Registrant’s Registration Statement on Form N-2 (File No. 333-150033), filed on April 2,</w:t>
              </w:r>
            </w:hyperlink>
          </w:p>
        </w:tc>
      </w:tr>
      <w:tr>
        <w:trPr>
          <w:trHeight w:val="136"/>
        </w:trPr>
        <w:tc>
          <w:tcPr>
            <w:tcW w:w="1400" w:type="dxa"/>
            <w:vAlign w:val="bottom"/>
          </w:tcPr>
          <w:p>
            <w:pPr>
              <w:spacing w:after="0"/>
              <w:rPr>
                <w:sz w:val="11"/>
                <w:szCs w:val="11"/>
                <w:color w:val="auto"/>
              </w:rPr>
            </w:pPr>
          </w:p>
        </w:tc>
        <w:tc>
          <w:tcPr>
            <w:tcW w:w="36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2008).</w:t>
              </w:r>
            </w:hyperlink>
          </w:p>
        </w:tc>
        <w:tc>
          <w:tcPr>
            <w:tcW w:w="9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30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7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340"/>
        </w:trPr>
        <w:tc>
          <w:tcPr>
            <w:tcW w:w="140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rPr>
              <w:t>31.1*</w:t>
            </w:r>
          </w:p>
        </w:tc>
        <w:tc>
          <w:tcPr>
            <w:tcW w:w="624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2920" w:type="dxa"/>
            <w:vAlign w:val="bottom"/>
            <w:gridSpan w:val="5"/>
          </w:tcPr>
          <w:p>
            <w:pPr>
              <w:spacing w:after="0"/>
              <w:rPr>
                <w:sz w:val="24"/>
                <w:szCs w:val="24"/>
                <w:color w:val="auto"/>
              </w:rPr>
            </w:pPr>
          </w:p>
        </w:tc>
      </w:tr>
      <w:tr>
        <w:trPr>
          <w:trHeight w:val="340"/>
        </w:trPr>
        <w:tc>
          <w:tcPr>
            <w:tcW w:w="140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rPr>
              <w:t>31.2*</w:t>
            </w:r>
          </w:p>
        </w:tc>
        <w:tc>
          <w:tcPr>
            <w:tcW w:w="620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2960" w:type="dxa"/>
            <w:vAlign w:val="bottom"/>
            <w:gridSpan w:val="6"/>
          </w:tcPr>
          <w:p>
            <w:pPr>
              <w:spacing w:after="0"/>
              <w:rPr>
                <w:sz w:val="24"/>
                <w:szCs w:val="24"/>
                <w:color w:val="auto"/>
              </w:rPr>
            </w:pPr>
          </w:p>
        </w:tc>
      </w:tr>
      <w:tr>
        <w:trPr>
          <w:trHeight w:val="340"/>
        </w:trPr>
        <w:tc>
          <w:tcPr>
            <w:tcW w:w="140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rPr>
              <w:t>32.1*</w:t>
            </w:r>
          </w:p>
        </w:tc>
        <w:tc>
          <w:tcPr>
            <w:tcW w:w="530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3860" w:type="dxa"/>
            <w:vAlign w:val="bottom"/>
            <w:gridSpan w:val="7"/>
          </w:tcPr>
          <w:p>
            <w:pPr>
              <w:spacing w:after="0"/>
              <w:rPr>
                <w:sz w:val="24"/>
                <w:szCs w:val="24"/>
                <w:color w:val="auto"/>
              </w:rPr>
            </w:pPr>
          </w:p>
        </w:tc>
      </w:tr>
      <w:tr>
        <w:trPr>
          <w:trHeight w:val="340"/>
        </w:trPr>
        <w:tc>
          <w:tcPr>
            <w:tcW w:w="140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rPr>
              <w:t>32.2*</w:t>
            </w:r>
          </w:p>
        </w:tc>
        <w:tc>
          <w:tcPr>
            <w:tcW w:w="9160" w:type="dxa"/>
            <w:vAlign w:val="bottom"/>
            <w:gridSpan w:val="13"/>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40"/>
        </w:trPr>
        <w:tc>
          <w:tcPr>
            <w:tcW w:w="140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w w:val="96"/>
              </w:rPr>
              <w:t>99.1</w:t>
            </w:r>
          </w:p>
        </w:tc>
        <w:tc>
          <w:tcPr>
            <w:tcW w:w="9160" w:type="dxa"/>
            <w:vAlign w:val="bottom"/>
            <w:gridSpan w:val="13"/>
          </w:tcPr>
          <w:p>
            <w:pPr>
              <w:spacing w:after="0"/>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814-00736), filed on November 16,</w:t>
              </w:r>
            </w:hyperlink>
          </w:p>
        </w:tc>
      </w:tr>
      <w:tr>
        <w:trPr>
          <w:trHeight w:val="136"/>
        </w:trPr>
        <w:tc>
          <w:tcPr>
            <w:tcW w:w="140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3"/>
                <w:szCs w:val="13"/>
                <w:color w:val="0000FF"/>
                <w:w w:val="95"/>
              </w:rPr>
            </w:pPr>
            <w:hyperlink r:id="rId76">
              <w:r>
                <w:rPr>
                  <w:rFonts w:ascii="Times New Roman" w:cs="Times New Roman" w:eastAsia="Times New Roman" w:hAnsi="Times New Roman"/>
                  <w:sz w:val="13"/>
                  <w:szCs w:val="13"/>
                  <w:color w:val="0000FF"/>
                  <w:w w:val="95"/>
                </w:rPr>
                <w:t>2011).</w:t>
              </w:r>
            </w:hyperlink>
          </w:p>
        </w:tc>
        <w:tc>
          <w:tcPr>
            <w:tcW w:w="2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30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7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344"/>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Instance Document-the instance document does not appear in the Interactive Data File as its XBRL tags are embedded within the Inline XBRL document</w:t>
            </w:r>
          </w:p>
        </w:tc>
      </w:tr>
      <w:tr>
        <w:trPr>
          <w:trHeight w:val="336"/>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r>
      <w:tr>
        <w:trPr>
          <w:trHeight w:val="336"/>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36"/>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36"/>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36"/>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336"/>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Cover Page formatted as Inline XBRL and contained in Exhibit 101</w:t>
            </w:r>
          </w:p>
        </w:tc>
      </w:tr>
      <w:tr>
        <w:trPr>
          <w:trHeight w:val="360"/>
        </w:trPr>
        <w:tc>
          <w:tcPr>
            <w:tcW w:w="140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w w:val="99"/>
              </w:rPr>
              <w:t>* Filed herewith.</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5260" w:type="dxa"/>
            <w:vAlign w:val="bottom"/>
            <w:gridSpan w:val="5"/>
          </w:tcPr>
          <w:p>
            <w:pPr>
              <w:ind w:left="3800"/>
              <w:spacing w:after="0"/>
              <w:rPr>
                <w:sz w:val="20"/>
                <w:szCs w:val="20"/>
                <w:color w:val="auto"/>
              </w:rPr>
            </w:pPr>
            <w:r>
              <w:rPr>
                <w:rFonts w:ascii="Times New Roman" w:cs="Times New Roman" w:eastAsia="Times New Roman" w:hAnsi="Times New Roman"/>
                <w:sz w:val="16"/>
                <w:szCs w:val="16"/>
                <w:color w:val="auto"/>
              </w:rPr>
              <w:t>57</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4"/>
        </w:trPr>
        <w:tc>
          <w:tcPr>
            <w:tcW w:w="14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7" w:name="page58"/>
    <w:bookmarkEnd w:id="57"/>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7"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300"/>
          </w:cols>
          <w:pgMar w:left="660" w:top="1312" w:right="9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May 8, 2024</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PENNANTPARK INVESTMENT CORPORATION</w:t>
      </w:r>
    </w:p>
    <w:p>
      <w:pPr>
        <w:spacing w:after="0" w:line="235"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Arthur H. Penn</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b w:val="1"/>
          <w:bCs w:val="1"/>
          <w:color w:val="auto"/>
        </w:rPr>
        <w:t>Arthur H. Penn</w:t>
      </w:r>
    </w:p>
    <w:p>
      <w:pPr>
        <w:spacing w:after="0" w:line="31"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w:t>
      </w:r>
    </w:p>
    <w:p>
      <w:pPr>
        <w:spacing w:after="0" w:line="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221"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Richard T. Allorto, Jr.</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b w:val="1"/>
          <w:bCs w:val="1"/>
          <w:color w:val="auto"/>
        </w:rPr>
        <w:t>Richard T. Allorto, Jr.</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Chief Financial Officer and Treasurer</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w:t>
      </w:r>
    </w:p>
    <w:p>
      <w:pPr>
        <w:spacing w:after="0" w:line="200" w:lineRule="exact"/>
        <w:rPr>
          <w:sz w:val="20"/>
          <w:szCs w:val="20"/>
          <w:color w:val="auto"/>
        </w:rPr>
      </w:pPr>
    </w:p>
    <w:p>
      <w:pPr>
        <w:sectPr>
          <w:pgSz w:w="11900" w:h="16840" w:orient="portrait"/>
          <w:cols w:equalWidth="0" w:num="2">
            <w:col w:w="4480" w:space="720"/>
            <w:col w:w="5100"/>
          </w:cols>
          <w:pgMar w:left="660" w:top="1312" w:right="940" w:bottom="1440" w:gutter="0" w:footer="0" w:header="0"/>
          <w:type w:val="continuous"/>
        </w:sectPr>
      </w:pP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312" w:right="940"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Investment Corporation;</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sz w:val="20"/>
          <w:szCs w:val="20"/>
          <w:color w:val="auto"/>
        </w:rPr>
      </w:pPr>
    </w:p>
    <w:p>
      <w:pPr>
        <w:ind w:right="300" w:firstLine="438"/>
        <w:spacing w:after="0" w:line="286" w:lineRule="auto"/>
        <w:tabs>
          <w:tab w:leader="none" w:pos="56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May 8,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761365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Investment Corporation;</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580" w:hanging="130"/>
        <w:spacing w:after="0"/>
        <w:tabs>
          <w:tab w:leader="none" w:pos="58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May 8,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646430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0" w:name="page61"/>
    <w:bookmarkEnd w:id="60"/>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and six months ended March 31, 2024 (the “Report”) of PennantPark Investment Corporation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Arthur H. Penn, Chief Executive Officer of the Registrant, hereby certify, to the best of my knowledge, that:</w:t>
      </w:r>
    </w:p>
    <w:p>
      <w:pPr>
        <w:spacing w:after="0" w:line="113" w:lineRule="exact"/>
        <w:rPr>
          <w:sz w:val="20"/>
          <w:szCs w:val="20"/>
          <w:color w:val="auto"/>
        </w:rPr>
      </w:pPr>
    </w:p>
    <w:p>
      <w:pPr>
        <w:ind w:left="720" w:hanging="258"/>
        <w:spacing w:after="0"/>
        <w:tabs>
          <w:tab w:leader="none" w:pos="7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26"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May 8, 2024</w:t>
            </w:r>
          </w:p>
        </w:tc>
      </w:tr>
      <w:tr>
        <w:trPr>
          <w:trHeight w:val="1028"/>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1" w:name="page62"/>
    <w:bookmarkEnd w:id="61"/>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and six months ended March 31, 2024 (the “Report”) of PennantPark Investment Corporation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Richard T. Allorto, Jr., Chief Financial Officer of the Registrant, hereby certify, to the best of my knowledge, that:</w:t>
      </w:r>
    </w:p>
    <w:p>
      <w:pPr>
        <w:spacing w:after="0" w:line="113" w:lineRule="exact"/>
        <w:rPr>
          <w:sz w:val="20"/>
          <w:szCs w:val="20"/>
          <w:color w:val="auto"/>
        </w:rPr>
      </w:pPr>
    </w:p>
    <w:p>
      <w:pPr>
        <w:ind w:left="720" w:hanging="258"/>
        <w:spacing w:after="0"/>
        <w:tabs>
          <w:tab w:leader="none" w:pos="7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26"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May 8, 2024</w:t>
            </w:r>
          </w:p>
        </w:tc>
      </w:tr>
      <w:tr>
        <w:trPr>
          <w:trHeight w:val="1028"/>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2" w:name="page63"/>
    <w:bookmarkEnd w:id="6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8"/>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lvl w:ilvl="1">
      <w:lvlJc w:val="left"/>
      <w:lvlText w:val="%2."/>
      <w:numFmt w:val="decimal"/>
      <w:start w:val="2"/>
    </w:lvl>
  </w:abstractNum>
  <w:abstractNum w:abstractNumId="11">
    <w:nsid w:val="41A7C4C9"/>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2">
    <w:nsid w:val="6B6807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3">
    <w:nsid w:val="4E6AFB6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14">
    <w:nsid w:val="25E45D32"/>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6">
    <w:nsid w:val="431BD7B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73" Type="http://schemas.openxmlformats.org/officeDocument/2006/relationships/hyperlink" Target="https://www.sec.gov/Archives/edgar/data/1383414/000119312507075646/dex99a.htm" TargetMode="External"/><Relationship Id="rId74" Type="http://schemas.openxmlformats.org/officeDocument/2006/relationships/hyperlink" Target="https://www.sec.gov/Archives/edgar/data/1383414/000156459020024172/pnnt-ex32_163.htm" TargetMode="External"/><Relationship Id="rId75" Type="http://schemas.openxmlformats.org/officeDocument/2006/relationships/hyperlink" Target="https://www.sec.gov/Archives/edgar/data/1383414/000119312508072557/dex99d1.htm" TargetMode="External"/><Relationship Id="rId76"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2024-05-08T16:06:27Z</dcterms:created>
  <dcterms:modified xsi:type="dcterms:W3CDTF">2024-05-08T16:06:27Z</dcterms:modified>
</cp:coreProperties>
</file>