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DECEMBER 31, 2015</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70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4065905</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500"/>
            <w:col w:w="6460" w:space="720"/>
            <w:col w:w="140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11" w:lineRule="exact"/>
        <w:rPr>
          <w:sz w:val="24"/>
          <w:szCs w:val="24"/>
          <w:color w:val="auto"/>
        </w:rPr>
      </w:pPr>
    </w:p>
    <w:p>
      <w:pPr>
        <w:sectPr>
          <w:pgSz w:w="11900" w:h="16838" w:orient="portrait"/>
          <w:cols w:equalWidth="0" w:num="5">
            <w:col w:w="1220" w:space="580"/>
            <w:col w:w="140" w:space="80"/>
            <w:col w:w="6240" w:space="720"/>
            <w:col w:w="1580" w:space="540"/>
            <w:col w:w="140"/>
          </w:cols>
          <w:pgMar w:left="320" w:top="230" w:right="339" w:bottom="1440" w:gutter="0" w:footer="0" w:header="0"/>
          <w:type w:val="continuous"/>
        </w:sectPr>
      </w:pPr>
    </w:p>
    <w:p>
      <w:pPr>
        <w:spacing w:after="0" w:line="27"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5">
            <w:col w:w="7100" w:space="140"/>
            <w:col w:w="200" w:space="80"/>
            <w:col w:w="120" w:space="160"/>
            <w:col w:w="180" w:space="60"/>
            <w:col w:w="3200"/>
          </w:cols>
          <w:pgMar w:left="320" w:top="230" w:right="339" w:bottom="1440" w:gutter="0" w:footer="0" w:header="0"/>
          <w:type w:val="continuous"/>
        </w:sect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3, 2016 was 71,745,710.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DECEMBER 31, 2015</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4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20" w:type="dxa"/>
            <w:vAlign w:val="bottom"/>
          </w:tcPr>
          <w:p>
            <w:pPr>
              <w:spacing w:after="0"/>
              <w:rPr>
                <w:sz w:val="16"/>
                <w:szCs w:val="16"/>
                <w:color w:val="auto"/>
              </w:rPr>
            </w:pP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20" w:type="dxa"/>
            <w:vAlign w:val="bottom"/>
          </w:tcPr>
          <w:p>
            <w:pPr>
              <w:spacing w:after="0"/>
              <w:rPr>
                <w:sz w:val="24"/>
                <w:szCs w:val="24"/>
                <w:color w:val="auto"/>
              </w:rPr>
            </w:pP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2015 (unaudited) and September 30, 2015</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2015 and 2014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4"/>
        </w:trPr>
        <w:tc>
          <w:tcPr>
            <w:tcW w:w="914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2015 (unaudited) and September 30, 2015</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15">
              <w:r>
                <w:rPr>
                  <w:rFonts w:ascii="Arial" w:cs="Arial" w:eastAsia="Arial" w:hAnsi="Arial"/>
                  <w:sz w:val="14"/>
                  <w:szCs w:val="14"/>
                  <w:u w:val="single" w:color="auto"/>
                  <w:color w:val="0000EE"/>
                </w:rPr>
                <w:t>Notes to Consolidated Financial Statements (unaudited)</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83"/>
        </w:trPr>
        <w:tc>
          <w:tcPr>
            <w:tcW w:w="9140" w:type="dxa"/>
            <w:vAlign w:val="bottom"/>
          </w:tcPr>
          <w:p>
            <w:pPr>
              <w:ind w:left="3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Quantitative and Qualitative Disclosures About Market Risk</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Controls and Procedures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40" w:type="dxa"/>
            <w:vAlign w:val="bottom"/>
          </w:tcPr>
          <w:p>
            <w:pPr>
              <w:ind w:left="4280"/>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PART II. OTHER INFORMATION</w:t>
              </w:r>
            </w:hyperlink>
          </w:p>
        </w:tc>
        <w:tc>
          <w:tcPr>
            <w:tcW w:w="2020" w:type="dxa"/>
            <w:vAlign w:val="bottom"/>
          </w:tcPr>
          <w:p>
            <w:pPr>
              <w:spacing w:after="0"/>
              <w:rPr>
                <w:sz w:val="24"/>
                <w:szCs w:val="24"/>
                <w:color w:val="auto"/>
              </w:rPr>
            </w:pP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 Legal Proceedings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1A. Risk Factors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2. Unregistered Sales of Equity Securities and Use of Proceeds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3. Defaults Upon Senior Securities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4. Mine Safety Disclosures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5. Other Information</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4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Item 6. Exhibits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83"/>
        </w:trPr>
        <w:tc>
          <w:tcPr>
            <w:tcW w:w="9140" w:type="dxa"/>
            <w:vAlign w:val="bottom"/>
          </w:tcPr>
          <w:p>
            <w:pPr>
              <w:spacing w:after="0"/>
              <w:rPr>
                <w:rFonts w:ascii="Arial" w:cs="Arial" w:eastAsia="Arial" w:hAnsi="Arial"/>
                <w:sz w:val="14"/>
                <w:szCs w:val="14"/>
                <w:b w:val="1"/>
                <w:bCs w:val="1"/>
                <w:u w:val="single" w:color="auto"/>
                <w:color w:val="0000EE"/>
              </w:rPr>
            </w:pPr>
            <w:hyperlink w:anchor="page37">
              <w:r>
                <w:rPr>
                  <w:rFonts w:ascii="Arial" w:cs="Arial" w:eastAsia="Arial" w:hAnsi="Arial"/>
                  <w:sz w:val="14"/>
                  <w:szCs w:val="14"/>
                  <w:b w:val="1"/>
                  <w:bCs w:val="1"/>
                  <w:u w:val="single" w:color="auto"/>
                  <w:color w:val="0000EE"/>
                </w:rPr>
                <w:t>SIGNATURES</w:t>
              </w:r>
            </w:hyperlink>
          </w:p>
        </w:tc>
        <w:tc>
          <w:tcPr>
            <w:tcW w:w="20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97"/>
        </w:trPr>
        <w:tc>
          <w:tcPr>
            <w:tcW w:w="9140" w:type="dxa"/>
            <w:vAlign w:val="bottom"/>
          </w:tcPr>
          <w:p>
            <w:pPr>
              <w:ind w:left="5580"/>
              <w:spacing w:after="0"/>
              <w:rPr>
                <w:sz w:val="20"/>
                <w:szCs w:val="20"/>
                <w:color w:val="auto"/>
              </w:rPr>
            </w:pPr>
            <w:r>
              <w:rPr>
                <w:rFonts w:ascii="Arial" w:cs="Arial" w:eastAsia="Arial" w:hAnsi="Arial"/>
                <w:sz w:val="14"/>
                <w:szCs w:val="14"/>
                <w:color w:val="auto"/>
              </w:rPr>
              <w:t>2</w:t>
            </w:r>
          </w:p>
        </w:tc>
        <w:tc>
          <w:tcPr>
            <w:tcW w:w="202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26" w:lineRule="auto"/>
        <w:rPr>
          <w:sz w:val="20"/>
          <w:szCs w:val="20"/>
          <w:color w:val="auto"/>
        </w:rPr>
      </w:pPr>
      <w:r>
        <w:rPr>
          <w:rFonts w:ascii="Arial" w:cs="Arial" w:eastAsia="Arial" w:hAnsi="Arial"/>
          <w:sz w:val="14"/>
          <w:szCs w:val="14"/>
          <w:color w:val="auto"/>
        </w:rPr>
        <w:t>We are filing this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senior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00"/>
          </w:cols>
          <w:pgMar w:left="320" w:top="459" w:right="3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58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58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2015</w:t>
            </w:r>
          </w:p>
        </w:tc>
      </w:tr>
      <w:tr>
        <w:trPr>
          <w:trHeight w:val="171"/>
        </w:trPr>
        <w:tc>
          <w:tcPr>
            <w:tcW w:w="5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(cost—$1,044,859,200 and $1,138,155,969, respectively)</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987,155,675</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1,096,719,079</w:t>
            </w:r>
          </w:p>
        </w:tc>
      </w:tr>
      <w:tr>
        <w:trPr>
          <w:trHeight w:val="148"/>
        </w:trPr>
        <w:tc>
          <w:tcPr>
            <w:tcW w:w="8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(cost—$224,197,965 and $133,693,295,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169,815,076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95,503,104</w:t>
            </w:r>
          </w:p>
        </w:tc>
      </w:tr>
      <w:tr>
        <w:trPr>
          <w:trHeight w:val="148"/>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(cost—$157,881,319 and $152,387,898,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104,913,610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106,825,650</w:t>
            </w:r>
          </w:p>
        </w:tc>
      </w:tr>
      <w:tr>
        <w:trPr>
          <w:trHeight w:val="155"/>
        </w:trPr>
        <w:tc>
          <w:tcPr>
            <w:tcW w:w="81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of investments (cost—$1,426,938,484 and $1,424,237,162, respectively)</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1,261,884,361</w:t>
            </w:r>
          </w:p>
        </w:tc>
        <w:tc>
          <w:tcPr>
            <w:tcW w:w="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1,299,047,833</w:t>
            </w:r>
          </w:p>
        </w:tc>
        <w:tc>
          <w:tcPr>
            <w:tcW w:w="100" w:type="dxa"/>
            <w:vAlign w:val="bottom"/>
          </w:tcPr>
          <w:p>
            <w:pPr>
              <w:spacing w:after="0"/>
              <w:rPr>
                <w:sz w:val="13"/>
                <w:szCs w:val="13"/>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(cost—$26,281,577 and $49,637,415,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26,254,919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49,619,256</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7,003,999</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7,590,197</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4,376,249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8,790,944</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1,299,519,528</w:t>
            </w:r>
          </w:p>
        </w:tc>
        <w:tc>
          <w:tcPr>
            <w:tcW w:w="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20,088,799</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20,430,492</w:t>
            </w: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11,748,499</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3,591,177</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 payable (par—$142,995,323 and $136,864,300, respectively)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134,682,108</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132,356,860</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249,247,500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253,102,500</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SBA debentures payable (par—$150,000,000)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146,412,932</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146,269,957</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71,136,000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71,136,000</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Management fee payable, net (See Note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5,464,856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6,602,029</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3,188,452</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5,007,792</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6,238,580</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7,638,514</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4,002,403</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2,322,367</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652,210,129</w:t>
            </w:r>
          </w:p>
        </w:tc>
        <w:tc>
          <w:tcPr>
            <w:tcW w:w="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648,457,688</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71,745,710 and 72,966,043 shares issued and outstanding, respectively.</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10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Par value $0.001 per share and 100,000,000 shares authorized.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71,746</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72,966</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826,275,288</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834,711,229</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net investment income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(16,682,155)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(13,424,886)</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gain on investments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(6,455,658)</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18,919,305</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(165,079,537)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(125,207,012)</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9,179,715</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1,518,940</w:t>
            </w:r>
          </w:p>
        </w:tc>
      </w:tr>
      <w:tr>
        <w:trPr>
          <w:trHeight w:val="27"/>
        </w:trPr>
        <w:tc>
          <w:tcPr>
            <w:tcW w:w="5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647,309,399</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716,590,542</w:t>
            </w:r>
          </w:p>
        </w:tc>
      </w:tr>
      <w:tr>
        <w:trPr>
          <w:trHeight w:val="155"/>
        </w:trPr>
        <w:tc>
          <w:tcPr>
            <w:tcW w:w="520" w:type="dxa"/>
            <w:vAlign w:val="bottom"/>
          </w:tcPr>
          <w:p>
            <w:pPr>
              <w:spacing w:after="0"/>
              <w:rPr>
                <w:sz w:val="13"/>
                <w:szCs w:val="13"/>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1,299,519,528</w:t>
            </w:r>
          </w:p>
        </w:tc>
        <w:tc>
          <w:tcPr>
            <w:tcW w:w="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1,365,048,230</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3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9.02</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9.82</w:t>
            </w: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682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1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82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28,218,030</w:t>
            </w: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34,861,628</w:t>
            </w: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1,667,653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1,578,838</w:t>
            </w:r>
          </w:p>
        </w:tc>
        <w:tc>
          <w:tcPr>
            <w:tcW w:w="0" w:type="dxa"/>
            <w:vAlign w:val="bottom"/>
          </w:tcPr>
          <w:p>
            <w:pPr>
              <w:spacing w:after="0"/>
              <w:rPr>
                <w:sz w:val="1"/>
                <w:szCs w:val="1"/>
                <w:color w:val="auto"/>
              </w:rPr>
            </w:pPr>
          </w:p>
        </w:tc>
      </w:tr>
      <w:tr>
        <w:trPr>
          <w:trHeight w:val="149"/>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2,180,576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1,485,410</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3,197,033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1,278,796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investment income</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35,263,292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39,204,672</w:t>
            </w:r>
          </w:p>
        </w:tc>
        <w:tc>
          <w:tcPr>
            <w:tcW w:w="0" w:type="dxa"/>
            <w:vAlign w:val="bottom"/>
          </w:tcPr>
          <w:p>
            <w:pPr>
              <w:spacing w:after="0"/>
              <w:rPr>
                <w:sz w:val="1"/>
                <w:szCs w:val="1"/>
                <w:color w:val="auto"/>
              </w:rPr>
            </w:pPr>
          </w:p>
        </w:tc>
      </w:tr>
      <w:tr>
        <w:trPr>
          <w:trHeight w:val="155"/>
        </w:trPr>
        <w:tc>
          <w:tcPr>
            <w:tcW w:w="68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9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6,505,780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6,796,751</w:t>
            </w:r>
          </w:p>
        </w:tc>
        <w:tc>
          <w:tcPr>
            <w:tcW w:w="0" w:type="dxa"/>
            <w:vAlign w:val="bottom"/>
          </w:tcPr>
          <w:p>
            <w:pPr>
              <w:spacing w:after="0"/>
              <w:rPr>
                <w:sz w:val="1"/>
                <w:szCs w:val="1"/>
                <w:color w:val="auto"/>
              </w:rPr>
            </w:pPr>
          </w:p>
        </w:tc>
      </w:tr>
      <w:tr>
        <w:trPr>
          <w:trHeight w:val="149"/>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3,795,782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4,869,218</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6,726,325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6,515,331</w:t>
            </w: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867,500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857,064</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884,629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689,436</w:t>
            </w:r>
          </w:p>
        </w:tc>
        <w:tc>
          <w:tcPr>
            <w:tcW w:w="0" w:type="dxa"/>
            <w:vAlign w:val="bottom"/>
          </w:tcPr>
          <w:p>
            <w:pPr>
              <w:spacing w:after="0"/>
              <w:rPr>
                <w:sz w:val="1"/>
                <w:szCs w:val="1"/>
                <w:color w:val="auto"/>
              </w:rPr>
            </w:pPr>
          </w:p>
        </w:tc>
      </w:tr>
      <w:tr>
        <w:trPr>
          <w:trHeight w:val="163"/>
        </w:trPr>
        <w:tc>
          <w:tcPr>
            <w:tcW w:w="68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Expenses before management fee waiver and provision for taxes</w:t>
            </w:r>
          </w:p>
        </w:tc>
        <w:tc>
          <w:tcPr>
            <w:tcW w:w="19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18,780,016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19,727,800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Management fee waiver (See Note 3)</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(1,648,254)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1,300,000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expenses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18,431,762</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19,727,800</w:t>
            </w:r>
          </w:p>
        </w:tc>
        <w:tc>
          <w:tcPr>
            <w:tcW w:w="0" w:type="dxa"/>
            <w:vAlign w:val="bottom"/>
          </w:tcPr>
          <w:p>
            <w:pPr>
              <w:spacing w:after="0"/>
              <w:rPr>
                <w:sz w:val="1"/>
                <w:szCs w:val="1"/>
                <w:color w:val="auto"/>
              </w:rPr>
            </w:pPr>
          </w:p>
        </w:tc>
      </w:tr>
      <w:tr>
        <w:trPr>
          <w:trHeight w:val="163"/>
        </w:trPr>
        <w:tc>
          <w:tcPr>
            <w:tcW w:w="682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9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16,831,530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19,476,872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Realized and unrealized loss on investments and debt: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20" w:type="dxa"/>
            <w:vAlign w:val="bottom"/>
          </w:tcPr>
          <w:p>
            <w:pPr>
              <w:spacing w:after="0" w:line="149" w:lineRule="exact"/>
              <w:rPr>
                <w:sz w:val="20"/>
                <w:szCs w:val="20"/>
                <w:color w:val="auto"/>
              </w:rPr>
            </w:pPr>
            <w:r>
              <w:rPr>
                <w:rFonts w:ascii="Arial" w:cs="Arial" w:eastAsia="Arial" w:hAnsi="Arial"/>
                <w:sz w:val="14"/>
                <w:szCs w:val="14"/>
                <w:color w:val="auto"/>
              </w:rPr>
              <w:t>Net realized (loss) gain on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(25,374,963)</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8,626,139</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unrealized depreciation on:</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(16,742,815)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(53,059,559)</w:t>
            </w: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(23,129,710)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(104,773)</w:t>
            </w:r>
          </w:p>
        </w:tc>
        <w:tc>
          <w:tcPr>
            <w:tcW w:w="0" w:type="dxa"/>
            <w:vAlign w:val="bottom"/>
          </w:tcPr>
          <w:p>
            <w:pPr>
              <w:spacing w:after="0"/>
              <w:rPr>
                <w:sz w:val="1"/>
                <w:szCs w:val="1"/>
                <w:color w:val="auto"/>
              </w:rPr>
            </w:pPr>
          </w:p>
        </w:tc>
      </w:tr>
      <w:tr>
        <w:trPr>
          <w:trHeight w:val="148"/>
        </w:trPr>
        <w:tc>
          <w:tcPr>
            <w:tcW w:w="6820" w:type="dxa"/>
            <w:vAlign w:val="bottom"/>
          </w:tcPr>
          <w:p>
            <w:pPr>
              <w:ind w:left="300"/>
              <w:spacing w:after="0" w:line="149" w:lineRule="exact"/>
              <w:rPr>
                <w:sz w:val="20"/>
                <w:szCs w:val="20"/>
                <w:color w:val="auto"/>
              </w:rPr>
            </w:pPr>
            <w:r>
              <w:rPr>
                <w:rFonts w:ascii="Arial" w:cs="Arial" w:eastAsia="Arial" w:hAnsi="Arial"/>
                <w:sz w:val="14"/>
                <w:szCs w:val="14"/>
                <w:color w:val="auto"/>
              </w:rPr>
              <w:t>Debt depreciation (See Notes 5 and 10)</w:t>
            </w:r>
          </w:p>
        </w:tc>
        <w:tc>
          <w:tcPr>
            <w:tcW w:w="1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7,660,775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1,115,627</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change in unrealized depreciation on investments and debt</w:t>
            </w:r>
          </w:p>
        </w:tc>
        <w:tc>
          <w:tcPr>
            <w:tcW w:w="1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(32,211,750)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(52,048,705)</w:t>
            </w:r>
          </w:p>
        </w:tc>
        <w:tc>
          <w:tcPr>
            <w:tcW w:w="0" w:type="dxa"/>
            <w:vAlign w:val="bottom"/>
          </w:tcPr>
          <w:p>
            <w:pPr>
              <w:spacing w:after="0"/>
              <w:rPr>
                <w:sz w:val="1"/>
                <w:szCs w:val="1"/>
                <w:color w:val="auto"/>
              </w:rPr>
            </w:pPr>
          </w:p>
        </w:tc>
      </w:tr>
      <w:tr>
        <w:trPr>
          <w:trHeight w:val="163"/>
        </w:trPr>
        <w:tc>
          <w:tcPr>
            <w:tcW w:w="6820" w:type="dxa"/>
            <w:vAlign w:val="bottom"/>
          </w:tcPr>
          <w:p>
            <w:pPr>
              <w:spacing w:after="0" w:line="155" w:lineRule="exact"/>
              <w:rPr>
                <w:sz w:val="20"/>
                <w:szCs w:val="20"/>
                <w:color w:val="auto"/>
              </w:rPr>
            </w:pPr>
            <w:r>
              <w:rPr>
                <w:rFonts w:ascii="Arial" w:cs="Arial" w:eastAsia="Arial" w:hAnsi="Arial"/>
                <w:sz w:val="14"/>
                <w:szCs w:val="14"/>
                <w:b w:val="1"/>
                <w:bCs w:val="1"/>
                <w:color w:val="auto"/>
              </w:rPr>
              <w:t>Net realized and unrealized loss from investments and debt</w:t>
            </w:r>
          </w:p>
        </w:tc>
        <w:tc>
          <w:tcPr>
            <w:tcW w:w="19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(57,586,713)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(43,422,566)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2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(40,755,183)</w:t>
            </w: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(23,945,694)</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4"/>
                <w:szCs w:val="14"/>
                <w:color w:val="auto"/>
              </w:rPr>
              <w:t>Net decrease in net assets resulting from operations per common share (See Note 7)</w:t>
            </w: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8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20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rPr>
              <w:t>0.23</w:t>
            </w:r>
          </w:p>
        </w:tc>
        <w:tc>
          <w:tcPr>
            <w:tcW w:w="34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3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decrease in net assets from operations:</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16,831,530</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19,476,872</w:t>
            </w: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gain on investments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(25,374,963)</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8,626,139</w:t>
            </w: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on investments</w:t>
            </w:r>
          </w:p>
        </w:tc>
        <w:tc>
          <w:tcPr>
            <w:tcW w:w="16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(39,872,525)</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(53,164,332)</w:t>
            </w: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7,660,775</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1,115,627</w:t>
            </w:r>
          </w:p>
        </w:tc>
        <w:tc>
          <w:tcPr>
            <w:tcW w:w="0" w:type="dxa"/>
            <w:vAlign w:val="bottom"/>
          </w:tcPr>
          <w:p>
            <w:pPr>
              <w:spacing w:after="0"/>
              <w:rPr>
                <w:sz w:val="1"/>
                <w:szCs w:val="1"/>
                <w:color w:val="auto"/>
              </w:rPr>
            </w:pPr>
          </w:p>
        </w:tc>
      </w:tr>
      <w:tr>
        <w:trPr>
          <w:trHeight w:val="163"/>
        </w:trPr>
        <w:tc>
          <w:tcPr>
            <w:tcW w:w="89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decrease in net assets resulting from operations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(23,945,694)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(20,088,799)</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(21,026,015)</w:t>
            </w:r>
          </w:p>
        </w:tc>
        <w:tc>
          <w:tcPr>
            <w:tcW w:w="0" w:type="dxa"/>
            <w:vAlign w:val="bottom"/>
          </w:tcPr>
          <w:p>
            <w:pPr>
              <w:spacing w:after="0"/>
              <w:rPr>
                <w:sz w:val="1"/>
                <w:szCs w:val="1"/>
                <w:color w:val="auto"/>
              </w:rPr>
            </w:pPr>
          </w:p>
        </w:tc>
      </w:tr>
      <w:tr>
        <w:trPr>
          <w:trHeight w:val="155"/>
        </w:trPr>
        <w:tc>
          <w:tcPr>
            <w:tcW w:w="890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w:t>
            </w: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(8,437,161)</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900" w:type="dxa"/>
            <w:vAlign w:val="bottom"/>
          </w:tcPr>
          <w:p>
            <w:pPr>
              <w:spacing w:after="0" w:line="155" w:lineRule="exact"/>
              <w:rPr>
                <w:sz w:val="20"/>
                <w:szCs w:val="20"/>
                <w:color w:val="auto"/>
              </w:rPr>
            </w:pPr>
            <w:r>
              <w:rPr>
                <w:rFonts w:ascii="Arial" w:cs="Arial" w:eastAsia="Arial" w:hAnsi="Arial"/>
                <w:sz w:val="14"/>
                <w:szCs w:val="14"/>
                <w:b w:val="1"/>
                <w:bCs w:val="1"/>
                <w:color w:val="auto"/>
              </w:rPr>
              <w:t>Net 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(69,281,143)</w:t>
            </w:r>
          </w:p>
        </w:tc>
        <w:tc>
          <w:tcPr>
            <w:tcW w:w="22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(44,971,709)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60" w:type="dxa"/>
            <w:vAlign w:val="bottom"/>
          </w:tcPr>
          <w:p>
            <w:pPr>
              <w:spacing w:after="0"/>
              <w:rPr>
                <w:sz w:val="12"/>
                <w:szCs w:val="12"/>
                <w:color w:val="auto"/>
              </w:rPr>
            </w:pPr>
          </w:p>
        </w:tc>
        <w:tc>
          <w:tcPr>
            <w:tcW w:w="104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716,590,542</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828,009,949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647,309,399</w:t>
            </w: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783,038,240</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(16,682,155</w:t>
            </w:r>
          </w:p>
        </w:tc>
        <w:tc>
          <w:tcPr>
            <w:tcW w:w="220" w:type="dxa"/>
            <w:vAlign w:val="bottom"/>
          </w:tcPr>
          <w:p>
            <w:pPr>
              <w:jc w:val="right"/>
              <w:ind w:right="88"/>
              <w:spacing w:after="0" w:line="143" w:lineRule="exact"/>
              <w:rPr>
                <w:sz w:val="20"/>
                <w:szCs w:val="20"/>
                <w:color w:val="auto"/>
              </w:rPr>
            </w:pPr>
            <w:r>
              <w:rPr>
                <w:rFonts w:ascii="Arial" w:cs="Arial" w:eastAsia="Arial" w:hAnsi="Arial"/>
                <w:sz w:val="14"/>
                <w:szCs w:val="14"/>
                <w:color w:val="auto"/>
                <w:w w:val="84"/>
              </w:rPr>
              <w:t>)</w:t>
            </w: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(13,351,723)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Shares of common stock repurchased</w:t>
            </w:r>
          </w:p>
        </w:tc>
        <w:tc>
          <w:tcPr>
            <w:tcW w:w="160" w:type="dxa"/>
            <w:vAlign w:val="bottom"/>
          </w:tcPr>
          <w:p>
            <w:pPr>
              <w:spacing w:after="0"/>
              <w:rPr>
                <w:sz w:val="12"/>
                <w:szCs w:val="12"/>
                <w:color w:val="auto"/>
              </w:rPr>
            </w:pPr>
          </w:p>
        </w:tc>
        <w:tc>
          <w:tcPr>
            <w:tcW w:w="10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(1,220,333)</w:t>
            </w: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400"/>
              <w:spacing w:after="0" w:line="149" w:lineRule="exact"/>
              <w:rPr>
                <w:sz w:val="20"/>
                <w:szCs w:val="20"/>
                <w:color w:val="auto"/>
              </w:rPr>
            </w:pPr>
            <w:r>
              <w:rPr>
                <w:rFonts w:ascii="Arial" w:cs="Arial" w:eastAsia="Arial" w:hAnsi="Arial"/>
                <w:sz w:val="14"/>
                <w:szCs w:val="14"/>
                <w:color w:val="auto"/>
              </w:rPr>
              <w:t>Net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(40,755,183)</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(23,945,694)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Adjustments to reconcile net decrease in net assets resulting from operations to net cash used by operating</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depreciation on investments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39,872,525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53,164,332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(7,660,775)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(1,115,627)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Net realized loss (gain) on investments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25,374,963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(8,626,139)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(1,554,643)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(1,673,625)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(130,317,861)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(158,912,670)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(4,512,413)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(1,402,599)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108,068,736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79,285,499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interest receivable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586,198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1,109,032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prepaid expenses and other assets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4,414,695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(234,197)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Increase (decrease) in payable for investments purchased</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8,157,322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(4,432,500)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interest payable on debt</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(1,399,934)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4,542,813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142,975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138,213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(Decrease) increase in management fee payable</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(1,137,173)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411,648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increase in performance-based incentive fee payable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(1,819,340)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246,464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accrued other expenses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1,680,036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(391,360)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used by operating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(859,872)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(61,836,410)</w:t>
            </w:r>
          </w:p>
        </w:tc>
        <w:tc>
          <w:tcPr>
            <w:tcW w:w="0" w:type="dxa"/>
            <w:vAlign w:val="bottom"/>
          </w:tcPr>
          <w:p>
            <w:pPr>
              <w:spacing w:after="0"/>
              <w:rPr>
                <w:sz w:val="1"/>
                <w:szCs w:val="1"/>
                <w:color w:val="auto"/>
              </w:rPr>
            </w:pPr>
          </w:p>
        </w:tc>
      </w:tr>
      <w:tr>
        <w:trPr>
          <w:trHeight w:val="155"/>
        </w:trPr>
        <w:tc>
          <w:tcPr>
            <w:tcW w:w="6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Repurchase of common stock (See Note 12)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(8,437,161)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(20,430,492)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(21,026,015)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 (See Note 10)</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202,316,923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257,000,000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 (See Note 10)</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(196,185,900)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(186,344,800)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(used) provided by financing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(22,736,630)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49,629,185</w:t>
            </w:r>
          </w:p>
        </w:tc>
        <w:tc>
          <w:tcPr>
            <w:tcW w:w="0" w:type="dxa"/>
            <w:vAlign w:val="bottom"/>
          </w:tcPr>
          <w:p>
            <w:pPr>
              <w:spacing w:after="0"/>
              <w:rPr>
                <w:sz w:val="1"/>
                <w:szCs w:val="1"/>
                <w:color w:val="auto"/>
              </w:rPr>
            </w:pPr>
          </w:p>
        </w:tc>
      </w:tr>
      <w:tr>
        <w:trPr>
          <w:trHeight w:val="155"/>
        </w:trPr>
        <w:tc>
          <w:tcPr>
            <w:tcW w:w="6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 cash equivalents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(23,596,502)</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(12,207,225)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232,165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49,619,256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66,518,682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26,254,919</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54,329,248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7,983,284</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1,834,305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180"/>
              <w:spacing w:after="0"/>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4,760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Non-cash exchanges and conversions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39,438,420</w:t>
            </w:r>
          </w:p>
        </w:tc>
        <w:tc>
          <w:tcPr>
            <w:tcW w:w="3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81"/>
              </w:rPr>
              <w:t>Basis Point</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08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Maturity /</w:t>
            </w:r>
          </w:p>
        </w:tc>
        <w:tc>
          <w:tcPr>
            <w:tcW w:w="1880" w:type="dxa"/>
            <w:vAlign w:val="bottom"/>
          </w:tcPr>
          <w:p>
            <w:pPr>
              <w:spacing w:after="0"/>
              <w:rPr>
                <w:sz w:val="11"/>
                <w:szCs w:val="11"/>
                <w:color w:val="auto"/>
              </w:rPr>
            </w:pPr>
          </w:p>
        </w:tc>
        <w:tc>
          <w:tcPr>
            <w:tcW w:w="1020" w:type="dxa"/>
            <w:vAlign w:val="bottom"/>
          </w:tcPr>
          <w:p>
            <w:pPr>
              <w:jc w:val="right"/>
              <w:ind w:right="397"/>
              <w:spacing w:after="0" w:line="135" w:lineRule="exact"/>
              <w:rPr>
                <w:sz w:val="20"/>
                <w:szCs w:val="20"/>
                <w:color w:val="auto"/>
              </w:rPr>
            </w:pPr>
            <w:r>
              <w:rPr>
                <w:rFonts w:ascii="Arial" w:cs="Arial" w:eastAsia="Arial" w:hAnsi="Arial"/>
                <w:sz w:val="13"/>
                <w:szCs w:val="13"/>
                <w:b w:val="1"/>
                <w:bCs w:val="1"/>
                <w:color w:val="auto"/>
              </w:rPr>
              <w:t>Current</w:t>
            </w:r>
          </w:p>
        </w:tc>
        <w:tc>
          <w:tcPr>
            <w:tcW w:w="114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80" w:type="dxa"/>
            <w:vAlign w:val="bottom"/>
          </w:tcPr>
          <w:p>
            <w:pPr>
              <w:jc w:val="right"/>
              <w:ind w:right="217"/>
              <w:spacing w:after="0" w:line="135"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vMerge w:val="continue"/>
          </w:tcPr>
          <w:p>
            <w:pPr>
              <w:spacing w:after="0"/>
              <w:rPr>
                <w:sz w:val="13"/>
                <w:szCs w:val="13"/>
                <w:color w:val="auto"/>
              </w:rPr>
            </w:pPr>
          </w:p>
        </w:tc>
        <w:tc>
          <w:tcPr>
            <w:tcW w:w="1080" w:type="dxa"/>
            <w:vAlign w:val="bottom"/>
          </w:tcPr>
          <w:p>
            <w:pPr>
              <w:ind w:left="420"/>
              <w:spacing w:after="0"/>
              <w:rPr>
                <w:sz w:val="20"/>
                <w:szCs w:val="20"/>
                <w:color w:val="auto"/>
              </w:rPr>
            </w:pPr>
            <w:r>
              <w:rPr>
                <w:rFonts w:ascii="Arial" w:cs="Arial" w:eastAsia="Arial" w:hAnsi="Arial"/>
                <w:sz w:val="13"/>
                <w:szCs w:val="13"/>
                <w:b w:val="1"/>
                <w:bCs w:val="1"/>
                <w:color w:val="auto"/>
              </w:rPr>
              <w:t>Expiration</w:t>
            </w:r>
          </w:p>
        </w:tc>
        <w:tc>
          <w:tcPr>
            <w:tcW w:w="1880" w:type="dxa"/>
            <w:vAlign w:val="bottom"/>
          </w:tcPr>
          <w:p>
            <w:pPr>
              <w:ind w:left="680"/>
              <w:spacing w:after="0"/>
              <w:rPr>
                <w:sz w:val="20"/>
                <w:szCs w:val="20"/>
                <w:color w:val="auto"/>
              </w:rPr>
            </w:pPr>
            <w:r>
              <w:rPr>
                <w:rFonts w:ascii="Arial" w:cs="Arial" w:eastAsia="Arial" w:hAnsi="Arial"/>
                <w:sz w:val="13"/>
                <w:szCs w:val="13"/>
                <w:b w:val="1"/>
                <w:bCs w:val="1"/>
                <w:color w:val="auto"/>
              </w:rPr>
              <w:t>Industry</w:t>
            </w:r>
          </w:p>
        </w:tc>
        <w:tc>
          <w:tcPr>
            <w:tcW w:w="1020" w:type="dxa"/>
            <w:vAlign w:val="bottom"/>
          </w:tcPr>
          <w:p>
            <w:pPr>
              <w:jc w:val="right"/>
              <w:ind w:right="397"/>
              <w:spacing w:after="0"/>
              <w:rPr>
                <w:sz w:val="20"/>
                <w:szCs w:val="20"/>
                <w:color w:val="auto"/>
              </w:rPr>
            </w:pPr>
            <w:r>
              <w:rPr>
                <w:rFonts w:ascii="Arial" w:cs="Arial" w:eastAsia="Arial" w:hAnsi="Arial"/>
                <w:sz w:val="13"/>
                <w:szCs w:val="13"/>
                <w:b w:val="1"/>
                <w:bCs w:val="1"/>
                <w:color w:val="auto"/>
              </w:rPr>
              <w:t>Coupon</w:t>
            </w:r>
          </w:p>
        </w:tc>
        <w:tc>
          <w:tcPr>
            <w:tcW w:w="114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980" w:type="dxa"/>
            <w:vAlign w:val="bottom"/>
            <w:gridSpan w:val="3"/>
          </w:tcPr>
          <w:p>
            <w:pPr>
              <w:ind w:left="28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616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Companies—152.5% </w:t>
            </w:r>
            <w:r>
              <w:rPr>
                <w:rFonts w:ascii="Arial" w:cs="Arial" w:eastAsia="Arial" w:hAnsi="Arial"/>
                <w:sz w:val="10"/>
                <w:szCs w:val="10"/>
                <w:b w:val="1"/>
                <w:bCs w:val="1"/>
                <w:color w:val="auto"/>
              </w:rPr>
              <w:t>(1), (2)</w:t>
            </w:r>
          </w:p>
        </w:tc>
        <w:tc>
          <w:tcPr>
            <w:tcW w:w="102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Debt—52.6%</w:t>
            </w:r>
          </w:p>
        </w:tc>
        <w:tc>
          <w:tcPr>
            <w:tcW w:w="10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03/21/2018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Communications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11.25%</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22,536,541</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   22,011,222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22,536,541</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04/02/2018</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14.25%</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P+1,075</w:t>
            </w:r>
            <w:r>
              <w:rPr>
                <w:rFonts w:ascii="Arial" w:cs="Arial" w:eastAsia="Arial" w:hAnsi="Arial"/>
                <w:sz w:val="10"/>
                <w:szCs w:val="10"/>
                <w:color w:val="auto"/>
              </w:rPr>
              <w:t>(8)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43,891,060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43,594,482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44,628,317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04/02/2018</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1020" w:type="dxa"/>
            <w:vAlign w:val="bottom"/>
            <w:shd w:val="clear" w:color="auto" w:fill="CCEEFF"/>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4,371,469</w:t>
            </w:r>
          </w:p>
        </w:tc>
        <w:tc>
          <w:tcPr>
            <w:tcW w:w="100" w:type="dxa"/>
            <w:vAlign w:val="bottom"/>
            <w:shd w:val="clear" w:color="auto" w:fill="CCEEFF"/>
          </w:tcPr>
          <w:p>
            <w:pPr>
              <w:spacing w:after="0"/>
              <w:rPr>
                <w:sz w:val="11"/>
                <w:szCs w:val="11"/>
                <w:color w:val="auto"/>
              </w:rPr>
            </w:pPr>
          </w:p>
        </w:tc>
        <w:tc>
          <w:tcPr>
            <w:tcW w:w="980" w:type="dxa"/>
            <w:vAlign w:val="bottom"/>
            <w:gridSpan w:val="3"/>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73,429</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AP Gaming I, LLC</w:t>
            </w:r>
          </w:p>
        </w:tc>
        <w:tc>
          <w:tcPr>
            <w:tcW w:w="2960" w:type="dxa"/>
            <w:vAlign w:val="bottom"/>
            <w:gridSpan w:val="2"/>
          </w:tcPr>
          <w:p>
            <w:pPr>
              <w:ind w:left="420"/>
              <w:spacing w:after="0" w:line="135" w:lineRule="exact"/>
              <w:rPr>
                <w:sz w:val="20"/>
                <w:szCs w:val="20"/>
                <w:color w:val="auto"/>
              </w:rPr>
            </w:pPr>
            <w:r>
              <w:rPr>
                <w:rFonts w:ascii="Arial" w:cs="Arial" w:eastAsia="Arial" w:hAnsi="Arial"/>
                <w:sz w:val="13"/>
                <w:szCs w:val="13"/>
                <w:color w:val="auto"/>
                <w:w w:val="95"/>
              </w:rPr>
              <w:t>12/21/2020   Hotels, Motels, Inns and Gaming</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9.25%</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23,513,309</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23,203,997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22,602,169</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A</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06/03/2021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7.00%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9,318,750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9,134,629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7,958,213</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Broder Bros., Co., Tranche B</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06/03/2021</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13.50%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L+1,225</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9,337,500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9,151,958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10,327,275</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10/21/2020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4,466,250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4,409,769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4,466,250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25,371,299</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25,135,901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24,863,873</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08/19/2019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21,504,514</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21,210,963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20,509,555</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10/31/2017</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9.63%</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5,626,850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5,626,850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4,670,286</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New Gulf Resources,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12/30/2016</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9,622,484</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9,342,712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9,333,809</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(9)</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12/30/2016</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3,499,085</w:t>
            </w:r>
          </w:p>
        </w:tc>
        <w:tc>
          <w:tcPr>
            <w:tcW w:w="100" w:type="dxa"/>
            <w:vAlign w:val="bottom"/>
          </w:tcPr>
          <w:p>
            <w:pPr>
              <w:spacing w:after="0"/>
              <w:rPr>
                <w:sz w:val="11"/>
                <w:szCs w:val="11"/>
                <w:color w:val="auto"/>
              </w:rPr>
            </w:pP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(104,973)</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12/16/2019</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0"/>
              </w:rPr>
              <w:t>Mining, Steel, Iron and Non-</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14,250,000</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14,141,266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10,972,500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Precious Metals</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Robertshaw US Holding Corp.</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06/18/2019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13,422,603</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13,331,344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13,369,057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04/21/2017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19,632,091</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19,071,177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19,533,930</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2960" w:type="dxa"/>
            <w:vAlign w:val="bottom"/>
            <w:gridSpan w:val="2"/>
          </w:tcPr>
          <w:p>
            <w:pPr>
              <w:ind w:left="420"/>
              <w:spacing w:after="0" w:line="121" w:lineRule="exact"/>
              <w:rPr>
                <w:sz w:val="20"/>
                <w:szCs w:val="20"/>
                <w:color w:val="auto"/>
              </w:rPr>
            </w:pPr>
            <w:r>
              <w:rPr>
                <w:rFonts w:ascii="Arial" w:cs="Arial" w:eastAsia="Arial" w:hAnsi="Arial"/>
                <w:sz w:val="13"/>
                <w:szCs w:val="13"/>
                <w:color w:val="auto"/>
                <w:w w:val="95"/>
              </w:rPr>
              <w:t>09/28/2018   Hotels, Motels, Inns and Gaming</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13.00%</w:t>
            </w:r>
          </w:p>
        </w:tc>
        <w:tc>
          <w:tcPr>
            <w:tcW w:w="11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19,973,099</w:t>
            </w:r>
          </w:p>
        </w:tc>
        <w:tc>
          <w:tcPr>
            <w:tcW w:w="92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30,110,483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29,444,523</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(PIK 0.50%)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Triad Manufacturing, Inc.</w:t>
            </w:r>
          </w:p>
        </w:tc>
        <w:tc>
          <w:tcPr>
            <w:tcW w:w="2960" w:type="dxa"/>
            <w:vAlign w:val="bottom"/>
            <w:gridSpan w:val="2"/>
            <w:shd w:val="clear" w:color="auto" w:fill="CCEEFF"/>
          </w:tcPr>
          <w:p>
            <w:pPr>
              <w:ind w:left="420"/>
              <w:spacing w:after="0" w:line="136" w:lineRule="exact"/>
              <w:rPr>
                <w:sz w:val="20"/>
                <w:szCs w:val="20"/>
                <w:color w:val="auto"/>
              </w:rPr>
            </w:pPr>
            <w:r>
              <w:rPr>
                <w:rFonts w:ascii="Arial" w:cs="Arial" w:eastAsia="Arial" w:hAnsi="Arial"/>
                <w:sz w:val="13"/>
                <w:szCs w:val="13"/>
                <w:color w:val="auto"/>
                <w:w w:val="96"/>
              </w:rPr>
              <w:t>12/28/2020   Manufacturing / Basic Industries</w:t>
            </w:r>
          </w:p>
        </w:tc>
        <w:tc>
          <w:tcPr>
            <w:tcW w:w="102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11.25%</w:t>
            </w:r>
          </w:p>
        </w:tc>
        <w:tc>
          <w:tcPr>
            <w:tcW w:w="11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L+1,075</w:t>
            </w:r>
          </w:p>
        </w:tc>
        <w:tc>
          <w:tcPr>
            <w:tcW w:w="78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37,940,000</w:t>
            </w:r>
          </w:p>
        </w:tc>
        <w:tc>
          <w:tcPr>
            <w:tcW w:w="9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37,183,612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37,181,200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02/12/2020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11.09%</w:t>
            </w:r>
          </w:p>
        </w:tc>
        <w:tc>
          <w:tcPr>
            <w:tcW w:w="11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24,175,647</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38,494,147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34,656,440</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Med Acquisition, Inc.</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08/13/2021</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10.00%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8,717,188</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8,717,187</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8,717,188</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U.S. Well Services, LLC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05/02/2019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14,986,024</w:t>
            </w: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14,743,980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14,881,899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0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348,615,679</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340,621,481</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Debt—69.7%</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09/01/2017</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11.50%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25,400,000</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25,400,000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17,780,000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03/04/2022</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19,000,000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18,727,990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Bennu Oil &amp; Gas, LLC</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11/01/2018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12.25%</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26,587,601</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25,339,578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16,750,188</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(PIK 2.50%)</w:t>
            </w:r>
          </w:p>
        </w:tc>
        <w:tc>
          <w:tcPr>
            <w:tcW w:w="1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09/30/2020</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41,250,000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39,166,401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39,187,500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03/01/2017</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4,391,420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4,391,422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1,536,997</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07/31/2019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34,000,000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33,501,824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34,170,000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2960" w:type="dxa"/>
            <w:vAlign w:val="bottom"/>
            <w:gridSpan w:val="2"/>
            <w:shd w:val="clear" w:color="auto" w:fill="CCEEFF"/>
          </w:tcPr>
          <w:p>
            <w:pPr>
              <w:ind w:left="420"/>
              <w:spacing w:after="0" w:line="135" w:lineRule="exact"/>
              <w:rPr>
                <w:sz w:val="20"/>
                <w:szCs w:val="20"/>
                <w:color w:val="auto"/>
              </w:rPr>
            </w:pPr>
            <w:r>
              <w:rPr>
                <w:rFonts w:ascii="Arial" w:cs="Arial" w:eastAsia="Arial" w:hAnsi="Arial"/>
                <w:sz w:val="13"/>
                <w:szCs w:val="13"/>
                <w:color w:val="auto"/>
                <w:w w:val="95"/>
              </w:rPr>
              <w:t>10/29/2019   Hotels, Motels, Inns and Gaming</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51,775,000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51,228,987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51,775,000</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Language Line, LLC</w:t>
            </w:r>
          </w:p>
        </w:tc>
        <w:tc>
          <w:tcPr>
            <w:tcW w:w="108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07/07/2022</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10.75%</w:t>
            </w:r>
          </w:p>
        </w:tc>
        <w:tc>
          <w:tcPr>
            <w:tcW w:w="11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L+975</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40,312,500</w:t>
            </w:r>
          </w:p>
        </w:tc>
        <w:tc>
          <w:tcPr>
            <w:tcW w:w="92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39,718,662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39,607,031</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10/31/2017</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14.00%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12,706,250</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12,521,251</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3,176,563</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(PIK 14.00%)</w:t>
            </w:r>
          </w:p>
        </w:tc>
        <w:tc>
          <w:tcPr>
            <w:tcW w:w="1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05/15/2019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45,000,000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44,698,346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9,000,000</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07/07/2021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11.75%</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41,250,000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40,892,844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2960" w:type="dxa"/>
            <w:vAlign w:val="bottom"/>
            <w:gridSpan w:val="2"/>
          </w:tcPr>
          <w:p>
            <w:pPr>
              <w:ind w:left="420"/>
              <w:spacing w:after="0" w:line="135" w:lineRule="exact"/>
              <w:rPr>
                <w:sz w:val="20"/>
                <w:szCs w:val="20"/>
                <w:color w:val="auto"/>
              </w:rPr>
            </w:pPr>
            <w:r>
              <w:rPr>
                <w:rFonts w:ascii="Arial" w:cs="Arial" w:eastAsia="Arial" w:hAnsi="Arial"/>
                <w:sz w:val="13"/>
                <w:szCs w:val="13"/>
                <w:color w:val="auto"/>
                <w:w w:val="95"/>
              </w:rPr>
              <w:t>12/17/2021   Hotels, Motels, Inns and Gaming</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13.00%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75,000,000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75,000,000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75,540,183</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10/02/2020</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19,698,091</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19,484,555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19,254,884</w:t>
            </w: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08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07/01/2020</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10.25%</w:t>
            </w:r>
          </w:p>
        </w:tc>
        <w:tc>
          <w:tcPr>
            <w:tcW w:w="11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56,750,000</w:t>
            </w:r>
          </w:p>
        </w:tc>
        <w:tc>
          <w:tcPr>
            <w:tcW w:w="92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56,135,923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56,182,500</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07/01/2022</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9.75%</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28,500,000</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28,097,114</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27,930,000</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514,304,897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451,125,846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Notes—20.5%</w:t>
            </w:r>
          </w:p>
        </w:tc>
        <w:tc>
          <w:tcPr>
            <w:tcW w:w="10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02/15/2019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8,930,000</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8,828,526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8,735,254</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LP Holdings,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08/20/2021</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12.00%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32,675,553</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31,988,527</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32,348,797</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02/20/2017</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5,924,447</w:t>
            </w:r>
          </w:p>
        </w:tc>
        <w:tc>
          <w:tcPr>
            <w:tcW w:w="100" w:type="dxa"/>
            <w:vAlign w:val="bottom"/>
          </w:tcPr>
          <w:p>
            <w:pPr>
              <w:spacing w:after="0"/>
              <w:rPr>
                <w:sz w:val="11"/>
                <w:szCs w:val="11"/>
                <w:color w:val="auto"/>
              </w:rPr>
            </w:pP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74,056</w:t>
            </w: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w w:val="89"/>
              </w:rPr>
              <w:t>10/26/2018</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13.50%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10,861,600</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10,734,102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10,103,260</w:t>
            </w:r>
          </w:p>
        </w:tc>
        <w:tc>
          <w:tcPr>
            <w:tcW w:w="0" w:type="dxa"/>
            <w:vAlign w:val="bottom"/>
          </w:tcPr>
          <w:p>
            <w:pPr>
              <w:spacing w:after="0"/>
              <w:rPr>
                <w:sz w:val="1"/>
                <w:szCs w:val="1"/>
                <w:color w:val="auto"/>
              </w:rPr>
            </w:pPr>
          </w:p>
        </w:tc>
      </w:tr>
      <w:tr>
        <w:trPr>
          <w:trHeight w:val="163"/>
        </w:trPr>
        <w:tc>
          <w:tcPr>
            <w:tcW w:w="3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(PIK 2.25%)</w:t>
            </w:r>
          </w:p>
        </w:tc>
        <w:tc>
          <w:tcPr>
            <w:tcW w:w="1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line="121"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(10), (12), (13)</w:t>
            </w:r>
          </w:p>
        </w:tc>
        <w:tc>
          <w:tcPr>
            <w:tcW w:w="1080" w:type="dxa"/>
            <w:vAlign w:val="bottom"/>
          </w:tcPr>
          <w:p>
            <w:pPr>
              <w:jc w:val="center"/>
              <w:ind w:left="277"/>
              <w:spacing w:after="0" w:line="121" w:lineRule="exact"/>
              <w:rPr>
                <w:sz w:val="20"/>
                <w:szCs w:val="20"/>
                <w:color w:val="auto"/>
              </w:rPr>
            </w:pPr>
            <w:r>
              <w:rPr>
                <w:rFonts w:ascii="Arial" w:cs="Arial" w:eastAsia="Arial" w:hAnsi="Arial"/>
                <w:sz w:val="13"/>
                <w:szCs w:val="13"/>
                <w:color w:val="auto"/>
                <w:w w:val="89"/>
              </w:rPr>
              <w:t>02/19/2018</w:t>
            </w:r>
          </w:p>
        </w:tc>
        <w:tc>
          <w:tcPr>
            <w:tcW w:w="1880" w:type="dxa"/>
            <w:vAlign w:val="bottom"/>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2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14.50%</w:t>
            </w:r>
          </w:p>
        </w:tc>
        <w:tc>
          <w:tcPr>
            <w:tcW w:w="11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37"/>
              <w:spacing w:after="0" w:line="121" w:lineRule="exact"/>
              <w:rPr>
                <w:sz w:val="20"/>
                <w:szCs w:val="20"/>
                <w:color w:val="auto"/>
              </w:rPr>
            </w:pPr>
            <w:r>
              <w:rPr>
                <w:rFonts w:ascii="Arial" w:cs="Arial" w:eastAsia="Arial" w:hAnsi="Arial"/>
                <w:sz w:val="13"/>
                <w:szCs w:val="13"/>
                <w:color w:val="auto"/>
              </w:rPr>
              <w:t>8,009,405</w:t>
            </w:r>
          </w:p>
        </w:tc>
        <w:tc>
          <w:tcPr>
            <w:tcW w:w="920" w:type="dxa"/>
            <w:vAlign w:val="bottom"/>
            <w:gridSpan w:val="3"/>
          </w:tcPr>
          <w:p>
            <w:pPr>
              <w:jc w:val="right"/>
              <w:ind w:right="20"/>
              <w:spacing w:after="0" w:line="121" w:lineRule="exact"/>
              <w:rPr>
                <w:sz w:val="20"/>
                <w:szCs w:val="20"/>
                <w:color w:val="auto"/>
              </w:rPr>
            </w:pPr>
            <w:r>
              <w:rPr>
                <w:rFonts w:ascii="Arial" w:cs="Arial" w:eastAsia="Arial" w:hAnsi="Arial"/>
                <w:sz w:val="13"/>
                <w:szCs w:val="13"/>
                <w:color w:val="auto"/>
              </w:rPr>
              <w:t>11,748,499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11,748,499</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3"/>
                <w:szCs w:val="13"/>
                <w:color w:val="auto"/>
                <w:w w:val="90"/>
              </w:rPr>
              <w:t>Childcare</w:t>
            </w:r>
          </w:p>
        </w:tc>
        <w:tc>
          <w:tcPr>
            <w:tcW w:w="1020" w:type="dxa"/>
            <w:vAlign w:val="bottom"/>
          </w:tcPr>
          <w:p>
            <w:pPr>
              <w:jc w:val="right"/>
              <w:ind w:right="117"/>
              <w:spacing w:after="0"/>
              <w:rPr>
                <w:sz w:val="20"/>
                <w:szCs w:val="20"/>
                <w:color w:val="auto"/>
              </w:rPr>
            </w:pPr>
            <w:r>
              <w:rPr>
                <w:rFonts w:ascii="Arial" w:cs="Arial" w:eastAsia="Arial" w:hAnsi="Arial"/>
                <w:sz w:val="13"/>
                <w:szCs w:val="13"/>
                <w:color w:val="auto"/>
              </w:rPr>
              <w:t>(PIK 6.00%)</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MSPark, Inc.</w:t>
            </w:r>
          </w:p>
        </w:tc>
        <w:tc>
          <w:tcPr>
            <w:tcW w:w="1080" w:type="dxa"/>
            <w:vAlign w:val="bottom"/>
            <w:shd w:val="clear" w:color="auto" w:fill="CCEEFF"/>
          </w:tcPr>
          <w:p>
            <w:pPr>
              <w:jc w:val="center"/>
              <w:ind w:left="277"/>
              <w:spacing w:after="0" w:line="136" w:lineRule="exact"/>
              <w:rPr>
                <w:sz w:val="20"/>
                <w:szCs w:val="20"/>
                <w:color w:val="auto"/>
              </w:rPr>
            </w:pPr>
            <w:r>
              <w:rPr>
                <w:rFonts w:ascii="Arial" w:cs="Arial" w:eastAsia="Arial" w:hAnsi="Arial"/>
                <w:sz w:val="13"/>
                <w:szCs w:val="13"/>
                <w:color w:val="auto"/>
                <w:w w:val="89"/>
              </w:rPr>
              <w:t>06/15/2017</w:t>
            </w:r>
          </w:p>
        </w:tc>
        <w:tc>
          <w:tcPr>
            <w:tcW w:w="188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Printing and Publishing</w:t>
            </w:r>
          </w:p>
        </w:tc>
        <w:tc>
          <w:tcPr>
            <w:tcW w:w="102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140" w:type="dxa"/>
            <w:vAlign w:val="bottom"/>
            <w:shd w:val="clear" w:color="auto" w:fill="CCEEFF"/>
          </w:tcPr>
          <w:p>
            <w:pPr>
              <w:jc w:val="right"/>
              <w:ind w:right="157"/>
              <w:spacing w:after="0" w:line="136"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rPr>
              <w:t>15,000,000</w:t>
            </w:r>
          </w:p>
        </w:tc>
        <w:tc>
          <w:tcPr>
            <w:tcW w:w="920" w:type="dxa"/>
            <w:vAlign w:val="bottom"/>
            <w:gridSpan w:val="3"/>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14,856,280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6"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w w:val="89"/>
              </w:rPr>
              <w:t>11/15/2019</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1020" w:type="dxa"/>
            <w:vAlign w:val="bottom"/>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15,204,289</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14,829,719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304,086</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Randall-Reilly,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w w:val="89"/>
              </w:rPr>
              <w:t>04/15/2019</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42,275,000</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41,666,714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41,287,955</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2960" w:type="dxa"/>
            <w:vAlign w:val="bottom"/>
            <w:gridSpan w:val="2"/>
          </w:tcPr>
          <w:p>
            <w:pPr>
              <w:ind w:left="420"/>
              <w:spacing w:after="0" w:line="135" w:lineRule="exact"/>
              <w:rPr>
                <w:sz w:val="20"/>
                <w:szCs w:val="20"/>
                <w:color w:val="auto"/>
              </w:rPr>
            </w:pPr>
            <w:r>
              <w:rPr>
                <w:rFonts w:ascii="Arial" w:cs="Arial" w:eastAsia="Arial" w:hAnsi="Arial"/>
                <w:sz w:val="13"/>
                <w:szCs w:val="13"/>
                <w:color w:val="auto"/>
                <w:w w:val="96"/>
              </w:rPr>
              <w:t>05/13/2021   Manufacturing / Basic Industries</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11.00%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13,300,000</w:t>
            </w:r>
          </w:p>
        </w:tc>
        <w:tc>
          <w:tcPr>
            <w:tcW w:w="10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13,064,293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0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147,716,660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132,768,907</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Equity/Partnership Interests—2.0% </w:t>
            </w:r>
            <w:r>
              <w:rPr>
                <w:rFonts w:ascii="Arial" w:cs="Arial" w:eastAsia="Arial" w:hAnsi="Arial"/>
                <w:sz w:val="10"/>
                <w:szCs w:val="10"/>
                <w:b w:val="1"/>
                <w:bCs w:val="1"/>
                <w:color w:val="auto"/>
              </w:rPr>
              <w:t>(6)</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w:t>
            </w:r>
          </w:p>
        </w:tc>
        <w:tc>
          <w:tcPr>
            <w:tcW w:w="1080" w:type="dxa"/>
            <w:vAlign w:val="bottom"/>
            <w:shd w:val="clear" w:color="auto" w:fill="CCEEFF"/>
          </w:tcPr>
          <w:p>
            <w:pPr>
              <w:jc w:val="center"/>
              <w:ind w:left="277"/>
              <w:spacing w:after="0" w:line="121"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Healthcare, Education and</w:t>
            </w:r>
          </w:p>
        </w:tc>
        <w:tc>
          <w:tcPr>
            <w:tcW w:w="102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6.00%</w:t>
            </w:r>
          </w:p>
        </w:tc>
        <w:tc>
          <w:tcPr>
            <w:tcW w:w="11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211</w:t>
            </w:r>
          </w:p>
        </w:tc>
        <w:tc>
          <w:tcPr>
            <w:tcW w:w="920" w:type="dxa"/>
            <w:vAlign w:val="bottom"/>
            <w:gridSpan w:val="3"/>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500,000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142,559</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Childcare</w:t>
            </w:r>
          </w:p>
        </w:tc>
        <w:tc>
          <w:tcPr>
            <w:tcW w:w="10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949</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949,050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981,217</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2,375</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2,088,121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2,277,100</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8.00%</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3,591</w:t>
            </w:r>
          </w:p>
        </w:tc>
        <w:tc>
          <w:tcPr>
            <w:tcW w:w="100" w:type="dxa"/>
            <w:vAlign w:val="bottom"/>
          </w:tcPr>
          <w:p>
            <w:pPr>
              <w:spacing w:after="0"/>
              <w:rPr>
                <w:sz w:val="11"/>
                <w:szCs w:val="11"/>
                <w:color w:val="auto"/>
              </w:rPr>
            </w:pPr>
          </w:p>
        </w:tc>
        <w:tc>
          <w:tcPr>
            <w:tcW w:w="980" w:type="dxa"/>
            <w:vAlign w:val="bottom"/>
            <w:gridSpan w:val="3"/>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27,664</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3,397</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3,397,484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3,945,285</w:t>
            </w:r>
          </w:p>
        </w:tc>
        <w:tc>
          <w:tcPr>
            <w:tcW w:w="0" w:type="dxa"/>
            <w:vAlign w:val="bottom"/>
          </w:tcPr>
          <w:p>
            <w:pPr>
              <w:spacing w:after="0"/>
              <w:rPr>
                <w:sz w:val="1"/>
                <w:szCs w:val="1"/>
                <w:color w:val="auto"/>
              </w:rPr>
            </w:pPr>
          </w:p>
        </w:tc>
      </w:tr>
      <w:tr>
        <w:trPr>
          <w:trHeight w:val="135"/>
        </w:trPr>
        <w:tc>
          <w:tcPr>
            <w:tcW w:w="32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1080" w:type="dxa"/>
            <w:vAlign w:val="bottom"/>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102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1,197</w:t>
            </w:r>
          </w:p>
        </w:tc>
        <w:tc>
          <w:tcPr>
            <w:tcW w:w="920" w:type="dxa"/>
            <w:vAlign w:val="bottom"/>
            <w:gridSpan w:val="3"/>
          </w:tcPr>
          <w:p>
            <w:pPr>
              <w:jc w:val="right"/>
              <w:ind w:right="20"/>
              <w:spacing w:after="0" w:line="135" w:lineRule="exact"/>
              <w:rPr>
                <w:sz w:val="20"/>
                <w:szCs w:val="20"/>
                <w:color w:val="auto"/>
              </w:rPr>
            </w:pPr>
            <w:r>
              <w:rPr>
                <w:rFonts w:ascii="Arial" w:cs="Arial" w:eastAsia="Arial" w:hAnsi="Arial"/>
                <w:sz w:val="13"/>
                <w:szCs w:val="13"/>
                <w:color w:val="auto"/>
              </w:rPr>
              <w:t>1,197,000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1,325,521</w:t>
            </w:r>
          </w:p>
        </w:tc>
        <w:tc>
          <w:tcPr>
            <w:tcW w:w="0" w:type="dxa"/>
            <w:vAlign w:val="bottom"/>
          </w:tcPr>
          <w:p>
            <w:pPr>
              <w:spacing w:after="0"/>
              <w:rPr>
                <w:sz w:val="1"/>
                <w:szCs w:val="1"/>
                <w:color w:val="auto"/>
              </w:rPr>
            </w:pPr>
          </w:p>
        </w:tc>
      </w:tr>
      <w:tr>
        <w:trPr>
          <w:trHeight w:val="135"/>
        </w:trPr>
        <w:tc>
          <w:tcPr>
            <w:tcW w:w="32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w:t>
            </w:r>
          </w:p>
        </w:tc>
        <w:tc>
          <w:tcPr>
            <w:tcW w:w="1080" w:type="dxa"/>
            <w:vAlign w:val="bottom"/>
            <w:shd w:val="clear" w:color="auto" w:fill="CCEEFF"/>
          </w:tcPr>
          <w:p>
            <w:pPr>
              <w:jc w:val="center"/>
              <w:ind w:left="277"/>
              <w:spacing w:after="0" w:line="135" w:lineRule="exact"/>
              <w:rPr>
                <w:sz w:val="20"/>
                <w:szCs w:val="20"/>
                <w:color w:val="auto"/>
              </w:rPr>
            </w:pPr>
            <w:r>
              <w:rPr>
                <w:rFonts w:ascii="Arial" w:cs="Arial" w:eastAsia="Arial" w:hAnsi="Arial"/>
                <w:sz w:val="13"/>
                <w:szCs w:val="13"/>
                <w:color w:val="auto"/>
              </w:rPr>
              <w:t>—</w:t>
            </w:r>
          </w:p>
        </w:tc>
        <w:tc>
          <w:tcPr>
            <w:tcW w:w="18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Transportation</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8.00%</w:t>
            </w:r>
          </w:p>
        </w:tc>
        <w:tc>
          <w:tcPr>
            <w:tcW w:w="11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1,966,667</w:t>
            </w:r>
          </w:p>
        </w:tc>
        <w:tc>
          <w:tcPr>
            <w:tcW w:w="920" w:type="dxa"/>
            <w:vAlign w:val="bottom"/>
            <w:gridSpan w:val="3"/>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2,102,669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4,153,860</w:t>
            </w:r>
          </w:p>
        </w:tc>
        <w:tc>
          <w:tcPr>
            <w:tcW w:w="0" w:type="dxa"/>
            <w:vAlign w:val="bottom"/>
          </w:tcPr>
          <w:p>
            <w:pPr>
              <w:spacing w:after="0"/>
              <w:rPr>
                <w:sz w:val="1"/>
                <w:szCs w:val="1"/>
                <w:color w:val="auto"/>
              </w:rPr>
            </w:pPr>
          </w:p>
        </w:tc>
      </w:tr>
      <w:tr>
        <w:trPr>
          <w:trHeight w:val="142"/>
        </w:trPr>
        <w:tc>
          <w:tcPr>
            <w:tcW w:w="3200" w:type="dxa"/>
            <w:vAlign w:val="bottom"/>
          </w:tcPr>
          <w:p>
            <w:pPr>
              <w:spacing w:after="0" w:line="142" w:lineRule="exact"/>
              <w:rPr>
                <w:sz w:val="20"/>
                <w:szCs w:val="20"/>
                <w:color w:val="auto"/>
              </w:rPr>
            </w:pPr>
            <w:r>
              <w:rPr>
                <w:rFonts w:ascii="Arial" w:cs="Arial" w:eastAsia="Arial" w:hAnsi="Arial"/>
                <w:sz w:val="13"/>
                <w:szCs w:val="13"/>
                <w:b w:val="1"/>
                <w:bCs w:val="1"/>
                <w:color w:val="auto"/>
              </w:rPr>
              <w:t>Total Preferred Equity/Partnership Interests</w:t>
            </w:r>
          </w:p>
        </w:tc>
        <w:tc>
          <w:tcPr>
            <w:tcW w:w="10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10,234,324</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12,853,206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Maturity /</w:t>
            </w: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500"/>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Par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820" w:type="dxa"/>
            <w:vAlign w:val="bottom"/>
            <w:gridSpan w:val="2"/>
          </w:tcPr>
          <w:p>
            <w:pPr>
              <w:ind w:left="640"/>
              <w:spacing w:after="0"/>
              <w:rPr>
                <w:sz w:val="20"/>
                <w:szCs w:val="20"/>
                <w:color w:val="auto"/>
              </w:rPr>
            </w:pPr>
            <w:r>
              <w:rPr>
                <w:rFonts w:ascii="Arial" w:cs="Arial" w:eastAsia="Arial" w:hAnsi="Arial"/>
                <w:sz w:val="13"/>
                <w:szCs w:val="13"/>
                <w:b w:val="1"/>
                <w:bCs w:val="1"/>
                <w:color w:val="auto"/>
              </w:rPr>
              <w:t>Industry</w:t>
            </w:r>
          </w:p>
        </w:tc>
        <w:tc>
          <w:tcPr>
            <w:tcW w:w="106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Coupon</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3"/>
          </w:tcPr>
          <w:p>
            <w:pPr>
              <w:ind w:left="20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8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Interests/Warrants—7.7% </w:t>
            </w:r>
            <w:r>
              <w:rPr>
                <w:rFonts w:ascii="Arial" w:cs="Arial" w:eastAsia="Arial" w:hAnsi="Arial"/>
                <w:sz w:val="10"/>
                <w:szCs w:val="10"/>
                <w:b w:val="1"/>
                <w:bCs w:val="1"/>
                <w:color w:val="auto"/>
              </w:rPr>
              <w:t>(6)</w:t>
            </w:r>
          </w:p>
        </w:tc>
        <w:tc>
          <w:tcPr>
            <w:tcW w:w="760" w:type="dxa"/>
            <w:vAlign w:val="bottom"/>
            <w:tcBorders>
              <w:top w:val="single" w:sz="8" w:color="auto"/>
            </w:tcBorders>
            <w:shd w:val="clear" w:color="auto" w:fill="CCEEFF"/>
          </w:tcPr>
          <w:p>
            <w:pPr>
              <w:spacing w:after="0"/>
              <w:rPr>
                <w:sz w:val="11"/>
                <w:szCs w:val="11"/>
                <w:color w:val="auto"/>
              </w:rPr>
            </w:pPr>
          </w:p>
        </w:tc>
        <w:tc>
          <w:tcPr>
            <w:tcW w:w="1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A2Z Wireless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0"/>
              </w:rPr>
              <w:t>Retail</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1,736</w:t>
            </w: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445,500</w:t>
            </w:r>
          </w:p>
        </w:tc>
        <w:tc>
          <w:tcPr>
            <w:tcW w:w="60" w:type="dxa"/>
            <w:vAlign w:val="bottom"/>
          </w:tcPr>
          <w:p>
            <w:pPr>
              <w:spacing w:after="0"/>
              <w:rPr>
                <w:sz w:val="11"/>
                <w:szCs w:val="11"/>
                <w:color w:val="auto"/>
              </w:rPr>
            </w:pPr>
          </w:p>
        </w:tc>
        <w:tc>
          <w:tcPr>
            <w:tcW w:w="1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3,348,490</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 (Warrants)</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03/23/2021</w:t>
            </w:r>
          </w:p>
        </w:tc>
        <w:tc>
          <w:tcPr>
            <w:tcW w:w="182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7"/>
              </w:rPr>
              <w:t>Healthcare, Education and</w:t>
            </w:r>
          </w:p>
        </w:tc>
        <w:tc>
          <w:tcPr>
            <w:tcW w:w="106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7"/>
              </w:rPr>
              <w:t>Childcare</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Alegeus Technologies Holding Corp.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Financial Services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950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05/05/2026</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9"/>
              </w:rPr>
              <w:t>Education</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877,547</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Autumn Games, LLC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7"/>
              </w:rPr>
              <w:t>Broadcasting and Entertainment</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1,333,330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w w:val="93"/>
              </w:rPr>
              <w:t xml:space="preserve">Cardinal Logistics Holdings LLC </w:t>
            </w:r>
            <w:r>
              <w:rPr>
                <w:rFonts w:ascii="Arial" w:cs="Arial" w:eastAsia="Arial" w:hAnsi="Arial"/>
                <w:sz w:val="10"/>
                <w:szCs w:val="10"/>
                <w:color w:val="auto"/>
                <w:w w:val="93"/>
              </w:rPr>
              <w:t>(11)</w:t>
            </w:r>
            <w:r>
              <w:rPr>
                <w:rFonts w:ascii="Arial" w:cs="Arial" w:eastAsia="Arial" w:hAnsi="Arial"/>
                <w:sz w:val="13"/>
                <w:szCs w:val="13"/>
                <w:color w:val="auto"/>
                <w:w w:val="93"/>
              </w:rPr>
              <w:t xml:space="preserve"> (Intermediate Transportation 100,</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6"/>
              </w:rPr>
              <w:t>Cargo Transport</w:t>
            </w:r>
          </w:p>
        </w:tc>
        <w:tc>
          <w:tcPr>
            <w:tcW w:w="106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137,923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2,111,588</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L.L.C.)</w:t>
            </w:r>
          </w:p>
        </w:tc>
        <w:tc>
          <w:tcPr>
            <w:tcW w:w="7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23,600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5,051,127</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92"/>
              </w:rPr>
              <w:t>Distribution</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1,745,639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2,125,981</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1,355,316</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1"/>
              </w:rPr>
              <w:t>Building Materials</w:t>
            </w:r>
          </w:p>
        </w:tc>
        <w:tc>
          <w:tcPr>
            <w:tcW w:w="106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3,520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171,601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191,822</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7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9"/>
              </w:rPr>
              <w:t>Other Media</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388,378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2,991,975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 Cosmetics US,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2,516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2,919,354</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Kadmon Holdings, LLC, Class A</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87"/>
              </w:rPr>
              <w:t>Healthcare, Education and</w:t>
            </w:r>
          </w:p>
        </w:tc>
        <w:tc>
          <w:tcPr>
            <w:tcW w:w="106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1,079,920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1,236,832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7,394,785</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gridSpan w:val="2"/>
          </w:tcPr>
          <w:p>
            <w:pPr>
              <w:jc w:val="center"/>
              <w:ind w:right="20"/>
              <w:spacing w:after="0"/>
              <w:rPr>
                <w:sz w:val="20"/>
                <w:szCs w:val="20"/>
                <w:color w:val="auto"/>
              </w:rPr>
            </w:pPr>
            <w:r>
              <w:rPr>
                <w:rFonts w:ascii="Arial" w:cs="Arial" w:eastAsia="Arial" w:hAnsi="Arial"/>
                <w:sz w:val="13"/>
                <w:szCs w:val="13"/>
                <w:color w:val="auto"/>
                <w:w w:val="87"/>
              </w:rPr>
              <w:t>Childcare</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D</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87"/>
              </w:rPr>
              <w:t>Healthcare, Education and</w:t>
            </w:r>
          </w:p>
        </w:tc>
        <w:tc>
          <w:tcPr>
            <w:tcW w:w="106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1,079,920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1,028,807</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7"/>
              </w:rPr>
              <w:t>Childcare</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92"/>
              </w:rPr>
              <w:t>Distribution</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383,447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402,415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497,345</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4,871,242</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760" w:type="dxa"/>
            <w:vAlign w:val="bottom"/>
          </w:tcPr>
          <w:p>
            <w:pPr>
              <w:spacing w:after="0"/>
              <w:rPr>
                <w:sz w:val="12"/>
                <w:szCs w:val="12"/>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13"/>
                <w:szCs w:val="13"/>
                <w:color w:val="auto"/>
                <w:w w:val="86"/>
              </w:rPr>
              <w:t>Miscellaneous Services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05/09/2024</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495,000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Patriot National,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4"/>
              </w:rPr>
              <w:t>Insurance</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100,885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238,037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676,938</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1,161,801</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150,000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1,735,242</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6"/>
              </w:rPr>
              <w:t>Personal Transportation</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1,870,331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148,998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136,735</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Roto Holdings, Inc.</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21" w:lineRule="exact"/>
              <w:rPr>
                <w:sz w:val="20"/>
                <w:szCs w:val="20"/>
                <w:color w:val="auto"/>
              </w:rPr>
            </w:pPr>
            <w:r>
              <w:rPr>
                <w:rFonts w:ascii="Arial" w:cs="Arial" w:eastAsia="Arial" w:hAnsi="Arial"/>
                <w:sz w:val="13"/>
                <w:szCs w:val="13"/>
                <w:color w:val="auto"/>
                <w:w w:val="89"/>
              </w:rPr>
              <w:t>Manufacturing / Basic</w:t>
            </w:r>
          </w:p>
        </w:tc>
        <w:tc>
          <w:tcPr>
            <w:tcW w:w="106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133,000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552,741</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20" w:type="dxa"/>
            <w:vAlign w:val="bottom"/>
            <w:gridSpan w:val="2"/>
          </w:tcPr>
          <w:p>
            <w:pPr>
              <w:jc w:val="center"/>
              <w:ind w:right="40"/>
              <w:spacing w:after="0"/>
              <w:rPr>
                <w:sz w:val="20"/>
                <w:szCs w:val="20"/>
                <w:color w:val="auto"/>
              </w:rPr>
            </w:pPr>
            <w:r>
              <w:rPr>
                <w:rFonts w:ascii="Arial" w:cs="Arial" w:eastAsia="Arial" w:hAnsi="Arial"/>
                <w:sz w:val="13"/>
                <w:szCs w:val="13"/>
                <w:color w:val="auto"/>
                <w:w w:val="88"/>
              </w:rPr>
              <w:t>Industries</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90"/>
              </w:rPr>
              <w:t>Printing and Publishing</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211,797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3,840,699</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vRide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6"/>
              </w:rPr>
              <w:t>Personal Transportation</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9,882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11,314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20,872</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35,526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4,050,000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8,604,019</w:t>
            </w:r>
          </w:p>
        </w:tc>
        <w:tc>
          <w:tcPr>
            <w:tcW w:w="0" w:type="dxa"/>
            <w:vAlign w:val="bottom"/>
          </w:tcPr>
          <w:p>
            <w:pPr>
              <w:spacing w:after="0"/>
              <w:rPr>
                <w:sz w:val="1"/>
                <w:szCs w:val="1"/>
                <w:color w:val="auto"/>
              </w:rPr>
            </w:pPr>
          </w:p>
        </w:tc>
      </w:tr>
      <w:tr>
        <w:trPr>
          <w:trHeight w:val="149"/>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23,987,640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49,786,235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1,044,859,200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987,155,675</w:t>
            </w: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7"/>
              </w:rPr>
              <w:t xml:space="preserve">Investments in Non-Controlled, Affiliated Portfolio Companies—26.2% </w:t>
            </w:r>
            <w:r>
              <w:rPr>
                <w:rFonts w:ascii="Arial" w:cs="Arial" w:eastAsia="Arial" w:hAnsi="Arial"/>
                <w:sz w:val="10"/>
                <w:szCs w:val="10"/>
                <w:b w:val="1"/>
                <w:bCs w:val="1"/>
                <w:color w:val="auto"/>
                <w:w w:val="97"/>
              </w:rPr>
              <w:t>(1), (2)</w:t>
            </w: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Debt—7.1%</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10.75%</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L+975</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23,700,000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23,232,501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23,226,000</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(9)</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11/25/2020</w:t>
            </w:r>
          </w:p>
        </w:tc>
        <w:tc>
          <w:tcPr>
            <w:tcW w:w="18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1,942,623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8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04/30/2018</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12.00%</w:t>
            </w:r>
            <w:r>
              <w:rPr>
                <w:rFonts w:ascii="Arial" w:cs="Arial" w:eastAsia="Arial" w:hAnsi="Arial"/>
                <w:sz w:val="10"/>
                <w:szCs w:val="10"/>
                <w:color w:val="auto"/>
              </w:rPr>
              <w:t>(7)</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L+1,050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23,514,911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23,310,425</w:t>
            </w:r>
          </w:p>
        </w:tc>
        <w:tc>
          <w:tcPr>
            <w:tcW w:w="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22,809,464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46,542,926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46,035,464</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Debt—3.8%</w:t>
            </w: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10/31/2018</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8.50%</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L+700</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18,000,000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16,645,581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15,319,980</w:t>
            </w:r>
          </w:p>
        </w:tc>
        <w:tc>
          <w:tcPr>
            <w:tcW w:w="0" w:type="dxa"/>
            <w:vAlign w:val="bottom"/>
          </w:tcPr>
          <w:p>
            <w:pPr>
              <w:spacing w:after="0"/>
              <w:rPr>
                <w:sz w:val="1"/>
                <w:szCs w:val="1"/>
                <w:color w:val="auto"/>
              </w:rPr>
            </w:pPr>
          </w:p>
        </w:tc>
      </w:tr>
      <w:tr>
        <w:trPr>
          <w:trHeight w:val="142"/>
        </w:trPr>
        <w:tc>
          <w:tcPr>
            <w:tcW w:w="380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9.00%</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L+800</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9,409,740</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9,248,261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9,127,448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25,893,842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24,447,428</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Notes—6.2%</w:t>
            </w: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Affinion International Holdings Limited</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07/30/2018</w:t>
            </w:r>
          </w:p>
        </w:tc>
        <w:tc>
          <w:tcPr>
            <w:tcW w:w="1820" w:type="dxa"/>
            <w:vAlign w:val="bottom"/>
            <w:gridSpan w:val="2"/>
            <w:shd w:val="clear" w:color="auto" w:fill="CCEEFF"/>
          </w:tcPr>
          <w:p>
            <w:pPr>
              <w:jc w:val="center"/>
              <w:ind w:right="20"/>
              <w:spacing w:after="0" w:line="121"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7.50%</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9,517,000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8,262,106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8,089,450</w:t>
            </w:r>
          </w:p>
        </w:tc>
        <w:tc>
          <w:tcPr>
            <w:tcW w:w="0" w:type="dxa"/>
            <w:vAlign w:val="bottom"/>
          </w:tcPr>
          <w:p>
            <w:pPr>
              <w:spacing w:after="0"/>
              <w:rPr>
                <w:sz w:val="1"/>
                <w:szCs w:val="1"/>
                <w:color w:val="auto"/>
              </w:rPr>
            </w:pPr>
          </w:p>
        </w:tc>
      </w:tr>
      <w:tr>
        <w:trPr>
          <w:trHeight w:val="163"/>
        </w:trPr>
        <w:tc>
          <w:tcPr>
            <w:tcW w:w="3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(PIK 7.50%)</w:t>
            </w: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11/05/2019</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w w:val="92"/>
              </w:rPr>
              <w:t>13,484,832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13,484,833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4,449,995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Service Champ,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8"/>
              </w:rPr>
              <w:t>Auto Sector</w:t>
            </w:r>
          </w:p>
        </w:tc>
        <w:tc>
          <w:tcPr>
            <w:tcW w:w="106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12.50%</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2"/>
              </w:rPr>
              <w:t>28,000,000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27,743,871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27,795,516</w:t>
            </w:r>
          </w:p>
        </w:tc>
        <w:tc>
          <w:tcPr>
            <w:tcW w:w="0" w:type="dxa"/>
            <w:vAlign w:val="bottom"/>
          </w:tcPr>
          <w:p>
            <w:pPr>
              <w:spacing w:after="0"/>
              <w:rPr>
                <w:sz w:val="1"/>
                <w:szCs w:val="1"/>
                <w:color w:val="auto"/>
              </w:rPr>
            </w:pPr>
          </w:p>
        </w:tc>
      </w:tr>
      <w:tr>
        <w:trPr>
          <w:trHeight w:val="149"/>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49,490,810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40,334,961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10"/>
                <w:szCs w:val="10"/>
                <w:b w:val="1"/>
                <w:bCs w:val="1"/>
                <w:color w:val="auto"/>
              </w:rPr>
              <w:t>(6)</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53,071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20,059,340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5,254,029</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Equity/Partnership Interests/Warrants—8.3% </w:t>
            </w:r>
            <w:r>
              <w:rPr>
                <w:rFonts w:ascii="Arial" w:cs="Arial" w:eastAsia="Arial" w:hAnsi="Arial"/>
                <w:sz w:val="10"/>
                <w:szCs w:val="10"/>
                <w:b w:val="1"/>
                <w:bCs w:val="1"/>
                <w:color w:val="auto"/>
              </w:rPr>
              <w:t>(6)</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859,496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30,503,493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30,716,781</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37,181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10,265,973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205,802</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11,250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1,125,000</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(9)</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11,250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104,719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21,492,822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820" w:type="dxa"/>
            <w:vAlign w:val="bottom"/>
            <w:gridSpan w:val="2"/>
            <w:shd w:val="clear" w:color="auto" w:fill="CCEEFF"/>
          </w:tcPr>
          <w:p>
            <w:pPr>
              <w:jc w:val="center"/>
              <w:ind w:right="20"/>
              <w:spacing w:after="0" w:line="135" w:lineRule="exact"/>
              <w:rPr>
                <w:sz w:val="20"/>
                <w:szCs w:val="20"/>
                <w:color w:val="auto"/>
              </w:rPr>
            </w:pPr>
            <w:r>
              <w:rPr>
                <w:rFonts w:ascii="Arial" w:cs="Arial" w:eastAsia="Arial" w:hAnsi="Arial"/>
                <w:sz w:val="13"/>
                <w:szCs w:val="13"/>
                <w:color w:val="auto"/>
                <w:w w:val="87"/>
              </w:rPr>
              <w:t>Consumer Products</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15,486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143,668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11,960,702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12,271,800</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NCP-Performance, L.P.</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20"/>
              <w:spacing w:after="0" w:line="121" w:lineRule="exact"/>
              <w:rPr>
                <w:sz w:val="20"/>
                <w:szCs w:val="20"/>
                <w:color w:val="auto"/>
              </w:rPr>
            </w:pPr>
            <w:r>
              <w:rPr>
                <w:rFonts w:ascii="Arial" w:cs="Arial" w:eastAsia="Arial" w:hAnsi="Arial"/>
                <w:sz w:val="13"/>
                <w:szCs w:val="13"/>
                <w:color w:val="auto"/>
                <w:w w:val="87"/>
              </w:rPr>
              <w:t>Leisure, Amusement,</w:t>
            </w:r>
          </w:p>
        </w:tc>
        <w:tc>
          <w:tcPr>
            <w:tcW w:w="106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375,000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3,750,000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8"/>
              </w:rPr>
              <w:t>Motion Pictures and</w:t>
            </w: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8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jc w:val="center"/>
              <w:ind w:right="20"/>
              <w:spacing w:after="0"/>
              <w:rPr>
                <w:sz w:val="20"/>
                <w:szCs w:val="20"/>
                <w:color w:val="auto"/>
              </w:rPr>
            </w:pPr>
            <w:r>
              <w:rPr>
                <w:rFonts w:ascii="Arial" w:cs="Arial" w:eastAsia="Arial" w:hAnsi="Arial"/>
                <w:sz w:val="13"/>
                <w:szCs w:val="13"/>
                <w:color w:val="auto"/>
                <w:w w:val="88"/>
              </w:rPr>
              <w:t>Entertainment</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20"/>
              <w:spacing w:after="0" w:line="135" w:lineRule="exact"/>
              <w:rPr>
                <w:sz w:val="20"/>
                <w:szCs w:val="20"/>
                <w:color w:val="auto"/>
              </w:rPr>
            </w:pPr>
            <w:r>
              <w:rPr>
                <w:rFonts w:ascii="Arial" w:cs="Arial" w:eastAsia="Arial" w:hAnsi="Arial"/>
                <w:sz w:val="13"/>
                <w:szCs w:val="13"/>
                <w:color w:val="auto"/>
                <w:w w:val="88"/>
              </w:rPr>
              <w:t>Auto Sector</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16,800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5,020,615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53,071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2,810,881</w:t>
            </w:r>
          </w:p>
        </w:tc>
        <w:tc>
          <w:tcPr>
            <w:tcW w:w="0" w:type="dxa"/>
            <w:vAlign w:val="bottom"/>
          </w:tcPr>
          <w:p>
            <w:pPr>
              <w:spacing w:after="0"/>
              <w:rPr>
                <w:sz w:val="1"/>
                <w:szCs w:val="1"/>
                <w:color w:val="auto"/>
              </w:rPr>
            </w:pPr>
          </w:p>
        </w:tc>
      </w:tr>
      <w:tr>
        <w:trPr>
          <w:trHeight w:val="142"/>
        </w:trPr>
        <w:tc>
          <w:tcPr>
            <w:tcW w:w="38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491,755</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1,592,315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82,211,047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53,743,194</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w w:val="90"/>
              </w:rPr>
              <w:t>Total Investments in Non-Controlled, Affiliated Portfolio Companies</w:t>
            </w:r>
          </w:p>
        </w:tc>
        <w:tc>
          <w:tcPr>
            <w:tcW w:w="7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224,197,965</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169,815,076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Maturity /</w:t>
            </w:r>
          </w:p>
        </w:tc>
        <w:tc>
          <w:tcPr>
            <w:tcW w:w="1440" w:type="dxa"/>
            <w:vAlign w:val="bottom"/>
            <w:gridSpan w:val="2"/>
          </w:tcPr>
          <w:p>
            <w:pPr>
              <w:ind w:left="460"/>
              <w:spacing w:after="0" w:line="135" w:lineRule="exact"/>
              <w:rPr>
                <w:sz w:val="20"/>
                <w:szCs w:val="20"/>
                <w:color w:val="auto"/>
              </w:rPr>
            </w:pPr>
            <w:r>
              <w:rPr>
                <w:rFonts w:ascii="Arial" w:cs="Arial" w:eastAsia="Arial" w:hAnsi="Arial"/>
                <w:sz w:val="13"/>
                <w:szCs w:val="13"/>
                <w:b w:val="1"/>
                <w:bCs w:val="1"/>
                <w:color w:val="auto"/>
              </w:rPr>
              <w:t>Industry</w:t>
            </w:r>
          </w:p>
        </w:tc>
        <w:tc>
          <w:tcPr>
            <w:tcW w:w="10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9"/>
              </w:rPr>
              <w:t>Par /</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2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3"/>
                <w:szCs w:val="13"/>
                <w:b w:val="1"/>
                <w:bCs w:val="1"/>
                <w:color w:val="auto"/>
              </w:rPr>
              <w:t>Expiration</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b w:val="1"/>
                <w:bCs w:val="1"/>
                <w:color w:val="auto"/>
              </w:rPr>
              <w:t>Coupon</w:t>
            </w: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3"/>
                <w:szCs w:val="13"/>
                <w:color w:val="auto"/>
              </w:rPr>
            </w:pPr>
          </w:p>
        </w:tc>
        <w:tc>
          <w:tcPr>
            <w:tcW w:w="980" w:type="dxa"/>
            <w:vAlign w:val="bottom"/>
            <w:gridSpan w:val="2"/>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40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 xml:space="preserve">Investments in Controlled, Affiliated Portfolio Companies—16.2% </w:t>
            </w:r>
            <w:r>
              <w:rPr>
                <w:rFonts w:ascii="Arial" w:cs="Arial" w:eastAsia="Arial" w:hAnsi="Arial"/>
                <w:sz w:val="10"/>
                <w:szCs w:val="10"/>
                <w:b w:val="1"/>
                <w:bCs w:val="1"/>
                <w:color w:val="auto"/>
                <w:w w:val="91"/>
              </w:rPr>
              <w:t>(1), (2)</w:t>
            </w:r>
          </w:p>
        </w:tc>
        <w:tc>
          <w:tcPr>
            <w:tcW w:w="82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Debt—14.0%</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 Tranche A</w:t>
            </w:r>
          </w:p>
        </w:tc>
        <w:tc>
          <w:tcPr>
            <w:tcW w:w="82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9"/>
              </w:rPr>
              <w:t>07/18/2019</w:t>
            </w:r>
          </w:p>
        </w:tc>
        <w:tc>
          <w:tcPr>
            <w:tcW w:w="144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9"/>
              </w:rPr>
              <w:t>Energy and Utilities</w:t>
            </w:r>
          </w:p>
        </w:tc>
        <w:tc>
          <w:tcPr>
            <w:tcW w:w="10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10.00%</w:t>
            </w:r>
          </w:p>
        </w:tc>
        <w:tc>
          <w:tcPr>
            <w:tcW w:w="10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L+800</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w w:val="92"/>
              </w:rPr>
              <w:t>78,395,067</w:t>
            </w: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77,210,954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66,635,807</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(PIK 10.00%)</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82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12/31/2018</w:t>
            </w:r>
          </w:p>
        </w:tc>
        <w:tc>
          <w:tcPr>
            <w:tcW w:w="14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0"/>
              </w:rPr>
              <w:t>Media</w:t>
            </w:r>
          </w:p>
        </w:tc>
        <w:tc>
          <w:tcPr>
            <w:tcW w:w="1000" w:type="dxa"/>
            <w:vAlign w:val="bottom"/>
            <w:gridSpan w:val="2"/>
          </w:tcPr>
          <w:p>
            <w:pPr>
              <w:jc w:val="right"/>
              <w:ind w:right="220"/>
              <w:spacing w:after="0" w:line="121" w:lineRule="exact"/>
              <w:rPr>
                <w:sz w:val="20"/>
                <w:szCs w:val="20"/>
                <w:color w:val="auto"/>
              </w:rPr>
            </w:pPr>
            <w:r>
              <w:rPr>
                <w:rFonts w:ascii="Arial" w:cs="Arial" w:eastAsia="Arial" w:hAnsi="Arial"/>
                <w:sz w:val="13"/>
                <w:szCs w:val="13"/>
                <w:color w:val="auto"/>
              </w:rPr>
              <w:t>14.00%</w:t>
            </w:r>
          </w:p>
        </w:tc>
        <w:tc>
          <w:tcPr>
            <w:tcW w:w="10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L+1,300</w:t>
            </w:r>
          </w:p>
        </w:tc>
        <w:tc>
          <w:tcPr>
            <w:tcW w:w="82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w w:val="92"/>
              </w:rPr>
              <w:t>23,880,294</w:t>
            </w:r>
          </w:p>
        </w:tc>
        <w:tc>
          <w:tcPr>
            <w:tcW w:w="120" w:type="dxa"/>
            <w:vAlign w:val="bottom"/>
          </w:tcPr>
          <w:p>
            <w:pPr>
              <w:spacing w:after="0"/>
              <w:rPr>
                <w:sz w:val="10"/>
                <w:szCs w:val="10"/>
                <w:color w:val="auto"/>
              </w:rPr>
            </w:pPr>
          </w:p>
        </w:tc>
        <w:tc>
          <w:tcPr>
            <w:tcW w:w="98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21,886,532</w:t>
            </w:r>
          </w:p>
        </w:tc>
        <w:tc>
          <w:tcPr>
            <w:tcW w:w="80" w:type="dxa"/>
            <w:vAlign w:val="bottom"/>
          </w:tcPr>
          <w:p>
            <w:pPr>
              <w:spacing w:after="0"/>
              <w:rPr>
                <w:sz w:val="10"/>
                <w:szCs w:val="10"/>
                <w:color w:val="auto"/>
              </w:rPr>
            </w:pPr>
          </w:p>
        </w:tc>
        <w:tc>
          <w:tcPr>
            <w:tcW w:w="92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23,880,294</w:t>
            </w: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3"/>
                <w:szCs w:val="13"/>
                <w:color w:val="auto"/>
              </w:rPr>
              <w:t>(PIK 14.00%)</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99,097,486</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90,516,101</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Debt—0.9%</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82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9"/>
              </w:rPr>
              <w:t>07/01/2019</w:t>
            </w:r>
          </w:p>
        </w:tc>
        <w:tc>
          <w:tcPr>
            <w:tcW w:w="144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90"/>
              </w:rPr>
              <w:t>Media</w:t>
            </w:r>
          </w:p>
        </w:tc>
        <w:tc>
          <w:tcPr>
            <w:tcW w:w="1000" w:type="dxa"/>
            <w:vAlign w:val="bottom"/>
            <w:gridSpan w:val="2"/>
            <w:shd w:val="clear" w:color="auto" w:fill="CCEEFF"/>
          </w:tcPr>
          <w:p>
            <w:pPr>
              <w:jc w:val="right"/>
              <w:ind w:right="220"/>
              <w:spacing w:after="0" w:line="121" w:lineRule="exact"/>
              <w:rPr>
                <w:sz w:val="20"/>
                <w:szCs w:val="20"/>
                <w:color w:val="auto"/>
              </w:rPr>
            </w:pPr>
            <w:r>
              <w:rPr>
                <w:rFonts w:ascii="Arial" w:cs="Arial" w:eastAsia="Arial" w:hAnsi="Arial"/>
                <w:sz w:val="13"/>
                <w:szCs w:val="13"/>
                <w:color w:val="auto"/>
              </w:rPr>
              <w:t>16.00%</w:t>
            </w:r>
          </w:p>
        </w:tc>
        <w:tc>
          <w:tcPr>
            <w:tcW w:w="10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L+1,500</w:t>
            </w:r>
          </w:p>
        </w:tc>
        <w:tc>
          <w:tcPr>
            <w:tcW w:w="82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5,986,614</w:t>
            </w: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5,986,614</w:t>
            </w: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5,986,614</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(PIK 16.00%)</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07/01/2019</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90"/>
              </w:rPr>
              <w:t>Media</w:t>
            </w:r>
          </w:p>
        </w:tc>
        <w:tc>
          <w:tcPr>
            <w:tcW w:w="10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275,000</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5,986,614</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5,986,614</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 Holdings, Inc.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Media</w:t>
            </w:r>
          </w:p>
        </w:tc>
        <w:tc>
          <w:tcPr>
            <w:tcW w:w="10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15.00%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37,046</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5,000,000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868,701</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Equity—1.2% </w:t>
            </w:r>
            <w:r>
              <w:rPr>
                <w:rFonts w:ascii="Arial" w:cs="Arial" w:eastAsia="Arial" w:hAnsi="Arial"/>
                <w:sz w:val="10"/>
                <w:szCs w:val="10"/>
                <w:b w:val="1"/>
                <w:bCs w:val="1"/>
                <w:color w:val="auto"/>
              </w:rPr>
              <w:t>(6)</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2"/>
              </w:rPr>
              <w:t>Distribution</w:t>
            </w:r>
          </w:p>
        </w:tc>
        <w:tc>
          <w:tcPr>
            <w:tcW w:w="10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65,933</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7,542,194</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gridSpan w:val="2"/>
          </w:tcPr>
          <w:p>
            <w:pPr>
              <w:jc w:val="center"/>
              <w:ind w:right="120"/>
              <w:spacing w:after="0" w:line="135" w:lineRule="exact"/>
              <w:rPr>
                <w:sz w:val="20"/>
                <w:szCs w:val="20"/>
                <w:color w:val="auto"/>
              </w:rPr>
            </w:pPr>
            <w:r>
              <w:rPr>
                <w:rFonts w:ascii="Arial" w:cs="Arial" w:eastAsia="Arial" w:hAnsi="Arial"/>
                <w:sz w:val="13"/>
                <w:szCs w:val="13"/>
                <w:color w:val="auto"/>
                <w:w w:val="89"/>
              </w:rPr>
              <w:t>Energy and Utilities</w:t>
            </w:r>
          </w:p>
        </w:tc>
        <w:tc>
          <w:tcPr>
            <w:tcW w:w="10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23,141</w:t>
            </w: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4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Media</w:t>
            </w:r>
          </w:p>
        </w:tc>
        <w:tc>
          <w:tcPr>
            <w:tcW w:w="100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11,100</w:t>
            </w: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47,797,219</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7,542,194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157,881,319</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104,913,610</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Investments—194.9%</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1,426,938,484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1,261,884,361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Equivalents—4.1%</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2,952,475</w:t>
            </w: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2,952,475</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23,329,102</w:t>
            </w: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23,302,444</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8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26,281,577</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26,254,919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Equivalents—199.0%</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3"/>
              </w:rPr>
              <w:t>1,453,220,061</w:t>
            </w:r>
          </w:p>
        </w:tc>
        <w:tc>
          <w:tcPr>
            <w:tcW w:w="1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1,288,139,280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Assets—(99.0%)</w:t>
            </w: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(640,829,881)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8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647,309,399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right="40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6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jc w:val="center"/>
              <w:ind w:right="157"/>
              <w:spacing w:after="0"/>
              <w:rPr>
                <w:sz w:val="20"/>
                <w:szCs w:val="20"/>
                <w:color w:val="auto"/>
              </w:rPr>
            </w:pPr>
            <w:r>
              <w:rPr>
                <w:rFonts w:ascii="Arial" w:cs="Arial" w:eastAsia="Arial" w:hAnsi="Arial"/>
                <w:sz w:val="13"/>
                <w:szCs w:val="13"/>
                <w:b w:val="1"/>
                <w:bCs w:val="1"/>
                <w:color w:val="auto"/>
                <w:w w:val="84"/>
              </w:rPr>
              <w:t>Basis Point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6"/>
              </w:rPr>
              <w:t>Spread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100" w:type="dxa"/>
            <w:vAlign w:val="bottom"/>
          </w:tcPr>
          <w:p>
            <w:pPr>
              <w:ind w:left="440"/>
              <w:spacing w:after="0" w:line="135" w:lineRule="exact"/>
              <w:rPr>
                <w:sz w:val="20"/>
                <w:szCs w:val="20"/>
                <w:color w:val="auto"/>
              </w:rPr>
            </w:pPr>
            <w:r>
              <w:rPr>
                <w:rFonts w:ascii="Arial" w:cs="Arial" w:eastAsia="Arial" w:hAnsi="Arial"/>
                <w:sz w:val="13"/>
                <w:szCs w:val="13"/>
                <w:b w:val="1"/>
                <w:bCs w:val="1"/>
                <w:color w:val="auto"/>
              </w:rPr>
              <w:t>Maturity /</w:t>
            </w:r>
          </w:p>
        </w:tc>
        <w:tc>
          <w:tcPr>
            <w:tcW w:w="1820" w:type="dxa"/>
            <w:vAlign w:val="bottom"/>
          </w:tcPr>
          <w:p>
            <w:pPr>
              <w:spacing w:after="0"/>
              <w:rPr>
                <w:sz w:val="11"/>
                <w:szCs w:val="11"/>
                <w:color w:val="auto"/>
              </w:rPr>
            </w:pPr>
          </w:p>
        </w:tc>
        <w:tc>
          <w:tcPr>
            <w:tcW w:w="1060" w:type="dxa"/>
            <w:vAlign w:val="bottom"/>
          </w:tcPr>
          <w:p>
            <w:pPr>
              <w:ind w:left="120"/>
              <w:spacing w:after="0" w:line="135" w:lineRule="exact"/>
              <w:rPr>
                <w:sz w:val="20"/>
                <w:szCs w:val="20"/>
                <w:color w:val="auto"/>
              </w:rPr>
            </w:pPr>
            <w:r>
              <w:rPr>
                <w:rFonts w:ascii="Arial" w:cs="Arial" w:eastAsia="Arial" w:hAnsi="Arial"/>
                <w:sz w:val="13"/>
                <w:szCs w:val="13"/>
                <w:b w:val="1"/>
                <w:bCs w:val="1"/>
                <w:color w:val="auto"/>
              </w:rPr>
              <w:t>Current</w:t>
            </w:r>
          </w:p>
        </w:tc>
        <w:tc>
          <w:tcPr>
            <w:tcW w:w="106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85"/>
              </w:rPr>
              <w:t>Above</w:t>
            </w:r>
          </w:p>
        </w:tc>
        <w:tc>
          <w:tcPr>
            <w:tcW w:w="780" w:type="dxa"/>
            <w:vAlign w:val="bottom"/>
          </w:tcPr>
          <w:p>
            <w:pPr>
              <w:jc w:val="right"/>
              <w:ind w:right="237"/>
              <w:spacing w:after="0" w:line="135" w:lineRule="exact"/>
              <w:rPr>
                <w:sz w:val="20"/>
                <w:szCs w:val="20"/>
                <w:color w:val="auto"/>
              </w:rPr>
            </w:pPr>
            <w:r>
              <w:rPr>
                <w:rFonts w:ascii="Arial" w:cs="Arial" w:eastAsia="Arial" w:hAnsi="Arial"/>
                <w:sz w:val="13"/>
                <w:szCs w:val="13"/>
                <w:b w:val="1"/>
                <w:bCs w:val="1"/>
                <w:color w:val="auto"/>
              </w:rPr>
              <w:t>Par /</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40" w:type="dxa"/>
            <w:vAlign w:val="bottom"/>
            <w:vMerge w:val="continue"/>
          </w:tcPr>
          <w:p>
            <w:pPr>
              <w:spacing w:after="0"/>
              <w:rPr>
                <w:sz w:val="13"/>
                <w:szCs w:val="13"/>
                <w:color w:val="auto"/>
              </w:rPr>
            </w:pPr>
          </w:p>
        </w:tc>
        <w:tc>
          <w:tcPr>
            <w:tcW w:w="1100" w:type="dxa"/>
            <w:vAlign w:val="bottom"/>
          </w:tcPr>
          <w:p>
            <w:pPr>
              <w:ind w:left="440"/>
              <w:spacing w:after="0"/>
              <w:rPr>
                <w:sz w:val="20"/>
                <w:szCs w:val="20"/>
                <w:color w:val="auto"/>
              </w:rPr>
            </w:pPr>
            <w:r>
              <w:rPr>
                <w:rFonts w:ascii="Arial" w:cs="Arial" w:eastAsia="Arial" w:hAnsi="Arial"/>
                <w:sz w:val="13"/>
                <w:szCs w:val="13"/>
                <w:b w:val="1"/>
                <w:bCs w:val="1"/>
                <w:color w:val="auto"/>
              </w:rPr>
              <w:t>Expiration</w:t>
            </w:r>
          </w:p>
        </w:tc>
        <w:tc>
          <w:tcPr>
            <w:tcW w:w="182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Industry</w:t>
            </w:r>
          </w:p>
        </w:tc>
        <w:tc>
          <w:tcPr>
            <w:tcW w:w="106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1060" w:type="dxa"/>
            <w:vAlign w:val="bottom"/>
          </w:tcPr>
          <w:p>
            <w:pPr>
              <w:jc w:val="center"/>
              <w:ind w:right="13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80" w:type="dxa"/>
            <w:vAlign w:val="bottom"/>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10"/>
        </w:trPr>
        <w:tc>
          <w:tcPr>
            <w:tcW w:w="6160" w:type="dxa"/>
            <w:vAlign w:val="bottom"/>
            <w:tcBorders>
              <w:top w:val="single" w:sz="8" w:color="auto"/>
            </w:tcBorders>
            <w:gridSpan w:val="3"/>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 xml:space="preserve">Investments in Non-Controlled, Non-Affiliated Portfolio Companies—153.0% </w:t>
            </w:r>
            <w:r>
              <w:rPr>
                <w:rFonts w:ascii="Arial" w:cs="Arial" w:eastAsia="Arial" w:hAnsi="Arial"/>
                <w:sz w:val="9"/>
                <w:szCs w:val="9"/>
                <w:b w:val="1"/>
                <w:bCs w:val="1"/>
                <w:color w:val="auto"/>
              </w:rPr>
              <w:t>(1), (2)</w:t>
            </w:r>
          </w:p>
        </w:tc>
        <w:tc>
          <w:tcPr>
            <w:tcW w:w="1060" w:type="dxa"/>
            <w:vAlign w:val="bottom"/>
            <w:tcBorders>
              <w:top w:val="single" w:sz="8" w:color="auto"/>
            </w:tcBorders>
            <w:shd w:val="clear" w:color="auto" w:fill="CCEEFF"/>
          </w:tcPr>
          <w:p>
            <w:pPr>
              <w:spacing w:after="0"/>
              <w:rPr>
                <w:sz w:val="9"/>
                <w:szCs w:val="9"/>
                <w:color w:val="auto"/>
              </w:rPr>
            </w:pPr>
          </w:p>
        </w:tc>
        <w:tc>
          <w:tcPr>
            <w:tcW w:w="10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2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Debt—39.1%</w:t>
            </w:r>
          </w:p>
        </w:tc>
        <w:tc>
          <w:tcPr>
            <w:tcW w:w="1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Aircell Business Aviation Services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03/21/2018</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Communications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11.25%</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22,689,469</w:t>
            </w:r>
          </w:p>
        </w:tc>
        <w:tc>
          <w:tcPr>
            <w:tcW w:w="2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22,109,951</w:t>
            </w: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23,483,601</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AKA Diversified Holdings, Inc.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04/02/2018</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0"/>
              </w:rPr>
              <w:t>Retail</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11.97%</w:t>
            </w:r>
          </w:p>
        </w:tc>
        <w:tc>
          <w:tcPr>
            <w:tcW w:w="10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L+1,175</w:t>
            </w:r>
            <w:r>
              <w:rPr>
                <w:rFonts w:ascii="Arial" w:cs="Arial" w:eastAsia="Arial" w:hAnsi="Arial"/>
                <w:sz w:val="10"/>
                <w:szCs w:val="10"/>
                <w:color w:val="auto"/>
              </w:rPr>
              <w:t>(8)</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44,459,443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43,751,988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45,126,826</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AKA Diversified Holdings, Inc. (Revolver) </w:t>
            </w:r>
            <w:r>
              <w:rPr>
                <w:rFonts w:ascii="Arial" w:cs="Arial" w:eastAsia="Arial" w:hAnsi="Arial"/>
                <w:sz w:val="10"/>
                <w:szCs w:val="10"/>
                <w:color w:val="auto"/>
              </w:rPr>
              <w:t>(9)</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04/02/2018</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0"/>
              </w:rPr>
              <w:t>Retail</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4,371,469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65,620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292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w w:val="94"/>
              </w:rPr>
              <w:t>12/21/2020  Hotels, Motels, Inns and Gaming</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9.25%</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23,573,292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23,268,725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23,180,325</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10/21/2020</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5"/>
              </w:rPr>
              <w:t>Consumer Products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4,477,500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4,418,746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4,477,500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06/30/2020</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91"/>
              </w:rPr>
              <w:t>Building Materials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25,500,000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25,254,194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25,500,000</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2920" w:type="dxa"/>
            <w:vAlign w:val="bottom"/>
            <w:gridSpan w:val="2"/>
          </w:tcPr>
          <w:p>
            <w:pPr>
              <w:ind w:left="440"/>
              <w:spacing w:after="0" w:line="135" w:lineRule="exact"/>
              <w:rPr>
                <w:sz w:val="20"/>
                <w:szCs w:val="20"/>
                <w:color w:val="auto"/>
              </w:rPr>
            </w:pPr>
            <w:r>
              <w:rPr>
                <w:rFonts w:ascii="Arial" w:cs="Arial" w:eastAsia="Arial" w:hAnsi="Arial"/>
                <w:sz w:val="13"/>
                <w:szCs w:val="13"/>
                <w:color w:val="auto"/>
                <w:w w:val="94"/>
              </w:rPr>
              <w:t>08/19/2019   Chemicals, Plastics and Rubber</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21,644,154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21,333,439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20,091,220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10/31/2017</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9.63%</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5,626,850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5,626,850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5,007,897</w:t>
            </w:r>
          </w:p>
        </w:tc>
        <w:tc>
          <w:tcPr>
            <w:tcW w:w="0" w:type="dxa"/>
            <w:vAlign w:val="bottom"/>
          </w:tcPr>
          <w:p>
            <w:pPr>
              <w:spacing w:after="0"/>
              <w:rPr>
                <w:sz w:val="1"/>
                <w:szCs w:val="1"/>
                <w:color w:val="auto"/>
              </w:rPr>
            </w:pP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100" w:type="dxa"/>
            <w:vAlign w:val="bottom"/>
          </w:tcPr>
          <w:p>
            <w:pPr>
              <w:ind w:left="440"/>
              <w:spacing w:after="0" w:line="121" w:lineRule="exact"/>
              <w:rPr>
                <w:sz w:val="20"/>
                <w:szCs w:val="20"/>
                <w:color w:val="auto"/>
              </w:rPr>
            </w:pPr>
            <w:r>
              <w:rPr>
                <w:rFonts w:ascii="Arial" w:cs="Arial" w:eastAsia="Arial" w:hAnsi="Arial"/>
                <w:sz w:val="13"/>
                <w:szCs w:val="13"/>
                <w:color w:val="auto"/>
                <w:w w:val="98"/>
              </w:rPr>
              <w:t>12/16/2019</w:t>
            </w:r>
          </w:p>
        </w:tc>
        <w:tc>
          <w:tcPr>
            <w:tcW w:w="182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90"/>
              </w:rPr>
              <w:t>Mining, Steel, Iron and Non-</w:t>
            </w:r>
          </w:p>
        </w:tc>
        <w:tc>
          <w:tcPr>
            <w:tcW w:w="10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11.50%</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8"/>
              </w:rPr>
              <w:t>14,250,000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14,137,010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11,970,000</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6"/>
              </w:rPr>
              <w:t>Precious Metals</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06/18/2019</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8"/>
              </w:rPr>
              <w:t>Electronics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13,435,343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13,339,249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13,407,176</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04/21/2017</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4"/>
              </w:rPr>
              <w:t>Aerospace and Defense</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19,704,329</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19,043,541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17,733,896</w:t>
            </w: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International (UK) Limited </w:t>
            </w:r>
            <w:r>
              <w:rPr>
                <w:rFonts w:ascii="Arial" w:cs="Arial" w:eastAsia="Arial" w:hAnsi="Arial"/>
                <w:sz w:val="10"/>
                <w:szCs w:val="10"/>
                <w:color w:val="auto"/>
              </w:rPr>
              <w:t>(10), (12), (13)</w:t>
            </w:r>
          </w:p>
        </w:tc>
        <w:tc>
          <w:tcPr>
            <w:tcW w:w="2920" w:type="dxa"/>
            <w:vAlign w:val="bottom"/>
            <w:gridSpan w:val="2"/>
            <w:shd w:val="clear" w:color="auto" w:fill="CCEEFF"/>
          </w:tcPr>
          <w:p>
            <w:pPr>
              <w:ind w:left="440"/>
              <w:spacing w:after="0" w:line="121" w:lineRule="exact"/>
              <w:rPr>
                <w:sz w:val="20"/>
                <w:szCs w:val="20"/>
                <w:color w:val="auto"/>
              </w:rPr>
            </w:pPr>
            <w:r>
              <w:rPr>
                <w:rFonts w:ascii="Arial" w:cs="Arial" w:eastAsia="Arial" w:hAnsi="Arial"/>
                <w:sz w:val="13"/>
                <w:szCs w:val="13"/>
                <w:color w:val="auto"/>
                <w:w w:val="94"/>
              </w:rPr>
              <w:t>09/28/2018  Hotels, Motels, Inns and Gaming</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13.00%</w:t>
            </w:r>
          </w:p>
        </w:tc>
        <w:tc>
          <w:tcPr>
            <w:tcW w:w="106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L+1,250</w:t>
            </w:r>
            <w:r>
              <w:rPr>
                <w:rFonts w:ascii="Arial" w:cs="Arial" w:eastAsia="Arial" w:hAnsi="Arial"/>
                <w:sz w:val="10"/>
                <w:szCs w:val="10"/>
                <w:color w:val="auto"/>
              </w:rPr>
              <w:t>(8)</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8"/>
              </w:rPr>
              <w:t>19,947,600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30,053,647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29,873,876</w:t>
            </w:r>
          </w:p>
        </w:tc>
        <w:tc>
          <w:tcPr>
            <w:tcW w:w="0" w:type="dxa"/>
            <w:vAlign w:val="bottom"/>
          </w:tcPr>
          <w:p>
            <w:pPr>
              <w:spacing w:after="0"/>
              <w:rPr>
                <w:sz w:val="1"/>
                <w:szCs w:val="1"/>
                <w:color w:val="auto"/>
              </w:rPr>
            </w:pPr>
          </w:p>
        </w:tc>
      </w:tr>
      <w:tr>
        <w:trPr>
          <w:trHeight w:val="163"/>
        </w:trPr>
        <w:tc>
          <w:tcPr>
            <w:tcW w:w="3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(PIK 0.50%)</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(10), (12), (13)</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02/12/2020</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7"/>
              </w:rPr>
              <w:t>Buildings and Real Estate</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11.08%</w:t>
            </w:r>
          </w:p>
        </w:tc>
        <w:tc>
          <w:tcPr>
            <w:tcW w:w="10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(8)</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24,386,987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38,764,474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36,411,706</w:t>
            </w: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Med Acquisition, Inc.</w:t>
            </w:r>
          </w:p>
        </w:tc>
        <w:tc>
          <w:tcPr>
            <w:tcW w:w="1100" w:type="dxa"/>
            <w:vAlign w:val="bottom"/>
            <w:shd w:val="clear" w:color="auto" w:fill="CCEEFF"/>
          </w:tcPr>
          <w:p>
            <w:pPr>
              <w:ind w:left="440"/>
              <w:spacing w:after="0" w:line="121" w:lineRule="exact"/>
              <w:rPr>
                <w:sz w:val="20"/>
                <w:szCs w:val="20"/>
                <w:color w:val="auto"/>
              </w:rPr>
            </w:pPr>
            <w:r>
              <w:rPr>
                <w:rFonts w:ascii="Arial" w:cs="Arial" w:eastAsia="Arial" w:hAnsi="Arial"/>
                <w:sz w:val="13"/>
                <w:szCs w:val="13"/>
                <w:color w:val="auto"/>
                <w:w w:val="98"/>
              </w:rPr>
              <w:t>08/13/2021</w:t>
            </w:r>
          </w:p>
        </w:tc>
        <w:tc>
          <w:tcPr>
            <w:tcW w:w="182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7"/>
              </w:rPr>
              <w:t>Healthcare, Education and</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10.00%</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8,739,063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8,739,063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8,739,062</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90"/>
              </w:rPr>
              <w:t>Childcare</w:t>
            </w: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U.S. Well Services,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05/02/2019</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12.00%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L+1,150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15,297,762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15,036,838</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15,308,835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6"/>
              </w:rPr>
              <w:t>284,877,715</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280,377,540</w:t>
            </w:r>
          </w:p>
        </w:tc>
        <w:tc>
          <w:tcPr>
            <w:tcW w:w="0" w:type="dxa"/>
            <w:vAlign w:val="bottom"/>
          </w:tcPr>
          <w:p>
            <w:pPr>
              <w:spacing w:after="0"/>
              <w:rPr>
                <w:sz w:val="1"/>
                <w:szCs w:val="1"/>
                <w:color w:val="auto"/>
              </w:rPr>
            </w:pPr>
          </w:p>
        </w:tc>
      </w:tr>
      <w:tr>
        <w:trPr>
          <w:trHeight w:val="142"/>
        </w:trPr>
        <w:tc>
          <w:tcPr>
            <w:tcW w:w="324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Debt—83.7%</w:t>
            </w:r>
          </w:p>
        </w:tc>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10/31/2018</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5"/>
              </w:rPr>
              <w:t>Consumer Products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8.50%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18,000,000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16,544,788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16,076,340</w:t>
            </w:r>
          </w:p>
        </w:tc>
        <w:tc>
          <w:tcPr>
            <w:tcW w:w="0" w:type="dxa"/>
            <w:vAlign w:val="bottom"/>
          </w:tcPr>
          <w:p>
            <w:pPr>
              <w:spacing w:after="0"/>
              <w:rPr>
                <w:sz w:val="1"/>
                <w:szCs w:val="1"/>
                <w:color w:val="auto"/>
              </w:rPr>
            </w:pP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1100" w:type="dxa"/>
            <w:vAlign w:val="bottom"/>
          </w:tcPr>
          <w:p>
            <w:pPr>
              <w:ind w:left="440"/>
              <w:spacing w:after="0" w:line="121" w:lineRule="exact"/>
              <w:rPr>
                <w:sz w:val="20"/>
                <w:szCs w:val="20"/>
                <w:color w:val="auto"/>
              </w:rPr>
            </w:pPr>
            <w:r>
              <w:rPr>
                <w:rFonts w:ascii="Arial" w:cs="Arial" w:eastAsia="Arial" w:hAnsi="Arial"/>
                <w:sz w:val="13"/>
                <w:szCs w:val="13"/>
                <w:color w:val="auto"/>
                <w:w w:val="98"/>
              </w:rPr>
              <w:t>09/01/2017</w:t>
            </w:r>
          </w:p>
        </w:tc>
        <w:tc>
          <w:tcPr>
            <w:tcW w:w="182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8"/>
              </w:rPr>
              <w:t>Diversified Natural Resources,</w:t>
            </w:r>
          </w:p>
        </w:tc>
        <w:tc>
          <w:tcPr>
            <w:tcW w:w="10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11.50%</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8"/>
              </w:rPr>
              <w:t>25,400,000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25,400,000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24,130,000</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20" w:type="dxa"/>
            <w:vAlign w:val="bottom"/>
          </w:tcPr>
          <w:p>
            <w:pPr>
              <w:jc w:val="center"/>
              <w:ind w:right="17"/>
              <w:spacing w:after="0"/>
              <w:rPr>
                <w:sz w:val="20"/>
                <w:szCs w:val="20"/>
                <w:color w:val="auto"/>
              </w:rPr>
            </w:pPr>
            <w:r>
              <w:rPr>
                <w:rFonts w:ascii="Arial" w:cs="Arial" w:eastAsia="Arial" w:hAnsi="Arial"/>
                <w:sz w:val="13"/>
                <w:szCs w:val="13"/>
                <w:color w:val="auto"/>
                <w:w w:val="87"/>
              </w:rPr>
              <w:t>Precious Metals and Minerals</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Ascensus, Inc.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12/02/2020</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Financial Services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15,500,000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15,322,421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15,441,875</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(13)</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03/04/2022</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Financial Services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19,000,000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18,721,641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18,810,000</w:t>
            </w: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Bennu Oil &amp; Gas, LLC</w:t>
            </w:r>
          </w:p>
        </w:tc>
        <w:tc>
          <w:tcPr>
            <w:tcW w:w="1100" w:type="dxa"/>
            <w:vAlign w:val="bottom"/>
            <w:shd w:val="clear" w:color="auto" w:fill="CCEEFF"/>
          </w:tcPr>
          <w:p>
            <w:pPr>
              <w:ind w:left="440"/>
              <w:spacing w:after="0" w:line="121" w:lineRule="exact"/>
              <w:rPr>
                <w:sz w:val="20"/>
                <w:szCs w:val="20"/>
                <w:color w:val="auto"/>
              </w:rPr>
            </w:pPr>
            <w:r>
              <w:rPr>
                <w:rFonts w:ascii="Arial" w:cs="Arial" w:eastAsia="Arial" w:hAnsi="Arial"/>
                <w:sz w:val="13"/>
                <w:szCs w:val="13"/>
                <w:color w:val="auto"/>
                <w:w w:val="98"/>
              </w:rPr>
              <w:t>11/01/2018</w:t>
            </w:r>
          </w:p>
        </w:tc>
        <w:tc>
          <w:tcPr>
            <w:tcW w:w="182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12.25%</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L+1,100</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8"/>
              </w:rPr>
              <w:t>26,484,773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25,150,663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20,393,275</w:t>
            </w:r>
          </w:p>
        </w:tc>
        <w:tc>
          <w:tcPr>
            <w:tcW w:w="0" w:type="dxa"/>
            <w:vAlign w:val="bottom"/>
          </w:tcPr>
          <w:p>
            <w:pPr>
              <w:spacing w:after="0"/>
              <w:rPr>
                <w:sz w:val="1"/>
                <w:szCs w:val="1"/>
                <w:color w:val="auto"/>
              </w:rPr>
            </w:pPr>
          </w:p>
        </w:tc>
      </w:tr>
      <w:tr>
        <w:trPr>
          <w:trHeight w:val="163"/>
        </w:trPr>
        <w:tc>
          <w:tcPr>
            <w:tcW w:w="3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(PIK 2.50%)</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Foundation Building Materials,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04/30/2019</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91"/>
              </w:rPr>
              <w:t>Building Materials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13.25%</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P+1,000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45,000,000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44,625,152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45,900,000</w:t>
            </w: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Foundation Building Materials, LLC</w:t>
            </w:r>
          </w:p>
        </w:tc>
        <w:tc>
          <w:tcPr>
            <w:tcW w:w="1100" w:type="dxa"/>
            <w:vAlign w:val="bottom"/>
            <w:shd w:val="clear" w:color="auto" w:fill="CCEEFF"/>
          </w:tcPr>
          <w:p>
            <w:pPr>
              <w:ind w:left="440"/>
              <w:spacing w:after="0" w:line="121" w:lineRule="exact"/>
              <w:rPr>
                <w:sz w:val="20"/>
                <w:szCs w:val="20"/>
                <w:color w:val="auto"/>
              </w:rPr>
            </w:pPr>
            <w:r>
              <w:rPr>
                <w:rFonts w:ascii="Arial" w:cs="Arial" w:eastAsia="Arial" w:hAnsi="Arial"/>
                <w:sz w:val="13"/>
                <w:szCs w:val="13"/>
                <w:color w:val="auto"/>
                <w:w w:val="98"/>
              </w:rPr>
              <w:t>04/30/2019</w:t>
            </w:r>
          </w:p>
        </w:tc>
        <w:tc>
          <w:tcPr>
            <w:tcW w:w="182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91"/>
              </w:rPr>
              <w:t>Building Materials</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14.25%</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P+1,100</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8"/>
              </w:rPr>
              <w:t>33,109,864</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32,588,028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33,772,061</w:t>
            </w:r>
          </w:p>
        </w:tc>
        <w:tc>
          <w:tcPr>
            <w:tcW w:w="0" w:type="dxa"/>
            <w:vAlign w:val="bottom"/>
          </w:tcPr>
          <w:p>
            <w:pPr>
              <w:spacing w:after="0"/>
              <w:rPr>
                <w:sz w:val="1"/>
                <w:szCs w:val="1"/>
                <w:color w:val="auto"/>
              </w:rPr>
            </w:pPr>
          </w:p>
        </w:tc>
      </w:tr>
      <w:tr>
        <w:trPr>
          <w:trHeight w:val="163"/>
        </w:trPr>
        <w:tc>
          <w:tcPr>
            <w:tcW w:w="3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(PIK 1.00%)</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09/30/2020</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92"/>
              </w:rPr>
              <w:t>Distribution</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41,250,000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39,088,044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40,012,500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03/01/2017</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6"/>
              </w:rPr>
              <w:t>Cargo Transport</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4,391,420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4,391,422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1,229,598</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J.A. Cosmetics Holdings, Inc.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07/31/2019</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5"/>
              </w:rPr>
              <w:t>Consumer Products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11.00%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34,000,000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33,476,169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34,340,000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292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w w:val="94"/>
              </w:rPr>
              <w:t>10/29/2019  Hotels, Motels, Inns and Gaming</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13.00%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48,765,129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48,307,757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48,765,129</w:t>
            </w:r>
          </w:p>
        </w:tc>
        <w:tc>
          <w:tcPr>
            <w:tcW w:w="0" w:type="dxa"/>
            <w:vAlign w:val="bottom"/>
          </w:tcPr>
          <w:p>
            <w:pPr>
              <w:spacing w:after="0"/>
              <w:rPr>
                <w:sz w:val="1"/>
                <w:szCs w:val="1"/>
                <w:color w:val="auto"/>
              </w:rPr>
            </w:pP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Language Line, LLC</w:t>
            </w:r>
          </w:p>
        </w:tc>
        <w:tc>
          <w:tcPr>
            <w:tcW w:w="1100" w:type="dxa"/>
            <w:vAlign w:val="bottom"/>
          </w:tcPr>
          <w:p>
            <w:pPr>
              <w:ind w:left="440"/>
              <w:spacing w:after="0" w:line="121" w:lineRule="exact"/>
              <w:rPr>
                <w:sz w:val="20"/>
                <w:szCs w:val="20"/>
                <w:color w:val="auto"/>
              </w:rPr>
            </w:pPr>
            <w:r>
              <w:rPr>
                <w:rFonts w:ascii="Arial" w:cs="Arial" w:eastAsia="Arial" w:hAnsi="Arial"/>
                <w:sz w:val="13"/>
                <w:szCs w:val="13"/>
                <w:color w:val="auto"/>
                <w:w w:val="98"/>
              </w:rPr>
              <w:t>07/07/2022</w:t>
            </w:r>
          </w:p>
        </w:tc>
        <w:tc>
          <w:tcPr>
            <w:tcW w:w="182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10.75%</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L+975</w:t>
            </w: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8"/>
              </w:rPr>
              <w:t>40,312,500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39,711,804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40,211,719</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20" w:type="dxa"/>
            <w:vAlign w:val="bottom"/>
          </w:tcPr>
          <w:p>
            <w:pPr>
              <w:jc w:val="center"/>
              <w:ind w:right="17"/>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Linc USA GP and Linc Energy Finance (USA), Inc. </w:t>
            </w:r>
            <w:r>
              <w:rPr>
                <w:rFonts w:ascii="Arial" w:cs="Arial" w:eastAsia="Arial" w:hAnsi="Arial"/>
                <w:sz w:val="10"/>
                <w:szCs w:val="10"/>
                <w:color w:val="auto"/>
              </w:rPr>
              <w:t>(5)</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10/31/2017</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11,875,000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11,667,848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9,143,751</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05/15/2019</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45,000,000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44,698,345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31,500,000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07/07/2021</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4"/>
              </w:rPr>
              <w:t>Business Services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11.75%</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41,250,000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40,883,259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40,425,000</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(10), (13)</w:t>
            </w:r>
          </w:p>
        </w:tc>
        <w:tc>
          <w:tcPr>
            <w:tcW w:w="2920" w:type="dxa"/>
            <w:vAlign w:val="bottom"/>
            <w:gridSpan w:val="2"/>
          </w:tcPr>
          <w:p>
            <w:pPr>
              <w:ind w:left="440"/>
              <w:spacing w:after="0" w:line="135" w:lineRule="exact"/>
              <w:rPr>
                <w:sz w:val="20"/>
                <w:szCs w:val="20"/>
                <w:color w:val="auto"/>
              </w:rPr>
            </w:pPr>
            <w:r>
              <w:rPr>
                <w:rFonts w:ascii="Arial" w:cs="Arial" w:eastAsia="Arial" w:hAnsi="Arial"/>
                <w:sz w:val="13"/>
                <w:szCs w:val="13"/>
                <w:color w:val="auto"/>
                <w:w w:val="94"/>
              </w:rPr>
              <w:t>12/17/2021  Hotels, Motels, Inns and Gaming</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75,000,000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75,000,000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75,586,475</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Penton Media, Inc.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10/02/2020</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90"/>
              </w:rPr>
              <w:t>Media</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L+775</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19,698,091</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19,478,649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19,615,950</w:t>
            </w:r>
          </w:p>
        </w:tc>
        <w:tc>
          <w:tcPr>
            <w:tcW w:w="0" w:type="dxa"/>
            <w:vAlign w:val="bottom"/>
          </w:tcPr>
          <w:p>
            <w:pPr>
              <w:spacing w:after="0"/>
              <w:rPr>
                <w:sz w:val="1"/>
                <w:szCs w:val="1"/>
                <w:color w:val="auto"/>
              </w:rPr>
            </w:pPr>
          </w:p>
        </w:tc>
      </w:tr>
      <w:tr>
        <w:trPr>
          <w:trHeight w:val="121"/>
        </w:trPr>
        <w:tc>
          <w:tcPr>
            <w:tcW w:w="3240" w:type="dxa"/>
            <w:vAlign w:val="bottom"/>
          </w:tcPr>
          <w:p>
            <w:pPr>
              <w:spacing w:after="0" w:line="121" w:lineRule="exact"/>
              <w:rPr>
                <w:sz w:val="20"/>
                <w:szCs w:val="20"/>
                <w:color w:val="auto"/>
              </w:rPr>
            </w:pPr>
            <w:r>
              <w:rPr>
                <w:rFonts w:ascii="Arial" w:cs="Arial" w:eastAsia="Arial" w:hAnsi="Arial"/>
                <w:sz w:val="13"/>
                <w:szCs w:val="13"/>
                <w:color w:val="auto"/>
              </w:rPr>
              <w:t>Pre-Paid Legal Services, Inc.</w:t>
            </w:r>
          </w:p>
        </w:tc>
        <w:tc>
          <w:tcPr>
            <w:tcW w:w="1100" w:type="dxa"/>
            <w:vAlign w:val="bottom"/>
          </w:tcPr>
          <w:p>
            <w:pPr>
              <w:ind w:left="440"/>
              <w:spacing w:after="0" w:line="121" w:lineRule="exact"/>
              <w:rPr>
                <w:sz w:val="20"/>
                <w:szCs w:val="20"/>
                <w:color w:val="auto"/>
              </w:rPr>
            </w:pPr>
            <w:r>
              <w:rPr>
                <w:rFonts w:ascii="Arial" w:cs="Arial" w:eastAsia="Arial" w:hAnsi="Arial"/>
                <w:sz w:val="13"/>
                <w:szCs w:val="13"/>
                <w:color w:val="auto"/>
                <w:w w:val="98"/>
              </w:rPr>
              <w:t>07/01/2020</w:t>
            </w:r>
          </w:p>
        </w:tc>
        <w:tc>
          <w:tcPr>
            <w:tcW w:w="1820" w:type="dxa"/>
            <w:vAlign w:val="bottom"/>
          </w:tcPr>
          <w:p>
            <w:pPr>
              <w:jc w:val="center"/>
              <w:ind w:right="37"/>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tcPr>
          <w:p>
            <w:pPr>
              <w:jc w:val="right"/>
              <w:ind w:right="177"/>
              <w:spacing w:after="0" w:line="121" w:lineRule="exact"/>
              <w:rPr>
                <w:sz w:val="20"/>
                <w:szCs w:val="20"/>
                <w:color w:val="auto"/>
              </w:rPr>
            </w:pPr>
            <w:r>
              <w:rPr>
                <w:rFonts w:ascii="Arial" w:cs="Arial" w:eastAsia="Arial" w:hAnsi="Arial"/>
                <w:sz w:val="13"/>
                <w:szCs w:val="13"/>
                <w:color w:val="auto"/>
              </w:rPr>
              <w:t>10.25%</w:t>
            </w:r>
          </w:p>
        </w:tc>
        <w:tc>
          <w:tcPr>
            <w:tcW w:w="10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780" w:type="dxa"/>
            <w:vAlign w:val="bottom"/>
          </w:tcPr>
          <w:p>
            <w:pPr>
              <w:jc w:val="right"/>
              <w:ind w:right="57"/>
              <w:spacing w:after="0" w:line="121" w:lineRule="exact"/>
              <w:rPr>
                <w:sz w:val="20"/>
                <w:szCs w:val="20"/>
                <w:color w:val="auto"/>
              </w:rPr>
            </w:pPr>
            <w:r>
              <w:rPr>
                <w:rFonts w:ascii="Arial" w:cs="Arial" w:eastAsia="Arial" w:hAnsi="Arial"/>
                <w:sz w:val="13"/>
                <w:szCs w:val="13"/>
                <w:color w:val="auto"/>
                <w:w w:val="98"/>
              </w:rPr>
              <w:t>56,750,000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56,098,358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56,608,125</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20" w:type="dxa"/>
            <w:vAlign w:val="bottom"/>
          </w:tcPr>
          <w:p>
            <w:pPr>
              <w:jc w:val="center"/>
              <w:ind w:right="17"/>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Prime Security Services Borrower, LLC</w:t>
            </w:r>
          </w:p>
        </w:tc>
        <w:tc>
          <w:tcPr>
            <w:tcW w:w="1100" w:type="dxa"/>
            <w:vAlign w:val="bottom"/>
            <w:shd w:val="clear" w:color="auto" w:fill="CCEEFF"/>
          </w:tcPr>
          <w:p>
            <w:pPr>
              <w:ind w:left="440"/>
              <w:spacing w:after="0" w:line="121" w:lineRule="exact"/>
              <w:rPr>
                <w:sz w:val="20"/>
                <w:szCs w:val="20"/>
                <w:color w:val="auto"/>
              </w:rPr>
            </w:pPr>
            <w:r>
              <w:rPr>
                <w:rFonts w:ascii="Arial" w:cs="Arial" w:eastAsia="Arial" w:hAnsi="Arial"/>
                <w:sz w:val="13"/>
                <w:szCs w:val="13"/>
                <w:color w:val="auto"/>
                <w:w w:val="98"/>
              </w:rPr>
              <w:t>07/01/2022</w:t>
            </w:r>
          </w:p>
        </w:tc>
        <w:tc>
          <w:tcPr>
            <w:tcW w:w="182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9.75%</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L+875</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8"/>
              </w:rPr>
              <w:t>28,500,000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28,082,664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28,001,250</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619,237,012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599,963,048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Notes—20.7%</w:t>
            </w:r>
          </w:p>
        </w:tc>
        <w:tc>
          <w:tcPr>
            <w:tcW w:w="11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Affinion Group Holdings, Inc.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09/14/2018</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5"/>
              </w:rPr>
              <w:t>Consumer Products</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41,389,881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37,715,391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15,728,155</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Investments LLC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08/15/2018</w:t>
            </w:r>
          </w:p>
        </w:tc>
        <w:tc>
          <w:tcPr>
            <w:tcW w:w="182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5"/>
              </w:rPr>
              <w:t>Consumer Products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21,625,412</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18,687,177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14,489,026</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02/15/2019</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Financial Services</w:t>
            </w: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12.00%</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8,930,000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8,819,557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8,872,566</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LP Holdings, LLC</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08/20/2021</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12.00%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27,475,553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26,893,410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26,926,042</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(9)</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02/20/2017</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7"/>
              </w:rPr>
              <w:t>Environmental Services</w:t>
            </w:r>
          </w:p>
        </w:tc>
        <w:tc>
          <w:tcPr>
            <w:tcW w:w="1060" w:type="dxa"/>
            <w:vAlign w:val="bottom"/>
          </w:tcPr>
          <w:p>
            <w:pPr>
              <w:jc w:val="right"/>
              <w:ind w:right="297"/>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11,124,447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27,811</w:t>
            </w:r>
          </w:p>
        </w:tc>
        <w:tc>
          <w:tcPr>
            <w:tcW w:w="0" w:type="dxa"/>
            <w:vAlign w:val="bottom"/>
          </w:tcPr>
          <w:p>
            <w:pPr>
              <w:spacing w:after="0"/>
              <w:rPr>
                <w:sz w:val="1"/>
                <w:szCs w:val="1"/>
                <w:color w:val="auto"/>
              </w:rPr>
            </w:pPr>
          </w:p>
        </w:tc>
      </w:tr>
      <w:tr>
        <w:trPr>
          <w:trHeight w:val="121"/>
        </w:trPr>
        <w:tc>
          <w:tcPr>
            <w:tcW w:w="324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Credit Infonet, Inc.</w:t>
            </w:r>
          </w:p>
        </w:tc>
        <w:tc>
          <w:tcPr>
            <w:tcW w:w="1100" w:type="dxa"/>
            <w:vAlign w:val="bottom"/>
            <w:shd w:val="clear" w:color="auto" w:fill="CCEEFF"/>
          </w:tcPr>
          <w:p>
            <w:pPr>
              <w:ind w:left="440"/>
              <w:spacing w:after="0" w:line="121" w:lineRule="exact"/>
              <w:rPr>
                <w:sz w:val="20"/>
                <w:szCs w:val="20"/>
                <w:color w:val="auto"/>
              </w:rPr>
            </w:pPr>
            <w:r>
              <w:rPr>
                <w:rFonts w:ascii="Arial" w:cs="Arial" w:eastAsia="Arial" w:hAnsi="Arial"/>
                <w:sz w:val="13"/>
                <w:szCs w:val="13"/>
                <w:color w:val="auto"/>
                <w:w w:val="98"/>
              </w:rPr>
              <w:t>10/26/2018</w:t>
            </w:r>
          </w:p>
        </w:tc>
        <w:tc>
          <w:tcPr>
            <w:tcW w:w="1820" w:type="dxa"/>
            <w:vAlign w:val="bottom"/>
            <w:shd w:val="clear" w:color="auto" w:fill="CCEEFF"/>
          </w:tcPr>
          <w:p>
            <w:pPr>
              <w:jc w:val="center"/>
              <w:ind w:right="37"/>
              <w:spacing w:after="0" w:line="121" w:lineRule="exact"/>
              <w:rPr>
                <w:sz w:val="20"/>
                <w:szCs w:val="20"/>
                <w:color w:val="auto"/>
              </w:rPr>
            </w:pPr>
            <w:r>
              <w:rPr>
                <w:rFonts w:ascii="Arial" w:cs="Arial" w:eastAsia="Arial" w:hAnsi="Arial"/>
                <w:sz w:val="13"/>
                <w:szCs w:val="13"/>
                <w:color w:val="auto"/>
                <w:w w:val="84"/>
              </w:rPr>
              <w:t>Personal, Food and</w:t>
            </w:r>
          </w:p>
        </w:tc>
        <w:tc>
          <w:tcPr>
            <w:tcW w:w="1060" w:type="dxa"/>
            <w:vAlign w:val="bottom"/>
            <w:shd w:val="clear" w:color="auto" w:fill="CCEEFF"/>
          </w:tcPr>
          <w:p>
            <w:pPr>
              <w:jc w:val="right"/>
              <w:ind w:right="177"/>
              <w:spacing w:after="0" w:line="121" w:lineRule="exact"/>
              <w:rPr>
                <w:sz w:val="20"/>
                <w:szCs w:val="20"/>
                <w:color w:val="auto"/>
              </w:rPr>
            </w:pPr>
            <w:r>
              <w:rPr>
                <w:rFonts w:ascii="Arial" w:cs="Arial" w:eastAsia="Arial" w:hAnsi="Arial"/>
                <w:sz w:val="13"/>
                <w:szCs w:val="13"/>
                <w:color w:val="auto"/>
              </w:rPr>
              <w:t>13.00%</w:t>
            </w:r>
          </w:p>
        </w:tc>
        <w:tc>
          <w:tcPr>
            <w:tcW w:w="106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w w:val="98"/>
              </w:rPr>
              <w:t>10,800,349</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10,664,093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10,628,485</w:t>
            </w:r>
          </w:p>
        </w:tc>
        <w:tc>
          <w:tcPr>
            <w:tcW w:w="0" w:type="dxa"/>
            <w:vAlign w:val="bottom"/>
          </w:tcPr>
          <w:p>
            <w:pPr>
              <w:spacing w:after="0"/>
              <w:rPr>
                <w:sz w:val="1"/>
                <w:szCs w:val="1"/>
                <w:color w:val="auto"/>
              </w:rPr>
            </w:pPr>
          </w:p>
        </w:tc>
      </w:tr>
      <w:tr>
        <w:trPr>
          <w:trHeight w:val="163"/>
        </w:trPr>
        <w:tc>
          <w:tcPr>
            <w:tcW w:w="32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820" w:type="dxa"/>
            <w:vAlign w:val="bottom"/>
            <w:shd w:val="clear" w:color="auto" w:fill="CCEEFF"/>
          </w:tcPr>
          <w:p>
            <w:pPr>
              <w:jc w:val="center"/>
              <w:ind w:right="17"/>
              <w:spacing w:after="0"/>
              <w:rPr>
                <w:sz w:val="20"/>
                <w:szCs w:val="20"/>
                <w:color w:val="auto"/>
              </w:rPr>
            </w:pPr>
            <w:r>
              <w:rPr>
                <w:rFonts w:ascii="Arial" w:cs="Arial" w:eastAsia="Arial" w:hAnsi="Arial"/>
                <w:sz w:val="13"/>
                <w:szCs w:val="13"/>
                <w:color w:val="auto"/>
                <w:w w:val="86"/>
              </w:rPr>
              <w:t>Miscellaneous Services</w:t>
            </w:r>
          </w:p>
        </w:tc>
        <w:tc>
          <w:tcPr>
            <w:tcW w:w="10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(PIK 1.75%)</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MSPark, Inc.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06/15/2017</w:t>
            </w:r>
          </w:p>
        </w:tc>
        <w:tc>
          <w:tcPr>
            <w:tcW w:w="182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8"/>
              </w:rPr>
              <w:t>Printing and Publishing</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14.50%</w:t>
            </w:r>
            <w:r>
              <w:rPr>
                <w:rFonts w:ascii="Arial" w:cs="Arial" w:eastAsia="Arial" w:hAnsi="Arial"/>
                <w:sz w:val="10"/>
                <w:szCs w:val="10"/>
                <w:color w:val="auto"/>
              </w:rPr>
              <w:t>(7)</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15,000,000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14,836,009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t>
            </w:r>
            <w:r>
              <w:rPr>
                <w:rFonts w:ascii="Arial" w:cs="Arial" w:eastAsia="Arial" w:hAnsi="Arial"/>
                <w:sz w:val="10"/>
                <w:szCs w:val="10"/>
                <w:color w:val="auto"/>
              </w:rPr>
              <w:t>(5)</w:t>
            </w:r>
          </w:p>
        </w:tc>
        <w:tc>
          <w:tcPr>
            <w:tcW w:w="1100" w:type="dxa"/>
            <w:vAlign w:val="bottom"/>
            <w:shd w:val="clear" w:color="auto" w:fill="CCEEFF"/>
          </w:tcPr>
          <w:p>
            <w:pPr>
              <w:ind w:left="440"/>
              <w:spacing w:after="0" w:line="135" w:lineRule="exact"/>
              <w:rPr>
                <w:sz w:val="20"/>
                <w:szCs w:val="20"/>
                <w:color w:val="auto"/>
              </w:rPr>
            </w:pPr>
            <w:r>
              <w:rPr>
                <w:rFonts w:ascii="Arial" w:cs="Arial" w:eastAsia="Arial" w:hAnsi="Arial"/>
                <w:sz w:val="13"/>
                <w:szCs w:val="13"/>
                <w:color w:val="auto"/>
                <w:w w:val="98"/>
              </w:rPr>
              <w:t>11/15/2019</w:t>
            </w:r>
          </w:p>
        </w:tc>
        <w:tc>
          <w:tcPr>
            <w:tcW w:w="1820" w:type="dxa"/>
            <w:vAlign w:val="bottom"/>
            <w:shd w:val="clear" w:color="auto" w:fill="CCEEFF"/>
          </w:tcPr>
          <w:p>
            <w:pPr>
              <w:jc w:val="center"/>
              <w:ind w:right="37"/>
              <w:spacing w:after="0" w:line="135" w:lineRule="exact"/>
              <w:rPr>
                <w:sz w:val="20"/>
                <w:szCs w:val="20"/>
                <w:color w:val="auto"/>
              </w:rPr>
            </w:pPr>
            <w:r>
              <w:rPr>
                <w:rFonts w:ascii="Arial" w:cs="Arial" w:eastAsia="Arial" w:hAnsi="Arial"/>
                <w:sz w:val="13"/>
                <w:szCs w:val="13"/>
                <w:color w:val="auto"/>
                <w:w w:val="87"/>
              </w:rPr>
              <w:t>Oil and Gas</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15,204,289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14,829,719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1,520,429</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100" w:type="dxa"/>
            <w:vAlign w:val="bottom"/>
          </w:tcPr>
          <w:p>
            <w:pPr>
              <w:ind w:left="440"/>
              <w:spacing w:after="0" w:line="135" w:lineRule="exact"/>
              <w:rPr>
                <w:sz w:val="20"/>
                <w:szCs w:val="20"/>
                <w:color w:val="auto"/>
              </w:rPr>
            </w:pPr>
            <w:r>
              <w:rPr>
                <w:rFonts w:ascii="Arial" w:cs="Arial" w:eastAsia="Arial" w:hAnsi="Arial"/>
                <w:sz w:val="13"/>
                <w:szCs w:val="13"/>
                <w:color w:val="auto"/>
                <w:w w:val="98"/>
              </w:rPr>
              <w:t>04/15/2019</w:t>
            </w:r>
          </w:p>
        </w:tc>
        <w:tc>
          <w:tcPr>
            <w:tcW w:w="1820" w:type="dxa"/>
            <w:vAlign w:val="bottom"/>
          </w:tcPr>
          <w:p>
            <w:pPr>
              <w:jc w:val="center"/>
              <w:ind w:right="37"/>
              <w:spacing w:after="0" w:line="135" w:lineRule="exact"/>
              <w:rPr>
                <w:sz w:val="20"/>
                <w:szCs w:val="20"/>
                <w:color w:val="auto"/>
              </w:rPr>
            </w:pPr>
            <w:r>
              <w:rPr>
                <w:rFonts w:ascii="Arial" w:cs="Arial" w:eastAsia="Arial" w:hAnsi="Arial"/>
                <w:sz w:val="13"/>
                <w:szCs w:val="13"/>
                <w:color w:val="auto"/>
                <w:w w:val="89"/>
              </w:rPr>
              <w:t>Other Media</w:t>
            </w:r>
          </w:p>
        </w:tc>
        <w:tc>
          <w:tcPr>
            <w:tcW w:w="10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w:t>
            </w:r>
            <w:r>
              <w:rPr>
                <w:rFonts w:ascii="Arial" w:cs="Arial" w:eastAsia="Arial" w:hAnsi="Arial"/>
                <w:sz w:val="10"/>
                <w:szCs w:val="10"/>
                <w:color w:val="auto"/>
              </w:rPr>
              <w:t>(7)</w:t>
            </w:r>
          </w:p>
        </w:tc>
        <w:tc>
          <w:tcPr>
            <w:tcW w:w="10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8"/>
              </w:rPr>
              <w:t>42,275,000</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41,618,180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41,892,583</w:t>
            </w:r>
          </w:p>
        </w:tc>
        <w:tc>
          <w:tcPr>
            <w:tcW w:w="0" w:type="dxa"/>
            <w:vAlign w:val="bottom"/>
          </w:tcPr>
          <w:p>
            <w:pPr>
              <w:spacing w:after="0"/>
              <w:rPr>
                <w:sz w:val="1"/>
                <w:szCs w:val="1"/>
                <w:color w:val="auto"/>
              </w:rPr>
            </w:pPr>
          </w:p>
        </w:tc>
      </w:tr>
      <w:tr>
        <w:trPr>
          <w:trHeight w:val="135"/>
        </w:trPr>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292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w w:val="95"/>
              </w:rPr>
              <w:t>05/13/2021  Manufacturing / Basic Industries</w:t>
            </w:r>
          </w:p>
        </w:tc>
        <w:tc>
          <w:tcPr>
            <w:tcW w:w="1060" w:type="dxa"/>
            <w:vAlign w:val="bottom"/>
            <w:shd w:val="clear" w:color="auto" w:fill="CCEEFF"/>
          </w:tcPr>
          <w:p>
            <w:pPr>
              <w:jc w:val="right"/>
              <w:ind w:right="177"/>
              <w:spacing w:after="0" w:line="135" w:lineRule="exact"/>
              <w:rPr>
                <w:sz w:val="20"/>
                <w:szCs w:val="20"/>
                <w:color w:val="auto"/>
              </w:rPr>
            </w:pPr>
            <w:r>
              <w:rPr>
                <w:rFonts w:ascii="Arial" w:cs="Arial" w:eastAsia="Arial" w:hAnsi="Arial"/>
                <w:sz w:val="13"/>
                <w:szCs w:val="13"/>
                <w:color w:val="auto"/>
              </w:rPr>
              <w:t>11.00%</w:t>
            </w:r>
          </w:p>
        </w:tc>
        <w:tc>
          <w:tcPr>
            <w:tcW w:w="106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98"/>
              </w:rPr>
              <w:t>13,300,000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13,057,260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13,167,000</w:t>
            </w:r>
          </w:p>
        </w:tc>
        <w:tc>
          <w:tcPr>
            <w:tcW w:w="0" w:type="dxa"/>
            <w:vAlign w:val="bottom"/>
          </w:tcPr>
          <w:p>
            <w:pPr>
              <w:spacing w:after="0"/>
              <w:rPr>
                <w:sz w:val="1"/>
                <w:szCs w:val="1"/>
                <w:color w:val="auto"/>
              </w:rPr>
            </w:pPr>
          </w:p>
        </w:tc>
      </w:tr>
      <w:tr>
        <w:trPr>
          <w:trHeight w:val="142"/>
        </w:trPr>
        <w:tc>
          <w:tcPr>
            <w:tcW w:w="324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1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187,120,796</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148,252,097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Spread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880" w:type="dxa"/>
            <w:vAlign w:val="bottom"/>
            <w:gridSpan w:val="2"/>
          </w:tcPr>
          <w:p>
            <w:pPr>
              <w:ind w:left="140"/>
              <w:spacing w:after="0" w:line="135" w:lineRule="exact"/>
              <w:rPr>
                <w:sz w:val="20"/>
                <w:szCs w:val="20"/>
                <w:color w:val="auto"/>
              </w:rPr>
            </w:pPr>
            <w:r>
              <w:rPr>
                <w:rFonts w:ascii="Arial" w:cs="Arial" w:eastAsia="Arial" w:hAnsi="Arial"/>
                <w:sz w:val="13"/>
                <w:szCs w:val="13"/>
                <w:b w:val="1"/>
                <w:bCs w:val="1"/>
                <w:color w:val="auto"/>
              </w:rPr>
              <w:t>Maturity /</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380"/>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Above</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Par /</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Expiration</w:t>
            </w:r>
          </w:p>
        </w:tc>
        <w:tc>
          <w:tcPr>
            <w:tcW w:w="1740" w:type="dxa"/>
            <w:vAlign w:val="bottom"/>
            <w:gridSpan w:val="2"/>
          </w:tcPr>
          <w:p>
            <w:pPr>
              <w:ind w:left="560"/>
              <w:spacing w:after="0"/>
              <w:rPr>
                <w:sz w:val="20"/>
                <w:szCs w:val="20"/>
                <w:color w:val="auto"/>
              </w:rPr>
            </w:pPr>
            <w:r>
              <w:rPr>
                <w:rFonts w:ascii="Arial" w:cs="Arial" w:eastAsia="Arial" w:hAnsi="Arial"/>
                <w:sz w:val="13"/>
                <w:szCs w:val="13"/>
                <w:b w:val="1"/>
                <w:bCs w:val="1"/>
                <w:color w:val="auto"/>
              </w:rPr>
              <w:t>Industry</w:t>
            </w:r>
          </w:p>
        </w:tc>
        <w:tc>
          <w:tcPr>
            <w:tcW w:w="9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Coupon</w:t>
            </w:r>
          </w:p>
        </w:tc>
        <w:tc>
          <w:tcPr>
            <w:tcW w:w="10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2"/>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38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Preferred Equity/Partnership Interests—1.8% </w:t>
            </w:r>
            <w:r>
              <w:rPr>
                <w:rFonts w:ascii="Arial" w:cs="Arial" w:eastAsia="Arial" w:hAnsi="Arial"/>
                <w:sz w:val="10"/>
                <w:szCs w:val="10"/>
                <w:b w:val="1"/>
                <w:bCs w:val="1"/>
                <w:color w:val="auto"/>
              </w:rPr>
              <w:t>(6)</w:t>
            </w: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AH Holdings, Inc.</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6.00%</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211</w:t>
            </w:r>
          </w:p>
        </w:tc>
        <w:tc>
          <w:tcPr>
            <w:tcW w:w="22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500,000</w:t>
            </w:r>
          </w:p>
        </w:tc>
        <w:tc>
          <w:tcPr>
            <w:tcW w:w="18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355,508</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Childcare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949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949,050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995,487</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2,375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2,088,121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2,222,223</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3,591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24,177</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3,397,484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3,871,624</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Roto Holdings, Inc.</w:t>
            </w:r>
          </w:p>
        </w:tc>
        <w:tc>
          <w:tcPr>
            <w:tcW w:w="8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3"/>
                <w:szCs w:val="13"/>
                <w:color w:val="auto"/>
                <w:w w:val="89"/>
              </w:rPr>
              <w:t>Manufacturing / Basic</w:t>
            </w: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1,197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1,197,000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1,295,710</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88"/>
              </w:rPr>
              <w:t>Industries</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6"/>
              </w:rPr>
              <w:t>Personal Transportation</w:t>
            </w:r>
          </w:p>
        </w:tc>
        <w:tc>
          <w:tcPr>
            <w:tcW w:w="9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1,966,667</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2,102,669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4,275,107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10,234,324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13,039,836</w:t>
            </w:r>
          </w:p>
        </w:tc>
        <w:tc>
          <w:tcPr>
            <w:tcW w:w="0" w:type="dxa"/>
            <w:vAlign w:val="bottom"/>
          </w:tcPr>
          <w:p>
            <w:pPr>
              <w:spacing w:after="0"/>
              <w:rPr>
                <w:sz w:val="1"/>
                <w:szCs w:val="1"/>
                <w:color w:val="auto"/>
              </w:rPr>
            </w:pPr>
          </w:p>
        </w:tc>
      </w:tr>
      <w:tr>
        <w:trPr>
          <w:trHeight w:val="142"/>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Interests/Warrants—7.7% </w:t>
            </w:r>
            <w:r>
              <w:rPr>
                <w:rFonts w:ascii="Arial" w:cs="Arial" w:eastAsia="Arial" w:hAnsi="Arial"/>
                <w:sz w:val="10"/>
                <w:szCs w:val="10"/>
                <w:b w:val="1"/>
                <w:bCs w:val="1"/>
                <w:color w:val="auto"/>
              </w:rPr>
              <w:t>(6)</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A2Z Wireless Holdings, Inc.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0"/>
              </w:rPr>
              <w:t>Retail</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1,736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445,500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2,528,247</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A (Warrants)</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14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4,798,624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10,265,972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2,519,278</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 Series B (Warrants)</w:t>
            </w:r>
          </w:p>
        </w:tc>
        <w:tc>
          <w:tcPr>
            <w:tcW w:w="7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12/12/2023</w:t>
            </w:r>
          </w:p>
        </w:tc>
        <w:tc>
          <w:tcPr>
            <w:tcW w:w="14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9,822,196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196,444</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740" w:type="dxa"/>
            <w:vAlign w:val="bottom"/>
          </w:tcPr>
          <w:p>
            <w:pPr>
              <w:jc w:val="center"/>
              <w:ind w:left="37"/>
              <w:spacing w:after="0" w:line="121" w:lineRule="exact"/>
              <w:rPr>
                <w:sz w:val="20"/>
                <w:szCs w:val="20"/>
                <w:color w:val="auto"/>
              </w:rPr>
            </w:pPr>
            <w:r>
              <w:rPr>
                <w:rFonts w:ascii="Arial" w:cs="Arial" w:eastAsia="Arial" w:hAnsi="Arial"/>
                <w:sz w:val="13"/>
                <w:szCs w:val="13"/>
                <w:color w:val="auto"/>
                <w:w w:val="86"/>
              </w:rPr>
              <w:t>03/23/2021</w:t>
            </w:r>
          </w:p>
        </w:tc>
        <w:tc>
          <w:tcPr>
            <w:tcW w:w="140" w:type="dxa"/>
            <w:vAlign w:val="bottom"/>
          </w:tcPr>
          <w:p>
            <w:pPr>
              <w:spacing w:after="0"/>
              <w:rPr>
                <w:sz w:val="10"/>
                <w:szCs w:val="10"/>
                <w:color w:val="auto"/>
              </w:rPr>
            </w:pP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753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Childcare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 Corp.</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996</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05/05/2026</w:t>
            </w:r>
          </w:p>
        </w:tc>
        <w:tc>
          <w:tcPr>
            <w:tcW w:w="14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933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586,975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820,067</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1,333,330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3,000,000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w w:val="93"/>
              </w:rPr>
              <w:t xml:space="preserve">Cardinal Logistics Holdings LLC </w:t>
            </w:r>
            <w:r>
              <w:rPr>
                <w:rFonts w:ascii="Arial" w:cs="Arial" w:eastAsia="Arial" w:hAnsi="Arial"/>
                <w:sz w:val="10"/>
                <w:szCs w:val="10"/>
                <w:color w:val="auto"/>
                <w:w w:val="93"/>
              </w:rPr>
              <w:t>(11)</w:t>
            </w:r>
            <w:r>
              <w:rPr>
                <w:rFonts w:ascii="Arial" w:cs="Arial" w:eastAsia="Arial" w:hAnsi="Arial"/>
                <w:sz w:val="13"/>
                <w:szCs w:val="13"/>
                <w:color w:val="auto"/>
                <w:w w:val="93"/>
              </w:rPr>
              <w:t xml:space="preserve"> (Intermediate Transportation 100,</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137,923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2,111,588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rPr>
                <w:sz w:val="20"/>
                <w:szCs w:val="20"/>
                <w:color w:val="auto"/>
              </w:rPr>
            </w:pPr>
            <w:r>
              <w:rPr>
                <w:rFonts w:ascii="Arial" w:cs="Arial" w:eastAsia="Arial" w:hAnsi="Arial"/>
                <w:sz w:val="13"/>
                <w:szCs w:val="13"/>
                <w:color w:val="auto"/>
              </w:rPr>
              <w:t>L.L.C.)</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LP Holdings, LLC </w:t>
            </w:r>
            <w:r>
              <w:rPr>
                <w:rFonts w:ascii="Arial" w:cs="Arial" w:eastAsia="Arial" w:hAnsi="Arial"/>
                <w:sz w:val="10"/>
                <w:szCs w:val="10"/>
                <w:color w:val="auto"/>
              </w:rPr>
              <w:t>(11)</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23,600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2,360,000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3,473,308</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 xml:space="preserve">CI (FBM) Holdings, LLC </w:t>
            </w:r>
            <w:r>
              <w:rPr>
                <w:rFonts w:ascii="Arial" w:cs="Arial" w:eastAsia="Arial" w:hAnsi="Arial"/>
                <w:sz w:val="10"/>
                <w:szCs w:val="10"/>
                <w:color w:val="auto"/>
              </w:rPr>
              <w:t>(11)</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1"/>
              </w:rPr>
              <w:t>Building Materials</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207,242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2,250,000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8,223,485</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rPr>
                <w:sz w:val="20"/>
                <w:szCs w:val="20"/>
                <w:color w:val="auto"/>
              </w:rPr>
            </w:pPr>
            <w:r>
              <w:rPr>
                <w:rFonts w:ascii="Arial" w:cs="Arial" w:eastAsia="Arial" w:hAnsi="Arial"/>
                <w:sz w:val="13"/>
                <w:szCs w:val="13"/>
                <w:color w:val="auto"/>
              </w:rPr>
              <w:t>(Foundation Building Materials, LLC)</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 xml:space="preserve">CI (FBM) Holdings, LLC </w:t>
            </w:r>
            <w:r>
              <w:rPr>
                <w:rFonts w:ascii="Arial" w:cs="Arial" w:eastAsia="Arial" w:hAnsi="Arial"/>
                <w:sz w:val="10"/>
                <w:szCs w:val="10"/>
                <w:color w:val="auto"/>
                <w:w w:val="96"/>
              </w:rPr>
              <w:t>(9), (11)</w:t>
            </w:r>
            <w:r>
              <w:rPr>
                <w:rFonts w:ascii="Arial" w:cs="Arial" w:eastAsia="Arial" w:hAnsi="Arial"/>
                <w:sz w:val="13"/>
                <w:szCs w:val="13"/>
                <w:color w:val="auto"/>
                <w:w w:val="96"/>
              </w:rPr>
              <w:t xml:space="preserve"> (Foundation Building Materials, LLC)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91"/>
              </w:rPr>
              <w:t>Building Materials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103,621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(11)</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1,745,639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2,040,629</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2,375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999,889</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Faraday Holdings, LLC</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91"/>
              </w:rPr>
              <w:t>Building Materials</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3,520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171,601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196,748</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rPr>
                <w:sz w:val="20"/>
                <w:szCs w:val="20"/>
                <w:color w:val="auto"/>
              </w:rPr>
            </w:pPr>
            <w:r>
              <w:rPr>
                <w:rFonts w:ascii="Arial" w:cs="Arial" w:eastAsia="Arial" w:hAnsi="Arial"/>
                <w:sz w:val="13"/>
                <w:szCs w:val="13"/>
                <w:color w:val="auto"/>
              </w:rPr>
              <w:t>(Interior Specialists, Inc.)</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388,378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2,500,113</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J.A. Cosmetics US, Inc.</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2,516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1,833,357</w:t>
            </w:r>
          </w:p>
        </w:tc>
        <w:tc>
          <w:tcPr>
            <w:tcW w:w="0" w:type="dxa"/>
            <w:vAlign w:val="bottom"/>
          </w:tcPr>
          <w:p>
            <w:pPr>
              <w:spacing w:after="0"/>
              <w:rPr>
                <w:sz w:val="1"/>
                <w:szCs w:val="1"/>
                <w:color w:val="auto"/>
              </w:rPr>
            </w:pPr>
          </w:p>
        </w:tc>
      </w:tr>
      <w:tr>
        <w:trPr>
          <w:trHeight w:val="121"/>
        </w:trPr>
        <w:tc>
          <w:tcPr>
            <w:tcW w:w="38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LLC, Class A</w:t>
            </w:r>
          </w:p>
        </w:tc>
        <w:tc>
          <w:tcPr>
            <w:tcW w:w="880" w:type="dxa"/>
            <w:vAlign w:val="bottom"/>
            <w:gridSpan w:val="2"/>
            <w:shd w:val="clear" w:color="auto" w:fill="CCEEFF"/>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20"/>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1,079,920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1,236,832</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6,701,684</w:t>
            </w:r>
          </w:p>
        </w:tc>
        <w:tc>
          <w:tcPr>
            <w:tcW w:w="0" w:type="dxa"/>
            <w:vAlign w:val="bottom"/>
          </w:tcPr>
          <w:p>
            <w:pPr>
              <w:spacing w:after="0"/>
              <w:rPr>
                <w:sz w:val="1"/>
                <w:szCs w:val="1"/>
                <w:color w:val="auto"/>
              </w:rPr>
            </w:pPr>
          </w:p>
        </w:tc>
      </w:tr>
      <w:tr>
        <w:trPr>
          <w:trHeight w:val="149"/>
        </w:trPr>
        <w:tc>
          <w:tcPr>
            <w:tcW w:w="3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Childcare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Kadmon Holdings, LLC, Class D</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20"/>
              <w:spacing w:after="0" w:line="121" w:lineRule="exact"/>
              <w:rPr>
                <w:sz w:val="20"/>
                <w:szCs w:val="20"/>
                <w:color w:val="auto"/>
              </w:rPr>
            </w:pPr>
            <w:r>
              <w:rPr>
                <w:rFonts w:ascii="Arial" w:cs="Arial" w:eastAsia="Arial" w:hAnsi="Arial"/>
                <w:sz w:val="13"/>
                <w:szCs w:val="13"/>
                <w:color w:val="auto"/>
                <w:w w:val="87"/>
              </w:rPr>
              <w:t>Healthcare, Education and</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1,079,920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1,028,807</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1,028,807</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Childcare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(11)</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383,447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383,447</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(11)</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761,955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Magnum Hunter Resources Corporation (Warrants) </w:t>
            </w:r>
            <w:r>
              <w:rPr>
                <w:rFonts w:ascii="Arial" w:cs="Arial" w:eastAsia="Arial" w:hAnsi="Arial"/>
                <w:sz w:val="10"/>
                <w:szCs w:val="10"/>
                <w:color w:val="auto"/>
              </w:rPr>
              <w:t>(13)</w:t>
            </w:r>
          </w:p>
        </w:tc>
        <w:tc>
          <w:tcPr>
            <w:tcW w:w="7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04/16/2016</w:t>
            </w:r>
          </w:p>
        </w:tc>
        <w:tc>
          <w:tcPr>
            <w:tcW w:w="14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122,192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182,498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3,000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4,813,759</w:t>
            </w:r>
          </w:p>
        </w:tc>
        <w:tc>
          <w:tcPr>
            <w:tcW w:w="0" w:type="dxa"/>
            <w:vAlign w:val="bottom"/>
          </w:tcPr>
          <w:p>
            <w:pPr>
              <w:spacing w:after="0"/>
              <w:rPr>
                <w:sz w:val="1"/>
                <w:szCs w:val="1"/>
                <w:color w:val="auto"/>
              </w:rPr>
            </w:pPr>
          </w:p>
        </w:tc>
      </w:tr>
      <w:tr>
        <w:trPr>
          <w:trHeight w:val="149"/>
        </w:trPr>
        <w:tc>
          <w:tcPr>
            <w:tcW w:w="380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Miscellaneous Services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New Gulf Resources, LLC (Warrants) </w:t>
            </w:r>
            <w:r>
              <w:rPr>
                <w:rFonts w:ascii="Arial" w:cs="Arial" w:eastAsia="Arial" w:hAnsi="Arial"/>
                <w:sz w:val="10"/>
                <w:szCs w:val="10"/>
                <w:color w:val="auto"/>
              </w:rPr>
              <w:t>(11)</w:t>
            </w:r>
          </w:p>
        </w:tc>
        <w:tc>
          <w:tcPr>
            <w:tcW w:w="740" w:type="dxa"/>
            <w:vAlign w:val="bottom"/>
            <w:shd w:val="clear" w:color="auto" w:fill="CCEEFF"/>
          </w:tcPr>
          <w:p>
            <w:pPr>
              <w:jc w:val="center"/>
              <w:ind w:left="37"/>
              <w:spacing w:after="0" w:line="135" w:lineRule="exact"/>
              <w:rPr>
                <w:sz w:val="20"/>
                <w:szCs w:val="20"/>
                <w:color w:val="auto"/>
              </w:rPr>
            </w:pPr>
            <w:r>
              <w:rPr>
                <w:rFonts w:ascii="Arial" w:cs="Arial" w:eastAsia="Arial" w:hAnsi="Arial"/>
                <w:sz w:val="13"/>
                <w:szCs w:val="13"/>
                <w:color w:val="auto"/>
                <w:w w:val="86"/>
              </w:rPr>
              <w:t>05/09/2024</w:t>
            </w:r>
          </w:p>
        </w:tc>
        <w:tc>
          <w:tcPr>
            <w:tcW w:w="140" w:type="dxa"/>
            <w:vAlign w:val="bottom"/>
            <w:shd w:val="clear" w:color="auto" w:fill="CCEEFF"/>
          </w:tcPr>
          <w:p>
            <w:pPr>
              <w:spacing w:after="0"/>
              <w:rPr>
                <w:sz w:val="11"/>
                <w:szCs w:val="11"/>
                <w:color w:val="auto"/>
              </w:rPr>
            </w:pP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7"/>
              </w:rPr>
              <w:t>Oil and Gas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495,000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Patriot National, Inc. (Warrants)</w:t>
            </w:r>
          </w:p>
        </w:tc>
        <w:tc>
          <w:tcPr>
            <w:tcW w:w="740" w:type="dxa"/>
            <w:vAlign w:val="bottom"/>
          </w:tcPr>
          <w:p>
            <w:pPr>
              <w:jc w:val="center"/>
              <w:ind w:left="37"/>
              <w:spacing w:after="0" w:line="135" w:lineRule="exact"/>
              <w:rPr>
                <w:sz w:val="20"/>
                <w:szCs w:val="20"/>
                <w:color w:val="auto"/>
              </w:rPr>
            </w:pPr>
            <w:r>
              <w:rPr>
                <w:rFonts w:ascii="Arial" w:cs="Arial" w:eastAsia="Arial" w:hAnsi="Arial"/>
                <w:sz w:val="13"/>
                <w:szCs w:val="13"/>
                <w:color w:val="auto"/>
                <w:w w:val="86"/>
              </w:rPr>
              <w:t>11/27/2023</w:t>
            </w:r>
          </w:p>
        </w:tc>
        <w:tc>
          <w:tcPr>
            <w:tcW w:w="140" w:type="dxa"/>
            <w:vAlign w:val="bottom"/>
          </w:tcPr>
          <w:p>
            <w:pPr>
              <w:spacing w:after="0"/>
              <w:rPr>
                <w:sz w:val="11"/>
                <w:szCs w:val="11"/>
                <w:color w:val="auto"/>
              </w:rPr>
            </w:pP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123,129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238,049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1,620,378</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(11)</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901,263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1,141,900</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(11)</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142,300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1,351,202</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Ride Group Parent, Inc.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Personal Transportation</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1,870,331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148,998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148,998</w:t>
            </w:r>
          </w:p>
        </w:tc>
        <w:tc>
          <w:tcPr>
            <w:tcW w:w="0" w:type="dxa"/>
            <w:vAlign w:val="bottom"/>
          </w:tcPr>
          <w:p>
            <w:pPr>
              <w:spacing w:after="0"/>
              <w:rPr>
                <w:sz w:val="1"/>
                <w:szCs w:val="1"/>
                <w:color w:val="auto"/>
              </w:rPr>
            </w:pPr>
          </w:p>
        </w:tc>
      </w:tr>
      <w:tr>
        <w:trPr>
          <w:trHeight w:val="121"/>
        </w:trPr>
        <w:tc>
          <w:tcPr>
            <w:tcW w:w="3800" w:type="dxa"/>
            <w:vAlign w:val="bottom"/>
          </w:tcPr>
          <w:p>
            <w:pPr>
              <w:spacing w:after="0" w:line="121" w:lineRule="exact"/>
              <w:rPr>
                <w:sz w:val="20"/>
                <w:szCs w:val="20"/>
                <w:color w:val="auto"/>
              </w:rPr>
            </w:pPr>
            <w:r>
              <w:rPr>
                <w:rFonts w:ascii="Arial" w:cs="Arial" w:eastAsia="Arial" w:hAnsi="Arial"/>
                <w:sz w:val="13"/>
                <w:szCs w:val="13"/>
                <w:color w:val="auto"/>
              </w:rPr>
              <w:t>Roto Holdings, Inc.</w:t>
            </w:r>
          </w:p>
        </w:tc>
        <w:tc>
          <w:tcPr>
            <w:tcW w:w="880" w:type="dxa"/>
            <w:vAlign w:val="bottom"/>
            <w:gridSpan w:val="2"/>
          </w:tcPr>
          <w:p>
            <w:pPr>
              <w:jc w:val="center"/>
              <w:ind w:right="40"/>
              <w:spacing w:after="0" w:line="121"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21" w:lineRule="exact"/>
              <w:rPr>
                <w:sz w:val="20"/>
                <w:szCs w:val="20"/>
                <w:color w:val="auto"/>
              </w:rPr>
            </w:pPr>
            <w:r>
              <w:rPr>
                <w:rFonts w:ascii="Arial" w:cs="Arial" w:eastAsia="Arial" w:hAnsi="Arial"/>
                <w:sz w:val="13"/>
                <w:szCs w:val="13"/>
                <w:color w:val="auto"/>
                <w:w w:val="89"/>
              </w:rPr>
              <w:t>Manufacturing / Basic</w:t>
            </w:r>
          </w:p>
        </w:tc>
        <w:tc>
          <w:tcPr>
            <w:tcW w:w="94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1,330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133,000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612,550</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Industries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vRide Holdings, Inc. (f/k/a Ride Holdings, Inc.)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00"/>
              <w:spacing w:after="0" w:line="135" w:lineRule="exact"/>
              <w:rPr>
                <w:sz w:val="20"/>
                <w:szCs w:val="20"/>
                <w:color w:val="auto"/>
              </w:rPr>
            </w:pPr>
            <w:r>
              <w:rPr>
                <w:rFonts w:ascii="Arial" w:cs="Arial" w:eastAsia="Arial" w:hAnsi="Arial"/>
                <w:sz w:val="13"/>
                <w:szCs w:val="13"/>
                <w:color w:val="auto"/>
                <w:w w:val="86"/>
              </w:rPr>
              <w:t>Personal Transportation</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9,882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11,314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21,481</w:t>
            </w:r>
          </w:p>
        </w:tc>
        <w:tc>
          <w:tcPr>
            <w:tcW w:w="0" w:type="dxa"/>
            <w:vAlign w:val="bottom"/>
          </w:tcPr>
          <w:p>
            <w:pPr>
              <w:spacing w:after="0"/>
              <w:rPr>
                <w:sz w:val="1"/>
                <w:szCs w:val="1"/>
                <w:color w:val="auto"/>
              </w:rPr>
            </w:pPr>
          </w:p>
        </w:tc>
      </w:tr>
      <w:tr>
        <w:trPr>
          <w:trHeight w:val="135"/>
        </w:trPr>
        <w:tc>
          <w:tcPr>
            <w:tcW w:w="3800" w:type="dxa"/>
            <w:vAlign w:val="bottom"/>
          </w:tcPr>
          <w:p>
            <w:pPr>
              <w:spacing w:after="0" w:line="135" w:lineRule="exact"/>
              <w:rPr>
                <w:sz w:val="20"/>
                <w:szCs w:val="20"/>
                <w:color w:val="auto"/>
              </w:rPr>
            </w:pPr>
            <w:r>
              <w:rPr>
                <w:rFonts w:ascii="Arial" w:cs="Arial" w:eastAsia="Arial" w:hAnsi="Arial"/>
                <w:sz w:val="13"/>
                <w:szCs w:val="13"/>
                <w:color w:val="auto"/>
              </w:rPr>
              <w:t>Vestcom Parent Holdings, Inc.</w:t>
            </w:r>
          </w:p>
        </w:tc>
        <w:tc>
          <w:tcPr>
            <w:tcW w:w="880" w:type="dxa"/>
            <w:vAlign w:val="bottom"/>
            <w:gridSpan w:val="2"/>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color w:val="auto"/>
                <w:w w:val="90"/>
              </w:rPr>
              <w:t>Printing and Publishing</w:t>
            </w:r>
          </w:p>
        </w:tc>
        <w:tc>
          <w:tcPr>
            <w:tcW w:w="94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211,797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793,873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3,570,645</w:t>
            </w:r>
          </w:p>
        </w:tc>
        <w:tc>
          <w:tcPr>
            <w:tcW w:w="0" w:type="dxa"/>
            <w:vAlign w:val="bottom"/>
          </w:tcPr>
          <w:p>
            <w:pPr>
              <w:spacing w:after="0"/>
              <w:rPr>
                <w:sz w:val="1"/>
                <w:szCs w:val="1"/>
                <w:color w:val="auto"/>
              </w:rPr>
            </w:pPr>
          </w:p>
        </w:tc>
      </w:tr>
      <w:tr>
        <w:trPr>
          <w:trHeight w:val="135"/>
        </w:trPr>
        <w:tc>
          <w:tcPr>
            <w:tcW w:w="38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VText Holdings, Inc.</w:t>
            </w:r>
          </w:p>
        </w:tc>
        <w:tc>
          <w:tcPr>
            <w:tcW w:w="880" w:type="dxa"/>
            <w:vAlign w:val="bottom"/>
            <w:gridSpan w:val="2"/>
            <w:shd w:val="clear" w:color="auto" w:fill="CCEEFF"/>
          </w:tcPr>
          <w:p>
            <w:pPr>
              <w:jc w:val="center"/>
              <w:ind w:right="40"/>
              <w:spacing w:after="0" w:line="135" w:lineRule="exact"/>
              <w:rPr>
                <w:sz w:val="20"/>
                <w:szCs w:val="20"/>
                <w:color w:val="auto"/>
              </w:rPr>
            </w:pPr>
            <w:r>
              <w:rPr>
                <w:rFonts w:ascii="Arial" w:cs="Arial" w:eastAsia="Arial" w:hAnsi="Arial"/>
                <w:sz w:val="13"/>
                <w:szCs w:val="13"/>
                <w:color w:val="auto"/>
                <w:w w:val="91"/>
              </w:rPr>
              <w:t>—</w:t>
            </w:r>
          </w:p>
        </w:tc>
        <w:tc>
          <w:tcPr>
            <w:tcW w:w="1740" w:type="dxa"/>
            <w:vAlign w:val="bottom"/>
            <w:gridSpan w:val="2"/>
            <w:shd w:val="clear" w:color="auto" w:fill="CCEEFF"/>
          </w:tcPr>
          <w:p>
            <w:pPr>
              <w:jc w:val="center"/>
              <w:ind w:right="120"/>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ind w:left="7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35,526</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4,050,000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7,597,191</w:t>
            </w:r>
          </w:p>
        </w:tc>
        <w:tc>
          <w:tcPr>
            <w:tcW w:w="0" w:type="dxa"/>
            <w:vAlign w:val="bottom"/>
          </w:tcPr>
          <w:p>
            <w:pPr>
              <w:spacing w:after="0"/>
              <w:rPr>
                <w:sz w:val="1"/>
                <w:szCs w:val="1"/>
                <w:color w:val="auto"/>
              </w:rPr>
            </w:pPr>
          </w:p>
        </w:tc>
      </w:tr>
      <w:tr>
        <w:trPr>
          <w:trHeight w:val="149"/>
        </w:trPr>
        <w:tc>
          <w:tcPr>
            <w:tcW w:w="38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36,686,122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55,086,558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8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84"/>
              </w:rPr>
              <w:t>1,138,155,969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1,096,719,079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Maturity /</w:t>
            </w:r>
          </w:p>
        </w:tc>
        <w:tc>
          <w:tcPr>
            <w:tcW w:w="1440" w:type="dxa"/>
            <w:vAlign w:val="bottom"/>
            <w:vMerge w:val="restart"/>
          </w:tcPr>
          <w:p>
            <w:pPr>
              <w:ind w:left="500"/>
              <w:spacing w:after="0"/>
              <w:rPr>
                <w:sz w:val="20"/>
                <w:szCs w:val="20"/>
                <w:color w:val="auto"/>
              </w:rPr>
            </w:pPr>
            <w:r>
              <w:rPr>
                <w:rFonts w:ascii="Arial" w:cs="Arial" w:eastAsia="Arial" w:hAnsi="Arial"/>
                <w:sz w:val="13"/>
                <w:szCs w:val="13"/>
                <w:b w:val="1"/>
                <w:bCs w:val="1"/>
                <w:color w:val="auto"/>
              </w:rPr>
              <w:t>Industry</w:t>
            </w:r>
          </w:p>
        </w:tc>
        <w:tc>
          <w:tcPr>
            <w:tcW w:w="102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Current</w:t>
            </w: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Spread</w:t>
            </w:r>
          </w:p>
        </w:tc>
        <w:tc>
          <w:tcPr>
            <w:tcW w:w="920" w:type="dxa"/>
            <w:vAlign w:val="bottom"/>
            <w:gridSpan w:val="3"/>
            <w:vMerge w:val="restart"/>
          </w:tcPr>
          <w:p>
            <w:pPr>
              <w:jc w:val="center"/>
              <w:ind w:right="248"/>
              <w:spacing w:after="0"/>
              <w:rPr>
                <w:sz w:val="20"/>
                <w:szCs w:val="20"/>
                <w:color w:val="auto"/>
              </w:rPr>
            </w:pPr>
            <w:r>
              <w:rPr>
                <w:rFonts w:ascii="Arial" w:cs="Arial" w:eastAsia="Arial" w:hAnsi="Arial"/>
                <w:sz w:val="13"/>
                <w:szCs w:val="13"/>
                <w:b w:val="1"/>
                <w:bCs w:val="1"/>
                <w:color w:val="auto"/>
                <w:w w:val="92"/>
              </w:rPr>
              <w:t>Par /</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0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7"/>
              </w:rPr>
              <w:t>Above Index</w:t>
            </w:r>
          </w:p>
        </w:tc>
        <w:tc>
          <w:tcPr>
            <w:tcW w:w="920" w:type="dxa"/>
            <w:vAlign w:val="bottom"/>
            <w:gridSpan w:val="3"/>
            <w:vMerge w:val="continue"/>
          </w:tcPr>
          <w:p>
            <w:pPr>
              <w:spacing w:after="0"/>
              <w:rPr>
                <w:sz w:val="10"/>
                <w:szCs w:val="10"/>
                <w:color w:val="auto"/>
              </w:rPr>
            </w:pPr>
          </w:p>
        </w:tc>
        <w:tc>
          <w:tcPr>
            <w:tcW w:w="96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48"/>
        </w:trPr>
        <w:tc>
          <w:tcPr>
            <w:tcW w:w="4020" w:type="dxa"/>
            <w:vAlign w:val="bottom"/>
            <w:vMerge w:val="continue"/>
          </w:tcPr>
          <w:p>
            <w:pPr>
              <w:spacing w:after="0"/>
              <w:rPr>
                <w:sz w:val="12"/>
                <w:szCs w:val="12"/>
                <w:color w:val="auto"/>
              </w:rPr>
            </w:pPr>
          </w:p>
        </w:tc>
        <w:tc>
          <w:tcPr>
            <w:tcW w:w="760" w:type="dxa"/>
            <w:vAlign w:val="bottom"/>
          </w:tcPr>
          <w:p>
            <w:pPr>
              <w:ind w:left="100"/>
              <w:spacing w:after="0"/>
              <w:rPr>
                <w:sz w:val="20"/>
                <w:szCs w:val="20"/>
                <w:color w:val="auto"/>
              </w:rPr>
            </w:pPr>
            <w:r>
              <w:rPr>
                <w:rFonts w:ascii="Arial" w:cs="Arial" w:eastAsia="Arial" w:hAnsi="Arial"/>
                <w:sz w:val="13"/>
                <w:szCs w:val="13"/>
                <w:b w:val="1"/>
                <w:bCs w:val="1"/>
                <w:color w:val="auto"/>
              </w:rPr>
              <w:t>Expiration</w:t>
            </w:r>
          </w:p>
        </w:tc>
        <w:tc>
          <w:tcPr>
            <w:tcW w:w="1440" w:type="dxa"/>
            <w:vAlign w:val="bottom"/>
          </w:tcPr>
          <w:p>
            <w:pPr>
              <w:spacing w:after="0"/>
              <w:rPr>
                <w:sz w:val="12"/>
                <w:szCs w:val="12"/>
                <w:color w:val="auto"/>
              </w:rPr>
            </w:pPr>
          </w:p>
        </w:tc>
        <w:tc>
          <w:tcPr>
            <w:tcW w:w="1020" w:type="dxa"/>
            <w:vAlign w:val="bottom"/>
          </w:tcPr>
          <w:p>
            <w:pPr>
              <w:ind w:left="120"/>
              <w:spacing w:after="0"/>
              <w:rPr>
                <w:sz w:val="20"/>
                <w:szCs w:val="20"/>
                <w:color w:val="auto"/>
              </w:rPr>
            </w:pPr>
            <w:r>
              <w:rPr>
                <w:rFonts w:ascii="Arial" w:cs="Arial" w:eastAsia="Arial" w:hAnsi="Arial"/>
                <w:sz w:val="13"/>
                <w:szCs w:val="13"/>
                <w:b w:val="1"/>
                <w:bCs w:val="1"/>
                <w:color w:val="auto"/>
              </w:rPr>
              <w:t>Coupon</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88"/>
              </w:rPr>
              <w:t>(4)</w:t>
            </w:r>
          </w:p>
        </w:tc>
        <w:tc>
          <w:tcPr>
            <w:tcW w:w="240" w:type="dxa"/>
            <w:vAlign w:val="bottom"/>
          </w:tcPr>
          <w:p>
            <w:pPr>
              <w:spacing w:after="0"/>
              <w:rPr>
                <w:sz w:val="12"/>
                <w:szCs w:val="12"/>
                <w:color w:val="auto"/>
              </w:rPr>
            </w:pPr>
          </w:p>
        </w:tc>
        <w:tc>
          <w:tcPr>
            <w:tcW w:w="920" w:type="dxa"/>
            <w:vAlign w:val="bottom"/>
            <w:gridSpan w:val="3"/>
          </w:tcPr>
          <w:p>
            <w:pPr>
              <w:jc w:val="center"/>
              <w:ind w:right="268"/>
              <w:spacing w:after="0"/>
              <w:rPr>
                <w:sz w:val="20"/>
                <w:szCs w:val="20"/>
                <w:color w:val="auto"/>
              </w:rPr>
            </w:pPr>
            <w:r>
              <w:rPr>
                <w:rFonts w:ascii="Arial" w:cs="Arial" w:eastAsia="Arial" w:hAnsi="Arial"/>
                <w:sz w:val="13"/>
                <w:szCs w:val="13"/>
                <w:b w:val="1"/>
                <w:bCs w:val="1"/>
                <w:color w:val="auto"/>
                <w:w w:val="82"/>
              </w:rPr>
              <w:t>Shares</w:t>
            </w: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78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Affiliated Portfolio Companies—13.3% </w:t>
            </w:r>
            <w:r>
              <w:rPr>
                <w:rFonts w:ascii="Arial" w:cs="Arial" w:eastAsia="Arial" w:hAnsi="Arial"/>
                <w:sz w:val="10"/>
                <w:szCs w:val="10"/>
                <w:b w:val="1"/>
                <w:bCs w:val="1"/>
                <w:color w:val="auto"/>
              </w:rPr>
              <w:t>(1), (2)</w:t>
            </w:r>
          </w:p>
        </w:tc>
        <w:tc>
          <w:tcPr>
            <w:tcW w:w="14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Debt—3.2%</w:t>
            </w:r>
          </w:p>
        </w:tc>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04/30/2018</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r>
              <w:rPr>
                <w:rFonts w:ascii="Arial" w:cs="Arial" w:eastAsia="Arial" w:hAnsi="Arial"/>
                <w:sz w:val="10"/>
                <w:szCs w:val="10"/>
                <w:color w:val="auto"/>
              </w:rPr>
              <w:t>(7)</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L+1,050</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23,514,911</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23,285,423</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23,044,613</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Debt—1.3%</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12/26/2017</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9.00%</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L+800</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9,409,740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 xml:space="preserve">EnviroSolutions Real Property Holdings, Inc. </w:t>
            </w:r>
            <w:r>
              <w:rPr>
                <w:rFonts w:ascii="Arial" w:cs="Arial" w:eastAsia="Arial" w:hAnsi="Arial"/>
                <w:sz w:val="10"/>
                <w:szCs w:val="10"/>
                <w:color w:val="auto"/>
              </w:rPr>
              <w:t>(9)</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12/31/2015</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758,850</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9,237,014</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9,127,448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Notes—4.8%</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11/05/2019</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2"/>
              </w:rPr>
              <w:t>13,092,070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13,092,071</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6,284,194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10/02/2017</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12.50%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2"/>
              </w:rPr>
              <w:t>28,000,000</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27,702,867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27,931,507</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40,794,938</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34,215,701</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53,071</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20,059,340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5,254,029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Interests/Warrants—3.3% </w:t>
            </w:r>
            <w:r>
              <w:rPr>
                <w:rFonts w:ascii="Arial" w:cs="Arial" w:eastAsia="Arial" w:hAnsi="Arial"/>
                <w:sz w:val="10"/>
                <w:szCs w:val="10"/>
                <w:b w:val="1"/>
                <w:bCs w:val="1"/>
                <w:color w:val="auto"/>
              </w:rPr>
              <w:t>(6)</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104,719</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21,492,822</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15,486</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9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143,668</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11,960,702</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11,337,381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NCP-Performance, L.P.</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87"/>
              </w:rPr>
              <w:t>Leisure, Amusement,</w:t>
            </w:r>
          </w:p>
        </w:tc>
        <w:tc>
          <w:tcPr>
            <w:tcW w:w="102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375,000</w:t>
            </w:r>
          </w:p>
        </w:tc>
        <w:tc>
          <w:tcPr>
            <w:tcW w:w="12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3,750,000</w:t>
            </w:r>
          </w:p>
        </w:tc>
        <w:tc>
          <w:tcPr>
            <w:tcW w:w="80" w:type="dxa"/>
            <w:vAlign w:val="bottom"/>
          </w:tcPr>
          <w:p>
            <w:pPr>
              <w:spacing w:after="0"/>
              <w:rPr>
                <w:sz w:val="10"/>
                <w:szCs w:val="10"/>
                <w:color w:val="auto"/>
              </w:rPr>
            </w:pPr>
          </w:p>
        </w:tc>
        <w:tc>
          <w:tcPr>
            <w:tcW w:w="9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8"/>
              </w:rPr>
              <w:t>Motion Pictures and</w:t>
            </w: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3"/>
                <w:szCs w:val="13"/>
                <w:color w:val="auto"/>
                <w:w w:val="88"/>
              </w:rPr>
              <w:t>Entertainment</w:t>
            </w: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New Service Champ Holdings, Inc.</w:t>
            </w:r>
          </w:p>
        </w:tc>
        <w:tc>
          <w:tcPr>
            <w:tcW w:w="7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8"/>
              </w:rPr>
              <w:t>Auto Sector</w:t>
            </w:r>
          </w:p>
        </w:tc>
        <w:tc>
          <w:tcPr>
            <w:tcW w:w="102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2,721,600</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4,457,055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202,619</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6,178,645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491,755</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188,837</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1,888,232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40,316,580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23,861,313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5"/>
              </w:rPr>
              <w:t>Total Investments in Non-Controlled, Affiliated Portfolio Companies</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133,693,295</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95,503,104</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w w:val="91"/>
              </w:rPr>
              <w:t xml:space="preserve">Investments in Controlled, Affiliated Portfolio Companies—15.0% </w:t>
            </w:r>
            <w:r>
              <w:rPr>
                <w:rFonts w:ascii="Arial" w:cs="Arial" w:eastAsia="Arial" w:hAnsi="Arial"/>
                <w:sz w:val="10"/>
                <w:szCs w:val="10"/>
                <w:b w:val="1"/>
                <w:bCs w:val="1"/>
                <w:color w:val="auto"/>
                <w:w w:val="91"/>
              </w:rPr>
              <w:t>(1), (2)</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Debt—13.4%</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RAM Energy LLC, Tranche A</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89"/>
              </w:rPr>
              <w:t>07/18/2019</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91"/>
              </w:rPr>
              <w:t>Energy and Utilities</w:t>
            </w:r>
          </w:p>
        </w:tc>
        <w:tc>
          <w:tcPr>
            <w:tcW w:w="102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10.00%</w:t>
            </w:r>
          </w:p>
        </w:tc>
        <w:tc>
          <w:tcPr>
            <w:tcW w:w="11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L+800</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2"/>
              </w:rPr>
              <w:t>76,425,000</w:t>
            </w:r>
          </w:p>
        </w:tc>
        <w:tc>
          <w:tcPr>
            <w:tcW w:w="12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75,177,005</w:t>
            </w:r>
          </w:p>
        </w:tc>
        <w:tc>
          <w:tcPr>
            <w:tcW w:w="80" w:type="dxa"/>
            <w:vAlign w:val="bottom"/>
          </w:tcPr>
          <w:p>
            <w:pPr>
              <w:spacing w:after="0"/>
              <w:rPr>
                <w:sz w:val="10"/>
                <w:szCs w:val="10"/>
                <w:color w:val="auto"/>
              </w:rPr>
            </w:pPr>
          </w:p>
        </w:tc>
        <w:tc>
          <w:tcPr>
            <w:tcW w:w="9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72,759,582</w:t>
            </w: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3"/>
                <w:szCs w:val="13"/>
                <w:color w:val="auto"/>
              </w:rPr>
              <w:t>(PIK 10.00%)</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2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76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12/31/2018</w:t>
            </w:r>
          </w:p>
        </w:tc>
        <w:tc>
          <w:tcPr>
            <w:tcW w:w="144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90"/>
              </w:rPr>
              <w:t>Media</w:t>
            </w:r>
          </w:p>
        </w:tc>
        <w:tc>
          <w:tcPr>
            <w:tcW w:w="1020" w:type="dxa"/>
            <w:vAlign w:val="bottom"/>
            <w:shd w:val="clear" w:color="auto" w:fill="CCEEFF"/>
          </w:tcPr>
          <w:p>
            <w:pPr>
              <w:jc w:val="right"/>
              <w:ind w:right="277"/>
              <w:spacing w:after="0" w:line="122" w:lineRule="exact"/>
              <w:rPr>
                <w:sz w:val="20"/>
                <w:szCs w:val="20"/>
                <w:color w:val="auto"/>
              </w:rPr>
            </w:pPr>
            <w:r>
              <w:rPr>
                <w:rFonts w:ascii="Arial" w:cs="Arial" w:eastAsia="Arial" w:hAnsi="Arial"/>
                <w:sz w:val="13"/>
                <w:szCs w:val="13"/>
                <w:color w:val="auto"/>
              </w:rPr>
              <w:t>14.00%</w:t>
            </w:r>
          </w:p>
        </w:tc>
        <w:tc>
          <w:tcPr>
            <w:tcW w:w="1120" w:type="dxa"/>
            <w:vAlign w:val="bottom"/>
            <w:gridSpan w:val="2"/>
            <w:shd w:val="clear" w:color="auto" w:fill="CCEEFF"/>
          </w:tcPr>
          <w:p>
            <w:pPr>
              <w:jc w:val="right"/>
              <w:ind w:right="240"/>
              <w:spacing w:after="0" w:line="122" w:lineRule="exact"/>
              <w:rPr>
                <w:sz w:val="20"/>
                <w:szCs w:val="20"/>
                <w:color w:val="auto"/>
              </w:rPr>
            </w:pPr>
            <w:r>
              <w:rPr>
                <w:rFonts w:ascii="Arial" w:cs="Arial" w:eastAsia="Arial" w:hAnsi="Arial"/>
                <w:sz w:val="13"/>
                <w:szCs w:val="13"/>
                <w:color w:val="auto"/>
              </w:rPr>
              <w:t>L+1,300</w:t>
            </w:r>
          </w:p>
        </w:tc>
        <w:tc>
          <w:tcPr>
            <w:tcW w:w="80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3"/>
                <w:szCs w:val="13"/>
                <w:color w:val="auto"/>
                <w:w w:val="92"/>
              </w:rPr>
              <w:t>23,055,423</w:t>
            </w:r>
          </w:p>
        </w:tc>
        <w:tc>
          <w:tcPr>
            <w:tcW w:w="12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3"/>
                <w:szCs w:val="13"/>
                <w:color w:val="auto"/>
              </w:rPr>
              <w:t>20,951,257</w:t>
            </w:r>
          </w:p>
        </w:tc>
        <w:tc>
          <w:tcPr>
            <w:tcW w:w="80" w:type="dxa"/>
            <w:vAlign w:val="bottom"/>
            <w:shd w:val="clear" w:color="auto" w:fill="CCEEFF"/>
          </w:tcPr>
          <w:p>
            <w:pPr>
              <w:spacing w:after="0"/>
              <w:rPr>
                <w:sz w:val="10"/>
                <w:szCs w:val="10"/>
                <w:color w:val="auto"/>
              </w:rPr>
            </w:pPr>
          </w:p>
        </w:tc>
        <w:tc>
          <w:tcPr>
            <w:tcW w:w="9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23,055,423</w:t>
            </w:r>
          </w:p>
        </w:tc>
        <w:tc>
          <w:tcPr>
            <w:tcW w:w="0" w:type="dxa"/>
            <w:vAlign w:val="bottom"/>
          </w:tcPr>
          <w:p>
            <w:pPr>
              <w:spacing w:after="0"/>
              <w:rPr>
                <w:sz w:val="1"/>
                <w:szCs w:val="1"/>
                <w:color w:val="auto"/>
              </w:rPr>
            </w:pPr>
          </w:p>
        </w:tc>
      </w:tr>
      <w:tr>
        <w:trPr>
          <w:trHeight w:val="163"/>
        </w:trPr>
        <w:tc>
          <w:tcPr>
            <w:tcW w:w="40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(PIK 14.00%)</w:t>
            </w: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96,128,262</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95,815,005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Debt—0.5%</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2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760" w:type="dxa"/>
            <w:vAlign w:val="bottom"/>
          </w:tcPr>
          <w:p>
            <w:pPr>
              <w:jc w:val="center"/>
              <w:spacing w:after="0" w:line="121" w:lineRule="exact"/>
              <w:rPr>
                <w:sz w:val="20"/>
                <w:szCs w:val="20"/>
                <w:color w:val="auto"/>
              </w:rPr>
            </w:pPr>
            <w:r>
              <w:rPr>
                <w:rFonts w:ascii="Arial" w:cs="Arial" w:eastAsia="Arial" w:hAnsi="Arial"/>
                <w:sz w:val="13"/>
                <w:szCs w:val="13"/>
                <w:color w:val="auto"/>
                <w:w w:val="89"/>
              </w:rPr>
              <w:t>07/01/2019</w:t>
            </w:r>
          </w:p>
        </w:tc>
        <w:tc>
          <w:tcPr>
            <w:tcW w:w="1440" w:type="dxa"/>
            <w:vAlign w:val="bottom"/>
          </w:tcPr>
          <w:p>
            <w:pPr>
              <w:jc w:val="center"/>
              <w:spacing w:after="0" w:line="121" w:lineRule="exact"/>
              <w:rPr>
                <w:sz w:val="20"/>
                <w:szCs w:val="20"/>
                <w:color w:val="auto"/>
              </w:rPr>
            </w:pPr>
            <w:r>
              <w:rPr>
                <w:rFonts w:ascii="Arial" w:cs="Arial" w:eastAsia="Arial" w:hAnsi="Arial"/>
                <w:sz w:val="13"/>
                <w:szCs w:val="13"/>
                <w:color w:val="auto"/>
                <w:w w:val="90"/>
              </w:rPr>
              <w:t>Media</w:t>
            </w:r>
          </w:p>
        </w:tc>
        <w:tc>
          <w:tcPr>
            <w:tcW w:w="1020" w:type="dxa"/>
            <w:vAlign w:val="bottom"/>
          </w:tcPr>
          <w:p>
            <w:pPr>
              <w:jc w:val="right"/>
              <w:ind w:right="277"/>
              <w:spacing w:after="0" w:line="121" w:lineRule="exact"/>
              <w:rPr>
                <w:sz w:val="20"/>
                <w:szCs w:val="20"/>
                <w:color w:val="auto"/>
              </w:rPr>
            </w:pPr>
            <w:r>
              <w:rPr>
                <w:rFonts w:ascii="Arial" w:cs="Arial" w:eastAsia="Arial" w:hAnsi="Arial"/>
                <w:sz w:val="13"/>
                <w:szCs w:val="13"/>
                <w:color w:val="auto"/>
              </w:rPr>
              <w:t>16.00%</w:t>
            </w:r>
          </w:p>
        </w:tc>
        <w:tc>
          <w:tcPr>
            <w:tcW w:w="1120" w:type="dxa"/>
            <w:vAlign w:val="bottom"/>
            <w:gridSpan w:val="2"/>
          </w:tcPr>
          <w:p>
            <w:pPr>
              <w:jc w:val="right"/>
              <w:ind w:right="240"/>
              <w:spacing w:after="0" w:line="121" w:lineRule="exact"/>
              <w:rPr>
                <w:sz w:val="20"/>
                <w:szCs w:val="20"/>
                <w:color w:val="auto"/>
              </w:rPr>
            </w:pPr>
            <w:r>
              <w:rPr>
                <w:rFonts w:ascii="Arial" w:cs="Arial" w:eastAsia="Arial" w:hAnsi="Arial"/>
                <w:sz w:val="13"/>
                <w:szCs w:val="13"/>
                <w:color w:val="auto"/>
              </w:rPr>
              <w:t>L+1,500</w:t>
            </w:r>
          </w:p>
        </w:tc>
        <w:tc>
          <w:tcPr>
            <w:tcW w:w="8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3,462,417</w:t>
            </w:r>
          </w:p>
        </w:tc>
        <w:tc>
          <w:tcPr>
            <w:tcW w:w="120" w:type="dxa"/>
            <w:vAlign w:val="bottom"/>
          </w:tcPr>
          <w:p>
            <w:pPr>
              <w:spacing w:after="0"/>
              <w:rPr>
                <w:sz w:val="10"/>
                <w:szCs w:val="10"/>
                <w:color w:val="auto"/>
              </w:rPr>
            </w:pPr>
          </w:p>
        </w:tc>
        <w:tc>
          <w:tcPr>
            <w:tcW w:w="96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3,462,417</w:t>
            </w:r>
          </w:p>
        </w:tc>
        <w:tc>
          <w:tcPr>
            <w:tcW w:w="80" w:type="dxa"/>
            <w:vAlign w:val="bottom"/>
          </w:tcPr>
          <w:p>
            <w:pPr>
              <w:spacing w:after="0"/>
              <w:rPr>
                <w:sz w:val="10"/>
                <w:szCs w:val="10"/>
                <w:color w:val="auto"/>
              </w:rPr>
            </w:pPr>
          </w:p>
        </w:tc>
        <w:tc>
          <w:tcPr>
            <w:tcW w:w="8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3,462,417</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ind w:left="120"/>
              <w:spacing w:after="0"/>
              <w:rPr>
                <w:sz w:val="20"/>
                <w:szCs w:val="20"/>
                <w:color w:val="auto"/>
              </w:rPr>
            </w:pPr>
            <w:r>
              <w:rPr>
                <w:rFonts w:ascii="Arial" w:cs="Arial" w:eastAsia="Arial" w:hAnsi="Arial"/>
                <w:sz w:val="13"/>
                <w:szCs w:val="13"/>
                <w:color w:val="auto"/>
              </w:rPr>
              <w:t>(PIK 16.00%)</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2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 xml:space="preserve">Superior Digital Displays, LLC </w:t>
            </w:r>
            <w:r>
              <w:rPr>
                <w:rFonts w:ascii="Arial" w:cs="Arial" w:eastAsia="Arial" w:hAnsi="Arial"/>
                <w:sz w:val="10"/>
                <w:szCs w:val="10"/>
                <w:color w:val="auto"/>
              </w:rPr>
              <w:t>(9)</w:t>
            </w:r>
          </w:p>
        </w:tc>
        <w:tc>
          <w:tcPr>
            <w:tcW w:w="76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89"/>
              </w:rPr>
              <w:t>07/01/2019</w:t>
            </w:r>
          </w:p>
        </w:tc>
        <w:tc>
          <w:tcPr>
            <w:tcW w:w="1440" w:type="dxa"/>
            <w:vAlign w:val="bottom"/>
            <w:shd w:val="clear" w:color="auto" w:fill="CCEEFF"/>
          </w:tcPr>
          <w:p>
            <w:pPr>
              <w:jc w:val="center"/>
              <w:spacing w:after="0" w:line="136" w:lineRule="exact"/>
              <w:rPr>
                <w:sz w:val="20"/>
                <w:szCs w:val="20"/>
                <w:color w:val="auto"/>
              </w:rPr>
            </w:pPr>
            <w:r>
              <w:rPr>
                <w:rFonts w:ascii="Arial" w:cs="Arial" w:eastAsia="Arial" w:hAnsi="Arial"/>
                <w:sz w:val="13"/>
                <w:szCs w:val="13"/>
                <w:color w:val="auto"/>
                <w:w w:val="90"/>
              </w:rPr>
              <w:t>Media</w:t>
            </w:r>
          </w:p>
        </w:tc>
        <w:tc>
          <w:tcPr>
            <w:tcW w:w="1020" w:type="dxa"/>
            <w:vAlign w:val="bottom"/>
            <w:shd w:val="clear" w:color="auto" w:fill="CCEEFF"/>
          </w:tcPr>
          <w:p>
            <w:pPr>
              <w:jc w:val="right"/>
              <w:ind w:right="277"/>
              <w:spacing w:after="0" w:line="136"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6"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3"/>
                <w:szCs w:val="13"/>
                <w:color w:val="auto"/>
              </w:rPr>
              <w:t>2,575,000</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3,462,417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Equity—0.1% </w:t>
            </w:r>
            <w:r>
              <w:rPr>
                <w:rFonts w:ascii="Arial" w:cs="Arial" w:eastAsia="Arial" w:hAnsi="Arial"/>
                <w:sz w:val="10"/>
                <w:szCs w:val="10"/>
                <w:b w:val="1"/>
                <w:bCs w:val="1"/>
                <w:color w:val="auto"/>
              </w:rPr>
              <w:t>(6)</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Superior Digital Display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15.00%</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37,046</w:t>
            </w:r>
          </w:p>
        </w:tc>
        <w:tc>
          <w:tcPr>
            <w:tcW w:w="120" w:type="dxa"/>
            <w:vAlign w:val="bottom"/>
          </w:tcPr>
          <w:p>
            <w:pPr>
              <w:spacing w:after="0"/>
              <w:rPr>
                <w:sz w:val="12"/>
                <w:szCs w:val="12"/>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5,000,000</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648,021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Equity—1.0% </w:t>
            </w:r>
            <w:r>
              <w:rPr>
                <w:rFonts w:ascii="Arial" w:cs="Arial" w:eastAsia="Arial" w:hAnsi="Arial"/>
                <w:sz w:val="10"/>
                <w:szCs w:val="10"/>
                <w:b w:val="1"/>
                <w:bCs w:val="1"/>
                <w:color w:val="auto"/>
              </w:rPr>
              <w:t>(6)</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color w:val="auto"/>
              </w:rPr>
              <w:t>MidOcean JF Holdings Corp.</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65,933</w:t>
            </w:r>
          </w:p>
        </w:tc>
        <w:tc>
          <w:tcPr>
            <w:tcW w:w="120" w:type="dxa"/>
            <w:vAlign w:val="bottom"/>
          </w:tcPr>
          <w:p>
            <w:pPr>
              <w:spacing w:after="0"/>
              <w:rPr>
                <w:sz w:val="11"/>
                <w:szCs w:val="11"/>
                <w:color w:val="auto"/>
              </w:rPr>
            </w:pPr>
          </w:p>
        </w:tc>
        <w:tc>
          <w:tcPr>
            <w:tcW w:w="9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24,761,831</w:t>
            </w: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 (f/k/a RAM Energy, LLC)</w:t>
            </w:r>
          </w:p>
        </w:tc>
        <w:tc>
          <w:tcPr>
            <w:tcW w:w="76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Energy and Utilities</w:t>
            </w:r>
          </w:p>
        </w:tc>
        <w:tc>
          <w:tcPr>
            <w:tcW w:w="1020" w:type="dxa"/>
            <w:vAlign w:val="bottom"/>
            <w:shd w:val="clear" w:color="auto" w:fill="CCEEFF"/>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23,141</w:t>
            </w: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20,824,388</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144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1020" w:type="dxa"/>
            <w:vAlign w:val="bottom"/>
          </w:tcPr>
          <w:p>
            <w:pPr>
              <w:jc w:val="right"/>
              <w:ind w:right="277"/>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11,100</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2,211,000</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47,797,219</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6,900,207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152,387,898</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106,825,650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Investments—181.3%</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3"/>
              </w:rPr>
              <w:t>1,424,237,162</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8"/>
              </w:rPr>
              <w:t>1,299,047,833</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Cash and Cash Equivalents—6.9%</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BlackRock Liquidity Funds, Temp Cash, Institutional Shares</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4,564,638</w:t>
            </w: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4,564,638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45,072,777</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45,054,618</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2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49,637,415</w:t>
            </w: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49,619,256</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Equivalents—188.2%</w:t>
            </w: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3"/>
              </w:rPr>
              <w:t>1,473,874,577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1,348,667,089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Assets—(88.2%)</w:t>
            </w:r>
          </w:p>
        </w:tc>
        <w:tc>
          <w:tcPr>
            <w:tcW w:w="7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(632,076,547)</w:t>
            </w:r>
          </w:p>
        </w:tc>
        <w:tc>
          <w:tcPr>
            <w:tcW w:w="0" w:type="dxa"/>
            <w:vAlign w:val="bottom"/>
          </w:tcPr>
          <w:p>
            <w:pPr>
              <w:spacing w:after="0"/>
              <w:rPr>
                <w:sz w:val="1"/>
                <w:szCs w:val="1"/>
                <w:color w:val="auto"/>
              </w:rPr>
            </w:pPr>
          </w:p>
        </w:tc>
      </w:tr>
      <w:tr>
        <w:trPr>
          <w:trHeight w:val="135"/>
        </w:trPr>
        <w:tc>
          <w:tcPr>
            <w:tcW w:w="4020" w:type="dxa"/>
            <w:vAlign w:val="bottom"/>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7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rPr>
              <w:t>716,590,542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59"/>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ind w:right="-59"/>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1851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306" w:lineRule="exact"/>
        <w:rPr>
          <w:sz w:val="20"/>
          <w:szCs w:val="20"/>
          <w:color w:val="auto"/>
        </w:rPr>
      </w:pPr>
    </w:p>
    <w:p>
      <w:pPr>
        <w:ind w:left="3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1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payable in cash and/or PIK.</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a consolidated taxable subsidiary (See Note 1).</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20" w:hanging="332"/>
        <w:spacing w:after="0" w:line="237"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00"/>
          </w:cols>
          <w:pgMar w:left="32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under a separate administration agreement. See Note 3.</w:t>
      </w:r>
    </w:p>
    <w:p>
      <w:pPr>
        <w:spacing w:after="0" w:line="7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or the Taxable Subsidiaries, which are taxed as corporations for federal income tax purposes. The Taxable Subsidiaries allow us to hold equity securities of portfolio companies organized as pass-through entities while continuing to satisfy the requirements of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22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ind w:right="34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4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subject to tax as a RIC.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subject to taxation as a RIC, we do not typically pay any material level of federal income taxes. Although we are not subject to federal income taxes as a RIC, we may elect to retain a portion of our calendar year income, which may result in an excise tax, or may incur taxes through our Taxable Subsidiaries and have accrued $1.3 million and zero for taxes for the three month periods ended December 31, 2015 and 2014, respectively.</w:t>
      </w:r>
    </w:p>
    <w:p>
      <w:pPr>
        <w:spacing w:after="0" w:line="77" w:lineRule="exact"/>
        <w:rPr>
          <w:sz w:val="20"/>
          <w:szCs w:val="20"/>
          <w:color w:val="auto"/>
        </w:rPr>
      </w:pPr>
    </w:p>
    <w:p>
      <w:pPr>
        <w:jc w:val="both"/>
        <w:ind w:right="20" w:firstLine="562"/>
        <w:spacing w:after="0" w:line="238" w:lineRule="auto"/>
        <w:rPr>
          <w:sz w:val="20"/>
          <w:szCs w:val="20"/>
          <w:color w:val="auto"/>
        </w:rPr>
      </w:pPr>
      <w:r>
        <w:rPr>
          <w:rFonts w:ascii="Arial" w:cs="Arial" w:eastAsia="Arial" w:hAnsi="Arial"/>
          <w:sz w:val="14"/>
          <w:szCs w:val="14"/>
          <w:color w:val="auto"/>
        </w:rPr>
        <w:t>We recognize the effect of a tax position in our Consolidated Financial Statements when it is more likely than not, based on the technical merits, that the position will be sustained upon examination by the applicable tax authority. We did not have any uncertain tax positions or any unrecognized tax benefits that met the recognition or measurement criteria of ASC 740-10-25 as of the periods presented herein.</w:t>
      </w:r>
    </w:p>
    <w:p>
      <w:pPr>
        <w:spacing w:after="0" w:line="75" w:lineRule="exact"/>
        <w:rPr>
          <w:sz w:val="20"/>
          <w:szCs w:val="20"/>
          <w:color w:val="auto"/>
        </w:rPr>
      </w:pPr>
    </w:p>
    <w:p>
      <w:pPr>
        <w:ind w:right="120" w:firstLine="562"/>
        <w:spacing w:after="0" w:line="233"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6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2016.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7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months ended December 31, 2015 and through December 31, 2016, the Investment Adviser has voluntarily agreed, in consultation with the board of directors, to waive 16% of base management fees, correlated to our 16% energy cost exposure (oil &amp; gas and energy &amp; utilities industries) as of December 31, 2015. For the three months ended December 31, 2015 and 2014, the Investment Adviser earned a base management fee of $5.5 million (after a waiver of $1.0 million) and $6.8 million, respectively, from us.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firstLine="562"/>
        <w:spacing w:after="0" w:line="242"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pro-rated for any share issuances or repurchases during the relevant quarter, if applicable. For the three months ended December 31, 2015 and through December 31, 2016, the Investment Adviser has voluntarily agreed, in consultation with the board of directors, to waive 16% of incentive fees, correlated to our 16% energy cost exposure (oil &amp; gas and energy &amp; utilities industries) as of December 31, 2015. For the three months ended December 31, 2015 and 2014, the Investment Adviser earned an incentive fee of $3.2 million (after a waiver of $0.6 million) and $4.9 million, respectively, from us.</w:t>
      </w:r>
    </w:p>
    <w:p>
      <w:pPr>
        <w:spacing w:after="0" w:line="7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2015 and 2014, the Investment Adviser did not earn an incentive fee on capital gains as calculated under the Investment Management Agreement (as described above).</w:t>
      </w:r>
    </w:p>
    <w:p>
      <w:pPr>
        <w:spacing w:after="0" w:line="67"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each of the three months ended December 31, 2015 and 2014, our unrealized and realized capital gains did not exceed our cumulative realized and unrealized losses and therefore resulted in no accrual for capital gains incentive fees.</w:t>
      </w:r>
    </w:p>
    <w:p>
      <w:pPr>
        <w:spacing w:after="0" w:line="75"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2016.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months ended December 31, 2015 and 2014, the Investment Adviser was reimbursed $0.3 million and $0.7 million, respectively, from us, including expenses incurred on behalf of the Administrator, for the services described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Purchases of investments, including PIK interest, for the three months ended December 31, 2015 and 2014 totaled $134.8 million and $160.3 million, respectively. Sales and repayments of investments for the same periods totaled $108.1 million and $79.3 million, respectively.</w:t>
      </w:r>
    </w:p>
    <w:p>
      <w:pPr>
        <w:spacing w:after="0" w:line="6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460"/>
              <w:spacing w:after="0"/>
              <w:rPr>
                <w:sz w:val="20"/>
                <w:szCs w:val="20"/>
                <w:color w:val="auto"/>
              </w:rPr>
            </w:pPr>
            <w:r>
              <w:rPr>
                <w:rFonts w:ascii="Arial" w:cs="Arial" w:eastAsia="Arial" w:hAnsi="Arial"/>
                <w:sz w:val="14"/>
                <w:szCs w:val="14"/>
                <w:b w:val="1"/>
                <w:bCs w:val="1"/>
                <w:color w:val="auto"/>
              </w:rPr>
              <w:t>September 30, 2015</w:t>
            </w:r>
          </w:p>
        </w:tc>
        <w:tc>
          <w:tcPr>
            <w:tcW w:w="0" w:type="dxa"/>
            <w:vAlign w:val="bottom"/>
          </w:tcPr>
          <w:p>
            <w:pPr>
              <w:spacing w:after="0"/>
              <w:rPr>
                <w:sz w:val="1"/>
                <w:szCs w:val="1"/>
                <w:color w:val="auto"/>
              </w:rPr>
            </w:pPr>
          </w:p>
        </w:tc>
      </w:tr>
      <w:tr>
        <w:trPr>
          <w:trHeight w:val="142"/>
        </w:trPr>
        <w:tc>
          <w:tcPr>
            <w:tcW w:w="4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494,256,091</w:t>
            </w:r>
          </w:p>
        </w:tc>
        <w:tc>
          <w:tcPr>
            <w:tcW w:w="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477,173,046</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404,291,400</w:t>
            </w:r>
          </w:p>
        </w:tc>
        <w:tc>
          <w:tcPr>
            <w:tcW w:w="3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399,237,158</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546,185,353</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481,559,888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631,936,443</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612,552,913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197,207,470</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173,103,868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227,915,734</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182,467,798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Equity and partnership interests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189,289,570</w:t>
            </w:r>
          </w:p>
        </w:tc>
        <w:tc>
          <w:tcPr>
            <w:tcW w:w="12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130,047,559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160,093,585</w:t>
            </w:r>
          </w:p>
        </w:tc>
        <w:tc>
          <w:tcPr>
            <w:tcW w:w="1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104,789,964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1,426,938,484</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1,261,884,361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1,424,237,162</w:t>
            </w: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1,299,047,833</w:t>
            </w:r>
          </w:p>
        </w:tc>
        <w:tc>
          <w:tcPr>
            <w:tcW w:w="0" w:type="dxa"/>
            <w:vAlign w:val="bottom"/>
          </w:tcPr>
          <w:p>
            <w:pPr>
              <w:spacing w:after="0"/>
              <w:rPr>
                <w:sz w:val="1"/>
                <w:szCs w:val="1"/>
                <w:color w:val="auto"/>
              </w:rPr>
            </w:pPr>
          </w:p>
        </w:tc>
      </w:tr>
      <w:tr>
        <w:trPr>
          <w:trHeight w:val="163"/>
        </w:trPr>
        <w:tc>
          <w:tcPr>
            <w:tcW w:w="4060" w:type="dxa"/>
            <w:vAlign w:val="bottom"/>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26,281,577</w:t>
            </w:r>
          </w:p>
        </w:tc>
        <w:tc>
          <w:tcPr>
            <w:tcW w:w="3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26,254,919</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49,637,415</w:t>
            </w:r>
          </w:p>
        </w:tc>
        <w:tc>
          <w:tcPr>
            <w:tcW w:w="3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49,619,256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3"/>
              </w:rPr>
              <w:t>1,453,220,061</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1,288,139,280</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6"/>
              </w:rPr>
              <w:t>1,473,874,577</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1,348,667,089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3"/>
          <w:szCs w:val="13"/>
          <w:color w:val="auto"/>
        </w:rPr>
        <w:t>The table below describes investments by industry classification and enumerates the percentage, by fair value, of the total portfolio assets (excluding cash equivalents) in such industries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as of:</w:t>
      </w:r>
    </w:p>
    <w:p>
      <w:pPr>
        <w:spacing w:after="0" w:line="336"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3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5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December 31, 2015</w:t>
            </w:r>
          </w:p>
        </w:tc>
        <w:tc>
          <w:tcPr>
            <w:tcW w:w="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September 30, 2015</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54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right"/>
              <w:ind w:right="600"/>
              <w:spacing w:after="0" w:line="142" w:lineRule="exact"/>
              <w:rPr>
                <w:sz w:val="20"/>
                <w:szCs w:val="20"/>
                <w:color w:val="auto"/>
              </w:rPr>
            </w:pPr>
            <w:r>
              <w:rPr>
                <w:rFonts w:ascii="Arial" w:cs="Arial" w:eastAsia="Arial" w:hAnsi="Arial"/>
                <w:sz w:val="14"/>
                <w:szCs w:val="14"/>
                <w:color w:val="auto"/>
              </w:rPr>
              <w:t>14%</w:t>
            </w:r>
          </w:p>
        </w:tc>
        <w:tc>
          <w:tcPr>
            <w:tcW w:w="1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Consumer Products</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Business Services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Energy and Utilities</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Environmental Services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Oil and Gas</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Other Media</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Auto Sector</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Buildings and Real Estate</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Building Materials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 Plastics and Rubber</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line="149" w:lineRule="exact"/>
              <w:rPr>
                <w:sz w:val="20"/>
                <w:szCs w:val="20"/>
                <w:color w:val="auto"/>
              </w:rPr>
            </w:pPr>
            <w:r>
              <w:rPr>
                <w:rFonts w:ascii="Arial" w:cs="Arial" w:eastAsia="Arial" w:hAnsi="Arial"/>
                <w:sz w:val="14"/>
                <w:szCs w:val="14"/>
                <w:color w:val="auto"/>
              </w:rPr>
              <w:t>Communications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Electronics</w:t>
            </w:r>
          </w:p>
        </w:tc>
        <w:tc>
          <w:tcPr>
            <w:tcW w:w="2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2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70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40" w:type="dxa"/>
            <w:vAlign w:val="bottom"/>
            <w:shd w:val="clear" w:color="auto" w:fill="CCEEFF"/>
          </w:tcPr>
          <w:p>
            <w:pPr>
              <w:spacing w:after="0"/>
              <w:rPr>
                <w:sz w:val="12"/>
                <w:szCs w:val="12"/>
                <w:color w:val="auto"/>
              </w:rPr>
            </w:pPr>
          </w:p>
        </w:tc>
        <w:tc>
          <w:tcPr>
            <w:tcW w:w="1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700" w:type="dxa"/>
            <w:vAlign w:val="bottom"/>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540" w:type="dxa"/>
            <w:vAlign w:val="bottom"/>
          </w:tcPr>
          <w:p>
            <w:pPr>
              <w:spacing w:after="0"/>
              <w:rPr>
                <w:sz w:val="13"/>
                <w:szCs w:val="13"/>
                <w:color w:val="auto"/>
              </w:rPr>
            </w:pPr>
          </w:p>
        </w:tc>
        <w:tc>
          <w:tcPr>
            <w:tcW w:w="2240" w:type="dxa"/>
            <w:vAlign w:val="bottom"/>
            <w:gridSpan w:val="2"/>
          </w:tcPr>
          <w:p>
            <w:pPr>
              <w:jc w:val="right"/>
              <w:ind w:right="600"/>
              <w:spacing w:after="0" w:line="155" w:lineRule="exact"/>
              <w:rPr>
                <w:sz w:val="20"/>
                <w:szCs w:val="20"/>
                <w:color w:val="auto"/>
              </w:rPr>
            </w:pPr>
            <w:r>
              <w:rPr>
                <w:rFonts w:ascii="Arial" w:cs="Arial" w:eastAsia="Arial" w:hAnsi="Arial"/>
                <w:sz w:val="14"/>
                <w:szCs w:val="14"/>
                <w:color w:val="auto"/>
              </w:rPr>
              <w:t>100%</w:t>
            </w:r>
          </w:p>
        </w:tc>
        <w:tc>
          <w:tcPr>
            <w:tcW w:w="15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33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64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86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ind w:right="12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2015 and 2014, our ability to observe valuation inputs resulted in one reclassification of an asset from Level 2 to 1 and one reclassification of an asset from Level 2 to 3, respectively.</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67" w:lineRule="exact"/>
        <w:rPr>
          <w:sz w:val="20"/>
          <w:szCs w:val="20"/>
          <w:color w:val="auto"/>
        </w:rPr>
      </w:pPr>
    </w:p>
    <w:p>
      <w:pPr>
        <w:ind w:right="60" w:firstLine="562"/>
        <w:spacing w:after="0" w:line="245" w:lineRule="auto"/>
        <w:rPr>
          <w:sz w:val="20"/>
          <w:szCs w:val="20"/>
          <w:color w:val="auto"/>
        </w:rPr>
      </w:pPr>
      <w:r>
        <w:rPr>
          <w:rFonts w:ascii="Arial" w:cs="Arial" w:eastAsia="Arial" w:hAnsi="Arial"/>
          <w:sz w:val="13"/>
          <w:szCs w:val="13"/>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180"/>
          </w:cols>
          <w:pgMar w:left="32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Fair Value at</w:t>
            </w:r>
          </w:p>
        </w:tc>
        <w:tc>
          <w:tcPr>
            <w:tcW w:w="18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Unobservable 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7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1"/>
              </w:rPr>
              <w:t>December 31, 2015</w:t>
            </w:r>
          </w:p>
        </w:tc>
        <w:tc>
          <w:tcPr>
            <w:tcW w:w="182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137,100,605</w:t>
            </w:r>
          </w:p>
        </w:tc>
        <w:tc>
          <w:tcPr>
            <w:tcW w:w="50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420" w:type="dxa"/>
            <w:vAlign w:val="bottom"/>
          </w:tcPr>
          <w:p>
            <w:pPr>
              <w:spacing w:after="0" w:line="149" w:lineRule="exact"/>
              <w:rPr>
                <w:sz w:val="20"/>
                <w:szCs w:val="20"/>
                <w:color w:val="auto"/>
              </w:rPr>
            </w:pPr>
            <w:r>
              <w:rPr>
                <w:rFonts w:ascii="Arial" w:cs="Arial" w:eastAsia="Arial" w:hAnsi="Arial"/>
                <w:sz w:val="14"/>
                <w:szCs w:val="14"/>
                <w:color w:val="auto"/>
              </w:rPr>
              <w:t>Debt investments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994,736,197</w:t>
            </w:r>
          </w:p>
        </w:tc>
        <w:tc>
          <w:tcPr>
            <w:tcW w:w="1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6.3% – 22.5% (13.3%)</w:t>
            </w:r>
          </w:p>
        </w:tc>
        <w:tc>
          <w:tcPr>
            <w:tcW w:w="0" w:type="dxa"/>
            <w:vAlign w:val="bottom"/>
          </w:tcPr>
          <w:p>
            <w:pPr>
              <w:spacing w:after="0"/>
              <w:rPr>
                <w:sz w:val="1"/>
                <w:szCs w:val="1"/>
                <w:color w:val="auto"/>
              </w:rPr>
            </w:pPr>
          </w:p>
        </w:tc>
      </w:tr>
      <w:tr>
        <w:trPr>
          <w:trHeight w:val="148"/>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129,370,621</w:t>
            </w:r>
          </w:p>
        </w:tc>
        <w:tc>
          <w:tcPr>
            <w:tcW w:w="18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Enterprise Market Value</w:t>
            </w:r>
          </w:p>
        </w:tc>
        <w:tc>
          <w:tcPr>
            <w:tcW w:w="20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3.4x – 27.5x (9.3x)</w:t>
            </w:r>
          </w:p>
        </w:tc>
        <w:tc>
          <w:tcPr>
            <w:tcW w:w="0" w:type="dxa"/>
            <w:vAlign w:val="bottom"/>
          </w:tcPr>
          <w:p>
            <w:pPr>
              <w:spacing w:after="0"/>
              <w:rPr>
                <w:sz w:val="1"/>
                <w:szCs w:val="1"/>
                <w:color w:val="auto"/>
              </w:rPr>
            </w:pPr>
          </w:p>
        </w:tc>
      </w:tr>
      <w:tr>
        <w:trPr>
          <w:trHeight w:val="156"/>
        </w:trPr>
        <w:tc>
          <w:tcPr>
            <w:tcW w:w="3420" w:type="dxa"/>
            <w:vAlign w:val="bottom"/>
          </w:tcPr>
          <w:p>
            <w:pPr>
              <w:ind w:left="280"/>
              <w:spacing w:after="0" w:line="155" w:lineRule="exact"/>
              <w:rPr>
                <w:sz w:val="20"/>
                <w:szCs w:val="20"/>
                <w:color w:val="auto"/>
              </w:rPr>
            </w:pPr>
            <w:r>
              <w:rPr>
                <w:rFonts w:ascii="Arial" w:cs="Arial" w:eastAsia="Arial" w:hAnsi="Arial"/>
                <w:sz w:val="14"/>
                <w:szCs w:val="14"/>
                <w:color w:val="auto"/>
              </w:rPr>
              <w:t>Total Level 3 investments</w:t>
            </w: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1,261,207,423</w:t>
            </w:r>
          </w:p>
        </w:tc>
        <w:tc>
          <w:tcPr>
            <w:tcW w:w="5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40" w:type="dxa"/>
            <w:vAlign w:val="bottom"/>
            <w:gridSpan w:val="2"/>
            <w:shd w:val="clear" w:color="auto" w:fill="CCEEFF"/>
          </w:tcPr>
          <w:p>
            <w:pPr>
              <w:jc w:val="right"/>
              <w:ind w:right="2"/>
              <w:spacing w:after="0" w:line="143"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134,682,108</w:t>
            </w:r>
          </w:p>
        </w:tc>
        <w:tc>
          <w:tcPr>
            <w:tcW w:w="182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4"/>
              </w:rPr>
              <w:t>Market Comparable</w:t>
            </w:r>
          </w:p>
        </w:tc>
        <w:tc>
          <w:tcPr>
            <w:tcW w:w="2080" w:type="dxa"/>
            <w:vAlign w:val="bottom"/>
            <w:gridSpan w:val="2"/>
            <w:shd w:val="clear" w:color="auto" w:fill="CCEEFF"/>
          </w:tcPr>
          <w:p>
            <w:pPr>
              <w:jc w:val="center"/>
              <w:ind w:right="400"/>
              <w:spacing w:after="0" w:line="143" w:lineRule="exact"/>
              <w:rPr>
                <w:sz w:val="20"/>
                <w:szCs w:val="20"/>
                <w:color w:val="auto"/>
              </w:rPr>
            </w:pPr>
            <w:r>
              <w:rPr>
                <w:rFonts w:ascii="Arial" w:cs="Arial" w:eastAsia="Arial" w:hAnsi="Arial"/>
                <w:sz w:val="14"/>
                <w:szCs w:val="14"/>
                <w:color w:val="auto"/>
                <w:w w:val="97"/>
              </w:rPr>
              <w:t>Market Yield</w:t>
            </w:r>
          </w:p>
        </w:tc>
        <w:tc>
          <w:tcPr>
            <w:tcW w:w="13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4.3%</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 at</w:t>
            </w:r>
          </w:p>
        </w:tc>
        <w:tc>
          <w:tcPr>
            <w:tcW w:w="18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Valuation Technique</w:t>
            </w:r>
          </w:p>
        </w:tc>
        <w:tc>
          <w:tcPr>
            <w:tcW w:w="20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Unobservable Input</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82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42"/>
        </w:trPr>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4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281,455,418</w:t>
            </w:r>
          </w:p>
        </w:tc>
        <w:tc>
          <w:tcPr>
            <w:tcW w:w="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3"/>
              </w:rPr>
              <w:t>Broker/Dealer bids or quotes</w:t>
            </w:r>
          </w:p>
        </w:tc>
        <w:tc>
          <w:tcPr>
            <w:tcW w:w="4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Debt 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912,802,451</w:t>
            </w:r>
          </w:p>
        </w:tc>
        <w:tc>
          <w:tcPr>
            <w:tcW w:w="480" w:type="dxa"/>
            <w:vAlign w:val="bottom"/>
          </w:tcPr>
          <w:p>
            <w:pPr>
              <w:spacing w:after="0"/>
              <w:rPr>
                <w:sz w:val="12"/>
                <w:szCs w:val="12"/>
                <w:color w:val="auto"/>
              </w:rPr>
            </w:pPr>
          </w:p>
        </w:tc>
        <w:tc>
          <w:tcPr>
            <w:tcW w:w="1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0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7"/>
              </w:rPr>
              <w:t>Market Yield</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9.6% – 34.7% (14.1%)</w:t>
            </w:r>
          </w:p>
        </w:tc>
        <w:tc>
          <w:tcPr>
            <w:tcW w:w="0" w:type="dxa"/>
            <w:vAlign w:val="bottom"/>
          </w:tcPr>
          <w:p>
            <w:pPr>
              <w:spacing w:after="0"/>
              <w:rPr>
                <w:sz w:val="1"/>
                <w:szCs w:val="1"/>
                <w:color w:val="auto"/>
              </w:rPr>
            </w:pPr>
          </w:p>
        </w:tc>
      </w:tr>
      <w:tr>
        <w:trPr>
          <w:trHeight w:val="149"/>
        </w:trPr>
        <w:tc>
          <w:tcPr>
            <w:tcW w:w="3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2,715,722</w:t>
            </w:r>
          </w:p>
        </w:tc>
        <w:tc>
          <w:tcPr>
            <w:tcW w:w="48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Market Comparable</w:t>
            </w:r>
          </w:p>
        </w:tc>
        <w:tc>
          <w:tcPr>
            <w:tcW w:w="20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3"/>
              </w:rPr>
              <w:t>Broker/Dealer bids or quotes</w:t>
            </w:r>
          </w:p>
        </w:tc>
        <w:tc>
          <w:tcPr>
            <w:tcW w:w="13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5"/>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100,453,864</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2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3"/>
              </w:rPr>
              <w:t>Enterprise Market Value</w:t>
            </w:r>
          </w:p>
        </w:tc>
        <w:tc>
          <w:tcPr>
            <w:tcW w:w="20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9"/>
              </w:rPr>
              <w:t>EBITDA multiple</w:t>
            </w:r>
          </w:p>
        </w:tc>
        <w:tc>
          <w:tcPr>
            <w:tcW w:w="1340" w:type="dxa"/>
            <w:vAlign w:val="bottom"/>
          </w:tcPr>
          <w:p>
            <w:pPr>
              <w:jc w:val="center"/>
              <w:spacing w:after="0" w:line="149" w:lineRule="exact"/>
              <w:rPr>
                <w:sz w:val="20"/>
                <w:szCs w:val="20"/>
                <w:color w:val="auto"/>
              </w:rPr>
            </w:pPr>
            <w:r>
              <w:rPr>
                <w:rFonts w:ascii="Arial" w:cs="Arial" w:eastAsia="Arial" w:hAnsi="Arial"/>
                <w:sz w:val="14"/>
                <w:szCs w:val="14"/>
                <w:color w:val="auto"/>
                <w:w w:val="94"/>
              </w:rPr>
              <w:t>3.4x – 22.5x (9.2x)</w:t>
            </w:r>
          </w:p>
        </w:tc>
        <w:tc>
          <w:tcPr>
            <w:tcW w:w="0" w:type="dxa"/>
            <w:vAlign w:val="bottom"/>
          </w:tcPr>
          <w:p>
            <w:pPr>
              <w:spacing w:after="0"/>
              <w:rPr>
                <w:sz w:val="1"/>
                <w:szCs w:val="1"/>
                <w:color w:val="auto"/>
              </w:rPr>
            </w:pPr>
          </w:p>
        </w:tc>
      </w:tr>
      <w:tr>
        <w:trPr>
          <w:trHeight w:val="148"/>
        </w:trPr>
        <w:tc>
          <w:tcPr>
            <w:tcW w:w="384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Total Level 3 investments</w:t>
            </w:r>
          </w:p>
        </w:tc>
        <w:tc>
          <w:tcPr>
            <w:tcW w:w="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1,297,427,455</w:t>
            </w:r>
          </w:p>
        </w:tc>
        <w:tc>
          <w:tcPr>
            <w:tcW w:w="1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4"/>
              </w:rPr>
              <w:t>Market Comparable</w:t>
            </w:r>
          </w:p>
        </w:tc>
        <w:tc>
          <w:tcPr>
            <w:tcW w:w="2080" w:type="dxa"/>
            <w:vAlign w:val="bottom"/>
            <w:gridSpan w:val="2"/>
            <w:vMerge w:val="restart"/>
          </w:tcPr>
          <w:p>
            <w:pPr>
              <w:jc w:val="center"/>
              <w:ind w:right="400"/>
              <w:spacing w:after="0"/>
              <w:rPr>
                <w:sz w:val="20"/>
                <w:szCs w:val="20"/>
                <w:color w:val="auto"/>
              </w:rPr>
            </w:pPr>
            <w:r>
              <w:rPr>
                <w:rFonts w:ascii="Arial" w:cs="Arial" w:eastAsia="Arial" w:hAnsi="Arial"/>
                <w:sz w:val="14"/>
                <w:szCs w:val="14"/>
                <w:color w:val="auto"/>
                <w:w w:val="97"/>
              </w:rPr>
              <w:t>Market Yield</w:t>
            </w:r>
          </w:p>
        </w:tc>
        <w:tc>
          <w:tcPr>
            <w:tcW w:w="1340" w:type="dxa"/>
            <w:vAlign w:val="bottom"/>
            <w:vMerge w:val="restart"/>
          </w:tcPr>
          <w:p>
            <w:pPr>
              <w:jc w:val="center"/>
              <w:spacing w:after="0"/>
              <w:rPr>
                <w:sz w:val="20"/>
                <w:szCs w:val="20"/>
                <w:color w:val="auto"/>
              </w:rPr>
            </w:pPr>
            <w:r>
              <w:rPr>
                <w:rFonts w:ascii="Arial" w:cs="Arial" w:eastAsia="Arial" w:hAnsi="Arial"/>
                <w:sz w:val="14"/>
                <w:szCs w:val="14"/>
                <w:color w:val="auto"/>
                <w:w w:val="93"/>
              </w:rPr>
              <w:t>3.4%</w:t>
            </w:r>
          </w:p>
        </w:tc>
        <w:tc>
          <w:tcPr>
            <w:tcW w:w="0" w:type="dxa"/>
            <w:vAlign w:val="bottom"/>
          </w:tcPr>
          <w:p>
            <w:pPr>
              <w:spacing w:after="0" w:line="20" w:lineRule="exact"/>
              <w:rPr>
                <w:sz w:val="1"/>
                <w:szCs w:val="1"/>
                <w:color w:val="auto"/>
              </w:rPr>
            </w:pPr>
          </w:p>
        </w:tc>
      </w:tr>
      <w:tr>
        <w:trPr>
          <w:trHeight w:val="143"/>
        </w:trPr>
        <w:tc>
          <w:tcPr>
            <w:tcW w:w="38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132,356,860</w:t>
            </w:r>
          </w:p>
        </w:tc>
        <w:tc>
          <w:tcPr>
            <w:tcW w:w="2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w w:val="97"/>
              </w:rPr>
              <w:t>Fair Value at December 31, 2015</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1,131,836,802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1,131,836,802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130,047,559</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676,938</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129,370,621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1,261,884,361</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676,938</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1,261,207,423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54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26,254,919</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26,254,919</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1,288,139,280</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26,931,857</w:t>
            </w:r>
          </w:p>
        </w:tc>
        <w:tc>
          <w:tcPr>
            <w:tcW w:w="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1,261,207,423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134,682,108</w:t>
            </w:r>
          </w:p>
        </w:tc>
        <w:tc>
          <w:tcPr>
            <w:tcW w:w="3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134,682,108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249,247,500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249,247,500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54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455,065,608</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71,136,000</w:t>
            </w:r>
          </w:p>
        </w:tc>
        <w:tc>
          <w:tcPr>
            <w:tcW w:w="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249,247,500</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134,682,108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w w:val="96"/>
              </w:rPr>
              <w:t>Fair Value at September 30, 2015</w:t>
            </w: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1,194,257,869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60" w:type="dxa"/>
            <w:vAlign w:val="bottom"/>
          </w:tcPr>
          <w:p>
            <w:pPr>
              <w:spacing w:after="0" w:line="149" w:lineRule="exact"/>
              <w:rPr>
                <w:sz w:val="20"/>
                <w:szCs w:val="20"/>
                <w:color w:val="auto"/>
              </w:rPr>
            </w:pPr>
            <w:r>
              <w:rPr>
                <w:rFonts w:ascii="Arial" w:cs="Arial" w:eastAsia="Arial" w:hAnsi="Arial"/>
                <w:sz w:val="14"/>
                <w:szCs w:val="14"/>
                <w:color w:val="auto"/>
              </w:rPr>
              <w:t>Equity investments</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104,789,964</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1,620,378</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103,169,586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1,299,047,833</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1,297,427,455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26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49,619,256</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and cash and cash equivalents</w:t>
            </w:r>
          </w:p>
        </w:tc>
        <w:tc>
          <w:tcPr>
            <w:tcW w:w="14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1,348,667,089</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49,619,256</w:t>
            </w:r>
          </w:p>
        </w:tc>
        <w:tc>
          <w:tcPr>
            <w:tcW w:w="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1,620,378</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1,297,427,455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jc w:val="right"/>
              <w:spacing w:after="0" w:line="143"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3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0" w:type="dxa"/>
            <w:vAlign w:val="bottom"/>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132,356,860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253,102,500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253,102,500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71,136,000</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456,595,360</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71,136,000</w:t>
            </w:r>
          </w:p>
        </w:tc>
        <w:tc>
          <w:tcPr>
            <w:tcW w:w="48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253,102,500</w:t>
            </w:r>
          </w:p>
        </w:tc>
        <w:tc>
          <w:tcPr>
            <w:tcW w:w="44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132,356,860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42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center"/>
              <w:ind w:right="8"/>
              <w:spacing w:after="0"/>
              <w:rPr>
                <w:sz w:val="20"/>
                <w:szCs w:val="20"/>
                <w:color w:val="auto"/>
              </w:rPr>
            </w:pPr>
            <w:r>
              <w:rPr>
                <w:rFonts w:ascii="Arial" w:cs="Arial" w:eastAsia="Arial" w:hAnsi="Arial"/>
                <w:sz w:val="14"/>
                <w:szCs w:val="14"/>
                <w:b w:val="1"/>
                <w:bCs w:val="1"/>
                <w:color w:val="auto"/>
                <w:w w:val="93"/>
              </w:rPr>
              <w:t>Three Months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8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1,194,257,869</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103,169,586</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80" w:type="dxa"/>
            <w:vAlign w:val="bottom"/>
          </w:tcPr>
          <w:p>
            <w:pPr>
              <w:spacing w:after="0"/>
              <w:rPr>
                <w:sz w:val="12"/>
                <w:szCs w:val="12"/>
                <w:color w:val="auto"/>
              </w:rPr>
            </w:pPr>
          </w:p>
        </w:tc>
        <w:tc>
          <w:tcPr>
            <w:tcW w:w="9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(27,123,807)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1,691,446</w:t>
            </w:r>
          </w:p>
        </w:tc>
        <w:tc>
          <w:tcPr>
            <w:tcW w:w="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(25,432,361)</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(35,926,407)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(3,177,458)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(39,103,865)</w:t>
            </w:r>
          </w:p>
        </w:tc>
        <w:tc>
          <w:tcPr>
            <w:tcW w:w="0" w:type="dxa"/>
            <w:vAlign w:val="bottom"/>
          </w:tcPr>
          <w:p>
            <w:pPr>
              <w:spacing w:after="0"/>
              <w:rPr>
                <w:sz w:val="1"/>
                <w:szCs w:val="1"/>
                <w:color w:val="auto"/>
              </w:rPr>
            </w:pPr>
          </w:p>
        </w:tc>
      </w:tr>
      <w:tr>
        <w:trPr>
          <w:trHeight w:val="149"/>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104,756,425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31,628,493</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136,384,918</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(104,127,278)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(3,941,446)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8"/>
              </w:rPr>
              <w:t>(108,068,724)</w:t>
            </w:r>
          </w:p>
        </w:tc>
        <w:tc>
          <w:tcPr>
            <w:tcW w:w="0" w:type="dxa"/>
            <w:vAlign w:val="bottom"/>
          </w:tcPr>
          <w:p>
            <w:pPr>
              <w:spacing w:after="0"/>
              <w:rPr>
                <w:sz w:val="1"/>
                <w:szCs w:val="1"/>
                <w:color w:val="auto"/>
              </w:rPr>
            </w:pPr>
          </w:p>
        </w:tc>
      </w:tr>
      <w:tr>
        <w:trPr>
          <w:trHeight w:val="155"/>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1,131,836,802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2"/>
              </w:rPr>
              <w:t>129,370,621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1,261,207,423</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(depreciation) appreciation 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80" w:type="dxa"/>
            <w:vAlign w:val="bottom"/>
            <w:gridSpan w:val="2"/>
          </w:tcPr>
          <w:p>
            <w:pPr>
              <w:ind w:left="160"/>
              <w:spacing w:after="0"/>
              <w:rPr>
                <w:sz w:val="20"/>
                <w:szCs w:val="20"/>
                <w:color w:val="auto"/>
              </w:rPr>
            </w:pPr>
            <w:r>
              <w:rPr>
                <w:rFonts w:ascii="Arial" w:cs="Arial" w:eastAsia="Arial" w:hAnsi="Arial"/>
                <w:sz w:val="14"/>
                <w:szCs w:val="14"/>
                <w:color w:val="auto"/>
              </w:rPr>
              <w:t>investments in our Consolidated Statements of Operations attributable to our Level 3 assets still held at the reporting date.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(59,533,459)</w:t>
            </w: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2,796,027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(56,737,432)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jc w:val="center"/>
              <w:ind w:right="8"/>
              <w:spacing w:after="0"/>
              <w:rPr>
                <w:sz w:val="20"/>
                <w:szCs w:val="20"/>
                <w:color w:val="auto"/>
              </w:rPr>
            </w:pPr>
            <w:r>
              <w:rPr>
                <w:rFonts w:ascii="Arial" w:cs="Arial" w:eastAsia="Arial" w:hAnsi="Arial"/>
                <w:sz w:val="14"/>
                <w:szCs w:val="14"/>
                <w:b w:val="1"/>
                <w:bCs w:val="1"/>
                <w:color w:val="auto"/>
                <w:w w:val="93"/>
              </w:rPr>
              <w:t>Three Months Ended December 31, 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0"/>
                <w:szCs w:val="10"/>
                <w:color w:val="auto"/>
              </w:rPr>
            </w:pPr>
          </w:p>
        </w:tc>
        <w:tc>
          <w:tcPr>
            <w:tcW w:w="9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8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investments</w:t>
            </w:r>
          </w:p>
        </w:tc>
        <w:tc>
          <w:tcPr>
            <w:tcW w:w="8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1,161,475,899</w:t>
            </w: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111,862,237</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1,273,338,136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gains</w:t>
            </w:r>
          </w:p>
        </w:tc>
        <w:tc>
          <w:tcPr>
            <w:tcW w:w="80" w:type="dxa"/>
            <w:vAlign w:val="bottom"/>
          </w:tcPr>
          <w:p>
            <w:pPr>
              <w:spacing w:after="0"/>
              <w:rPr>
                <w:sz w:val="12"/>
                <w:szCs w:val="12"/>
                <w:color w:val="auto"/>
              </w:rPr>
            </w:pPr>
          </w:p>
        </w:tc>
        <w:tc>
          <w:tcPr>
            <w:tcW w:w="9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495,299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8,308,938</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8,804,237</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(47,106,810)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(1,622,841)</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(48,729,651)</w:t>
            </w:r>
          </w:p>
        </w:tc>
        <w:tc>
          <w:tcPr>
            <w:tcW w:w="0" w:type="dxa"/>
            <w:vAlign w:val="bottom"/>
          </w:tcPr>
          <w:p>
            <w:pPr>
              <w:spacing w:after="0"/>
              <w:rPr>
                <w:sz w:val="1"/>
                <w:szCs w:val="1"/>
                <w:color w:val="auto"/>
              </w:rPr>
            </w:pPr>
          </w:p>
        </w:tc>
      </w:tr>
      <w:tr>
        <w:trPr>
          <w:trHeight w:val="148"/>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8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140,464,187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5,704,999</w:t>
            </w: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146,169,186</w:t>
            </w: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(65,951,718)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5"/>
              </w:rPr>
              <w:t>(13,520,558)</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(79,472,276)</w:t>
            </w:r>
          </w:p>
        </w:tc>
        <w:tc>
          <w:tcPr>
            <w:tcW w:w="0" w:type="dxa"/>
            <w:vAlign w:val="bottom"/>
          </w:tcPr>
          <w:p>
            <w:pPr>
              <w:spacing w:after="0"/>
              <w:rPr>
                <w:sz w:val="1"/>
                <w:szCs w:val="1"/>
                <w:color w:val="auto"/>
              </w:rPr>
            </w:pPr>
          </w:p>
        </w:tc>
      </w:tr>
      <w:tr>
        <w:trPr>
          <w:trHeight w:val="156"/>
        </w:trPr>
        <w:tc>
          <w:tcPr>
            <w:tcW w:w="808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29,146,379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29,146,379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1,218,523,236</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2"/>
              </w:rPr>
              <w:t>110,732,775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1,329,256,011</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 (depreciation) appreciation 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80" w:type="dxa"/>
            <w:vAlign w:val="bottom"/>
            <w:gridSpan w:val="2"/>
          </w:tcPr>
          <w:p>
            <w:pPr>
              <w:ind w:left="160"/>
              <w:spacing w:after="0"/>
              <w:rPr>
                <w:sz w:val="20"/>
                <w:szCs w:val="20"/>
                <w:color w:val="auto"/>
              </w:rPr>
            </w:pPr>
            <w:r>
              <w:rPr>
                <w:rFonts w:ascii="Arial" w:cs="Arial" w:eastAsia="Arial" w:hAnsi="Arial"/>
                <w:sz w:val="14"/>
                <w:szCs w:val="14"/>
                <w:color w:val="auto"/>
              </w:rPr>
              <w:t>investments in our Consolidated Statements of Operations attributable to our Level 3 assets still held at the reporting date.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3"/>
          </w:tcPr>
          <w:p>
            <w:pPr>
              <w:jc w:val="right"/>
              <w:ind w:right="80"/>
              <w:spacing w:after="0"/>
              <w:rPr>
                <w:sz w:val="20"/>
                <w:szCs w:val="20"/>
                <w:color w:val="auto"/>
              </w:rPr>
            </w:pPr>
            <w:r>
              <w:rPr>
                <w:rFonts w:ascii="Arial" w:cs="Arial" w:eastAsia="Arial" w:hAnsi="Arial"/>
                <w:sz w:val="14"/>
                <w:szCs w:val="14"/>
                <w:color w:val="auto"/>
              </w:rPr>
              <w:t>(47,853,929)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3,534,841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(44,319,088)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42"/>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40" w:type="dxa"/>
            <w:vAlign w:val="bottom"/>
            <w:tcBorders>
              <w:top w:val="single" w:sz="8" w:color="auto"/>
              <w:bottom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w w:val="93"/>
              </w:rPr>
              <w:t>Three Months Ended December 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9"/>
              </w:rPr>
              <w:t>Beginning Balance (cost – $106,864,300 and $305,226,300, respectively)</w:t>
            </w:r>
          </w:p>
        </w:tc>
        <w:tc>
          <w:tcPr>
            <w:tcW w:w="4380" w:type="dxa"/>
            <w:vAlign w:val="bottom"/>
            <w:gridSpan w:val="2"/>
            <w:shd w:val="clear" w:color="auto" w:fill="CCEEFF"/>
          </w:tcPr>
          <w:p>
            <w:pPr>
              <w:spacing w:after="0"/>
              <w:rPr>
                <w:sz w:val="12"/>
                <w:szCs w:val="12"/>
                <w:color w:val="auto"/>
              </w:rPr>
            </w:pPr>
          </w:p>
        </w:tc>
        <w:tc>
          <w:tcPr>
            <w:tcW w:w="140" w:type="dxa"/>
            <w:vAlign w:val="bottom"/>
            <w:shd w:val="clear" w:color="auto" w:fill="CCEEFF"/>
          </w:tcPr>
          <w:p>
            <w:pPr>
              <w:jc w:val="right"/>
              <w:ind w:right="23"/>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304,847,870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(3,805,775)</w:t>
            </w:r>
          </w:p>
        </w:tc>
        <w:tc>
          <w:tcPr>
            <w:tcW w:w="1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(2,740,127)</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4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126,316,923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116,000,000</w:t>
            </w:r>
          </w:p>
        </w:tc>
        <w:tc>
          <w:tcPr>
            <w:tcW w:w="0" w:type="dxa"/>
            <w:vAlign w:val="bottom"/>
          </w:tcPr>
          <w:p>
            <w:pPr>
              <w:spacing w:after="0"/>
              <w:rPr>
                <w:sz w:val="1"/>
                <w:szCs w:val="1"/>
                <w:color w:val="auto"/>
              </w:rPr>
            </w:pPr>
          </w:p>
        </w:tc>
      </w:tr>
      <w:tr>
        <w:trPr>
          <w:trHeight w:val="149"/>
        </w:trPr>
        <w:tc>
          <w:tcPr>
            <w:tcW w:w="454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(105,185,900)</w:t>
            </w:r>
          </w:p>
        </w:tc>
        <w:tc>
          <w:tcPr>
            <w:tcW w:w="18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(53,344,800)</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$127,995,323 and $367,881,500, respectively)</w:t>
            </w:r>
          </w:p>
        </w:tc>
        <w:tc>
          <w:tcPr>
            <w:tcW w:w="4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119,682,108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364,762,943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4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15,000,000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8,000,000</w:t>
            </w:r>
          </w:p>
        </w:tc>
        <w:tc>
          <w:tcPr>
            <w:tcW w:w="0" w:type="dxa"/>
            <w:vAlign w:val="bottom"/>
          </w:tcPr>
          <w:p>
            <w:pPr>
              <w:spacing w:after="0"/>
              <w:rPr>
                <w:sz w:val="1"/>
                <w:szCs w:val="1"/>
                <w:color w:val="auto"/>
              </w:rPr>
            </w:pPr>
          </w:p>
        </w:tc>
      </w:tr>
      <w:tr>
        <w:trPr>
          <w:trHeight w:val="156"/>
        </w:trPr>
        <w:tc>
          <w:tcPr>
            <w:tcW w:w="4540" w:type="dxa"/>
            <w:vAlign w:val="bottom"/>
          </w:tcPr>
          <w:p>
            <w:pPr>
              <w:spacing w:after="0" w:line="155" w:lineRule="exact"/>
              <w:rPr>
                <w:sz w:val="20"/>
                <w:szCs w:val="20"/>
                <w:color w:val="auto"/>
              </w:rPr>
            </w:pPr>
            <w:r>
              <w:rPr>
                <w:rFonts w:ascii="Arial" w:cs="Arial" w:eastAsia="Arial" w:hAnsi="Arial"/>
                <w:sz w:val="14"/>
                <w:szCs w:val="14"/>
                <w:color w:val="auto"/>
              </w:rPr>
              <w:t>Ending Balance (cost – $142,995,323 and $375,881,500, respectively)</w:t>
            </w:r>
          </w:p>
        </w:tc>
        <w:tc>
          <w:tcPr>
            <w:tcW w:w="43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134,682,108</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372,762,943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16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164" w:lineRule="exact"/>
        <w:rPr>
          <w:sz w:val="20"/>
          <w:szCs w:val="20"/>
          <w:color w:val="auto"/>
        </w:rPr>
      </w:pPr>
    </w:p>
    <w:p>
      <w:pPr>
        <w:spacing w:after="0"/>
        <w:tabs>
          <w:tab w:leader="none" w:pos="32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Excludes temporary draws.</w:t>
      </w:r>
    </w:p>
    <w:p>
      <w:pPr>
        <w:spacing w:after="0" w:line="204"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As of December 31, 2015, we had outstanding non-U.S. dollar borrowings on our Credit Facility denominated in British Pounds. Net currency change in fair value on these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0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Reset Date</w:t>
            </w: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Borrowing Cost</w:t>
            </w: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3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32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48,000,000</w:t>
            </w:r>
          </w:p>
        </w:tc>
        <w:tc>
          <w:tcPr>
            <w:tcW w:w="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76,995,323</w:t>
            </w: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70,762,032</w:t>
            </w:r>
          </w:p>
        </w:tc>
        <w:tc>
          <w:tcPr>
            <w:tcW w:w="4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January 4, 2016</w:t>
            </w:r>
          </w:p>
        </w:tc>
        <w:tc>
          <w:tcPr>
            <w:tcW w:w="4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320"/>
              <w:spacing w:after="0" w:line="135" w:lineRule="exact"/>
              <w:rPr>
                <w:sz w:val="20"/>
                <w:szCs w:val="20"/>
                <w:color w:val="auto"/>
              </w:rPr>
            </w:pPr>
            <w:r>
              <w:rPr>
                <w:rFonts w:ascii="Arial" w:cs="Arial" w:eastAsia="Arial" w:hAnsi="Arial"/>
                <w:sz w:val="14"/>
                <w:szCs w:val="14"/>
                <w:color w:val="auto"/>
              </w:rPr>
              <w:t>(6,233,291)</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6"/>
        </w:trPr>
        <w:tc>
          <w:tcPr>
            <w:tcW w:w="11240" w:type="dxa"/>
            <w:vAlign w:val="bottom"/>
            <w:gridSpan w:val="16"/>
          </w:tcPr>
          <w:p>
            <w:pPr>
              <w:ind w:left="560"/>
              <w:spacing w:after="0"/>
              <w:rPr>
                <w:sz w:val="20"/>
                <w:szCs w:val="20"/>
                <w:color w:val="auto"/>
              </w:rPr>
            </w:pPr>
            <w:r>
              <w:rPr>
                <w:rFonts w:ascii="Arial" w:cs="Arial" w:eastAsia="Arial" w:hAnsi="Arial"/>
                <w:sz w:val="14"/>
                <w:szCs w:val="14"/>
                <w:color w:val="auto"/>
                <w:w w:val="94"/>
              </w:rPr>
              <w:t>As of September 30, 2015, we had outstanding non-U.S. dollar borrowings on our Credit Facility denominated in British Pounds. Net currency change in fair value on these outstanding</w:t>
            </w:r>
          </w:p>
        </w:tc>
        <w:tc>
          <w:tcPr>
            <w:tcW w:w="0" w:type="dxa"/>
            <w:vAlign w:val="bottom"/>
          </w:tcPr>
          <w:p>
            <w:pPr>
              <w:spacing w:after="0"/>
              <w:rPr>
                <w:sz w:val="1"/>
                <w:szCs w:val="1"/>
                <w:color w:val="auto"/>
              </w:rPr>
            </w:pPr>
          </w:p>
        </w:tc>
      </w:tr>
      <w:tr>
        <w:trPr>
          <w:trHeight w:val="182"/>
        </w:trPr>
        <w:tc>
          <w:tcPr>
            <w:tcW w:w="3200" w:type="dxa"/>
            <w:vAlign w:val="bottom"/>
            <w:gridSpan w:val="2"/>
          </w:tcPr>
          <w:p>
            <w:pPr>
              <w:spacing w:after="0"/>
              <w:rPr>
                <w:sz w:val="20"/>
                <w:szCs w:val="20"/>
                <w:color w:val="auto"/>
              </w:rPr>
            </w:pPr>
            <w:r>
              <w:rPr>
                <w:rFonts w:ascii="Arial" w:cs="Arial" w:eastAsia="Arial" w:hAnsi="Arial"/>
                <w:sz w:val="14"/>
                <w:szCs w:val="14"/>
                <w:color w:val="auto"/>
              </w:rPr>
              <w:t>borrowings is listed below:</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4"/>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208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Local Currency</w:t>
            </w:r>
          </w:p>
        </w:tc>
        <w:tc>
          <w:tcPr>
            <w:tcW w:w="2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Original</w:t>
            </w:r>
          </w:p>
        </w:tc>
        <w:tc>
          <w:tcPr>
            <w:tcW w:w="140" w:type="dxa"/>
            <w:vAlign w:val="bottom"/>
          </w:tcPr>
          <w:p>
            <w:pPr>
              <w:spacing w:after="0"/>
              <w:rPr>
                <w:sz w:val="24"/>
                <w:szCs w:val="2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 Value</w:t>
            </w:r>
          </w:p>
        </w:tc>
        <w:tc>
          <w:tcPr>
            <w:tcW w:w="16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Reset Date</w:t>
            </w:r>
          </w:p>
        </w:tc>
        <w:tc>
          <w:tcPr>
            <w:tcW w:w="18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1600" w:type="dxa"/>
            <w:vAlign w:val="bottom"/>
            <w:gridSpan w:val="3"/>
          </w:tcPr>
          <w:p>
            <w:pPr>
              <w:ind w:left="80"/>
              <w:spacing w:after="0" w:line="158" w:lineRule="exact"/>
              <w:rPr>
                <w:sz w:val="20"/>
                <w:szCs w:val="20"/>
                <w:color w:val="auto"/>
              </w:rPr>
            </w:pPr>
            <w:r>
              <w:rPr>
                <w:rFonts w:ascii="Arial" w:cs="Arial" w:eastAsia="Arial" w:hAnsi="Arial"/>
                <w:sz w:val="14"/>
                <w:szCs w:val="14"/>
                <w:b w:val="1"/>
                <w:bCs w:val="1"/>
                <w:color w:val="auto"/>
              </w:rPr>
              <w:t>Borrowing Cost</w:t>
            </w: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3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32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28,000,000</w:t>
            </w:r>
          </w:p>
        </w:tc>
        <w:tc>
          <w:tcPr>
            <w:tcW w:w="4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ind w:left="80"/>
              <w:spacing w:after="0" w:line="13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46,864,300</w:t>
            </w:r>
          </w:p>
        </w:tc>
        <w:tc>
          <w:tcPr>
            <w:tcW w:w="4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42,356,860</w:t>
            </w:r>
          </w:p>
        </w:tc>
        <w:tc>
          <w:tcPr>
            <w:tcW w:w="4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1, 2015</w:t>
            </w:r>
          </w:p>
        </w:tc>
        <w:tc>
          <w:tcPr>
            <w:tcW w:w="4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ind w:left="320"/>
              <w:spacing w:after="0" w:line="135" w:lineRule="exact"/>
              <w:rPr>
                <w:sz w:val="20"/>
                <w:szCs w:val="20"/>
                <w:color w:val="auto"/>
              </w:rPr>
            </w:pPr>
            <w:r>
              <w:rPr>
                <w:rFonts w:ascii="Arial" w:cs="Arial" w:eastAsia="Arial" w:hAnsi="Arial"/>
                <w:sz w:val="14"/>
                <w:szCs w:val="14"/>
                <w:color w:val="auto"/>
              </w:rPr>
              <w:t>(4,507,440)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color w:val="auto"/>
              </w:rPr>
              <w:t>21</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2015 and 2014, our Credit Facility and our Notes had a net change in unrealized depreciation of $7.7 million and $1.1 million, respectively. As of December 31, 2015 and September 30, 2015, net unrealized depreciation on our Credit Facility and our Notes totaled $9.2 million and $1.5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2015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3"/>
              </w:rPr>
              <w:t>Purchases of /</w:t>
            </w:r>
          </w:p>
        </w:tc>
        <w:tc>
          <w:tcPr>
            <w:tcW w:w="14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Sale of /</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00" w:type="dxa"/>
            <w:vAlign w:val="bottom"/>
            <w:vMerge w:val="restart"/>
          </w:tcPr>
          <w:p>
            <w:pPr>
              <w:spacing w:after="0"/>
              <w:rPr>
                <w:sz w:val="20"/>
                <w:szCs w:val="20"/>
                <w:color w:val="auto"/>
              </w:rPr>
            </w:pPr>
            <w:r>
              <w:rPr>
                <w:rFonts w:ascii="Arial" w:cs="Arial" w:eastAsia="Arial" w:hAnsi="Arial"/>
                <w:sz w:val="13"/>
                <w:szCs w:val="13"/>
                <w:b w:val="1"/>
                <w:bCs w:val="1"/>
                <w:color w:val="auto"/>
              </w:rPr>
              <w:t>Name of Investment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right"/>
              <w:ind w:right="620"/>
              <w:spacing w:after="0" w:line="135" w:lineRule="exact"/>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1"/>
                <w:szCs w:val="11"/>
                <w:color w:val="auto"/>
              </w:rPr>
            </w:pPr>
          </w:p>
        </w:tc>
        <w:tc>
          <w:tcPr>
            <w:tcW w:w="11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Advances to</w:t>
            </w:r>
          </w:p>
        </w:tc>
        <w:tc>
          <w:tcPr>
            <w:tcW w:w="140" w:type="dxa"/>
            <w:vAlign w:val="bottom"/>
          </w:tcPr>
          <w:p>
            <w:pPr>
              <w:spacing w:after="0"/>
              <w:rPr>
                <w:sz w:val="11"/>
                <w:szCs w:val="11"/>
                <w:color w:val="auto"/>
              </w:rPr>
            </w:pPr>
          </w:p>
        </w:tc>
        <w:tc>
          <w:tcPr>
            <w:tcW w:w="108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9"/>
              </w:rPr>
              <w:t>Distributions</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7"/>
              </w:rPr>
              <w:t>Income</w:t>
            </w:r>
          </w:p>
        </w:tc>
        <w:tc>
          <w:tcPr>
            <w:tcW w:w="40" w:type="dxa"/>
            <w:vAlign w:val="bottom"/>
          </w:tcPr>
          <w:p>
            <w:pPr>
              <w:spacing w:after="0"/>
              <w:rPr>
                <w:sz w:val="11"/>
                <w:szCs w:val="11"/>
                <w:color w:val="auto"/>
              </w:rPr>
            </w:pPr>
          </w:p>
        </w:tc>
        <w:tc>
          <w:tcPr>
            <w:tcW w:w="1600" w:type="dxa"/>
            <w:vAlign w:val="bottom"/>
            <w:gridSpan w:val="5"/>
          </w:tcPr>
          <w:p>
            <w:pPr>
              <w:jc w:val="right"/>
              <w:ind w:right="600"/>
              <w:spacing w:after="0" w:line="135" w:lineRule="exact"/>
              <w:rPr>
                <w:sz w:val="20"/>
                <w:szCs w:val="20"/>
                <w:color w:val="auto"/>
              </w:rPr>
            </w:pPr>
            <w:r>
              <w:rPr>
                <w:rFonts w:ascii="Arial" w:cs="Arial" w:eastAsia="Arial" w:hAnsi="Arial"/>
                <w:sz w:val="13"/>
                <w:szCs w:val="13"/>
                <w:b w:val="1"/>
                <w:bCs w:val="1"/>
                <w:color w:val="auto"/>
              </w:rPr>
              <w:t>Fair Value at</w:t>
            </w:r>
          </w:p>
        </w:tc>
        <w:tc>
          <w:tcPr>
            <w:tcW w:w="1240" w:type="dxa"/>
            <w:vAlign w:val="bottom"/>
            <w:gridSpan w:val="4"/>
          </w:tcPr>
          <w:p>
            <w:pPr>
              <w:jc w:val="right"/>
              <w:ind w:right="140"/>
              <w:spacing w:after="0" w:line="135" w:lineRule="exact"/>
              <w:rPr>
                <w:sz w:val="20"/>
                <w:szCs w:val="20"/>
                <w:color w:val="auto"/>
              </w:rPr>
            </w:pPr>
            <w:r>
              <w:rPr>
                <w:rFonts w:ascii="Arial" w:cs="Arial" w:eastAsia="Arial" w:hAnsi="Arial"/>
                <w:sz w:val="13"/>
                <w:szCs w:val="13"/>
                <w:b w:val="1"/>
                <w:bCs w:val="1"/>
                <w:color w:val="auto"/>
                <w:w w:val="92"/>
              </w:rPr>
              <w:t>Net Realized Gains</w:t>
            </w:r>
          </w:p>
        </w:tc>
        <w:tc>
          <w:tcPr>
            <w:tcW w:w="0" w:type="dxa"/>
            <w:vAlign w:val="bottom"/>
          </w:tcPr>
          <w:p>
            <w:pPr>
              <w:spacing w:after="0"/>
              <w:rPr>
                <w:sz w:val="1"/>
                <w:szCs w:val="1"/>
                <w:color w:val="auto"/>
              </w:rPr>
            </w:pPr>
          </w:p>
        </w:tc>
      </w:tr>
      <w:tr>
        <w:trPr>
          <w:trHeight w:val="153"/>
        </w:trPr>
        <w:tc>
          <w:tcPr>
            <w:tcW w:w="2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88"/>
              </w:rPr>
              <w:t xml:space="preserve">September 30, 2015 </w:t>
            </w:r>
            <w:r>
              <w:rPr>
                <w:rFonts w:ascii="Arial" w:cs="Arial" w:eastAsia="Arial" w:hAnsi="Arial"/>
                <w:sz w:val="10"/>
                <w:szCs w:val="10"/>
                <w:b w:val="1"/>
                <w:bCs w:val="1"/>
                <w:color w:val="auto"/>
                <w:w w:val="88"/>
              </w:rPr>
              <w:t>(1)</w:t>
            </w:r>
          </w:p>
        </w:tc>
        <w:tc>
          <w:tcPr>
            <w:tcW w:w="12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 xml:space="preserve">Affiliates </w:t>
            </w:r>
            <w:r>
              <w:rPr>
                <w:rFonts w:ascii="Arial" w:cs="Arial" w:eastAsia="Arial" w:hAnsi="Arial"/>
                <w:sz w:val="10"/>
                <w:szCs w:val="10"/>
                <w:b w:val="1"/>
                <w:bCs w:val="1"/>
                <w:color w:val="auto"/>
                <w:w w:val="92"/>
              </w:rPr>
              <w:t>(1), (2)</w:t>
            </w:r>
          </w:p>
        </w:tc>
        <w:tc>
          <w:tcPr>
            <w:tcW w:w="12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9"/>
              </w:rPr>
              <w:t xml:space="preserve">from Affiliates </w:t>
            </w:r>
            <w:r>
              <w:rPr>
                <w:rFonts w:ascii="Arial" w:cs="Arial" w:eastAsia="Arial" w:hAnsi="Arial"/>
                <w:sz w:val="10"/>
                <w:szCs w:val="10"/>
                <w:b w:val="1"/>
                <w:bCs w:val="1"/>
                <w:color w:val="auto"/>
                <w:w w:val="89"/>
              </w:rPr>
              <w:t>(1)</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4"/>
              </w:rPr>
              <w:t>Accrued</w:t>
            </w:r>
          </w:p>
        </w:tc>
        <w:tc>
          <w:tcPr>
            <w:tcW w:w="40" w:type="dxa"/>
            <w:vAlign w:val="bottom"/>
          </w:tcPr>
          <w:p>
            <w:pPr>
              <w:spacing w:after="0"/>
              <w:rPr>
                <w:sz w:val="13"/>
                <w:szCs w:val="13"/>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3"/>
                <w:szCs w:val="13"/>
                <w:b w:val="1"/>
                <w:bCs w:val="1"/>
                <w:color w:val="auto"/>
                <w:w w:val="91"/>
              </w:rPr>
              <w:t xml:space="preserve">December 31, 2015 </w:t>
            </w:r>
            <w:r>
              <w:rPr>
                <w:rFonts w:ascii="Arial" w:cs="Arial" w:eastAsia="Arial" w:hAnsi="Arial"/>
                <w:sz w:val="10"/>
                <w:szCs w:val="10"/>
                <w:b w:val="1"/>
                <w:bCs w:val="1"/>
                <w:color w:val="auto"/>
                <w:w w:val="91"/>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3"/>
              </w:rPr>
              <w:t>(Losses)</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MidOcean JF Holdings Corp.</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60"/>
              <w:spacing w:after="0"/>
              <w:rPr>
                <w:sz w:val="20"/>
                <w:szCs w:val="20"/>
                <w:color w:val="auto"/>
              </w:rPr>
            </w:pPr>
            <w:r>
              <w:rPr>
                <w:rFonts w:ascii="Arial" w:cs="Arial" w:eastAsia="Arial" w:hAnsi="Arial"/>
                <w:sz w:val="14"/>
                <w:szCs w:val="14"/>
                <w:color w:val="auto"/>
              </w:rPr>
              <w:t>(JF Acquisition, LLC)</w:t>
            </w:r>
          </w:p>
        </w:tc>
        <w:tc>
          <w:tcPr>
            <w:tcW w:w="400" w:type="dxa"/>
            <w:vAlign w:val="bottom"/>
            <w:gridSpan w:val="3"/>
          </w:tcPr>
          <w:p>
            <w:pPr>
              <w:jc w:val="right"/>
              <w:ind w:right="57"/>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6,900,207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7,542,194</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72,759,582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1,970,067</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2,036,119</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66,635,807</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00" w:type="dxa"/>
            <w:vAlign w:val="bottom"/>
          </w:tcPr>
          <w:p>
            <w:pPr>
              <w:spacing w:after="0" w:line="130" w:lineRule="exact"/>
              <w:rPr>
                <w:sz w:val="20"/>
                <w:szCs w:val="20"/>
                <w:color w:val="auto"/>
              </w:rPr>
            </w:pPr>
            <w:r>
              <w:rPr>
                <w:rFonts w:ascii="Arial" w:cs="Arial" w:eastAsia="Arial" w:hAnsi="Arial"/>
                <w:sz w:val="14"/>
                <w:szCs w:val="14"/>
                <w:color w:val="auto"/>
              </w:rPr>
              <w:t>Superior Digital Displays</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00" w:type="dxa"/>
            <w:vAlign w:val="bottom"/>
          </w:tcPr>
          <w:p>
            <w:pPr>
              <w:ind w:left="160"/>
              <w:spacing w:after="0"/>
              <w:rPr>
                <w:sz w:val="20"/>
                <w:szCs w:val="20"/>
                <w:color w:val="auto"/>
              </w:rPr>
            </w:pPr>
            <w:r>
              <w:rPr>
                <w:rFonts w:ascii="Arial" w:cs="Arial" w:eastAsia="Arial" w:hAnsi="Arial"/>
                <w:sz w:val="14"/>
                <w:szCs w:val="14"/>
                <w:color w:val="auto"/>
              </w:rPr>
              <w:t>Holdings, Inc.</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27,165,861</w:t>
            </w:r>
          </w:p>
        </w:tc>
        <w:tc>
          <w:tcPr>
            <w:tcW w:w="8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3,349,068</w:t>
            </w:r>
          </w:p>
        </w:tc>
        <w:tc>
          <w:tcPr>
            <w:tcW w:w="140" w:type="dxa"/>
            <w:vAlign w:val="bottom"/>
          </w:tcPr>
          <w:p>
            <w:pPr>
              <w:spacing w:after="0"/>
              <w:rPr>
                <w:sz w:val="14"/>
                <w:szCs w:val="14"/>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1,160,914</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30,735,609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Arial" w:cs="Arial" w:eastAsia="Arial" w:hAnsi="Arial"/>
                <w:sz w:val="14"/>
                <w:szCs w:val="14"/>
                <w:color w:val="auto"/>
              </w:rPr>
              <w:t xml:space="preserve">Affinion Group Holdings, Inc. </w:t>
            </w:r>
            <w:r>
              <w:rPr>
                <w:rFonts w:ascii="Arial" w:cs="Arial" w:eastAsia="Arial" w:hAnsi="Arial"/>
                <w:sz w:val="12"/>
                <w:szCs w:val="12"/>
                <w:color w:val="auto"/>
              </w:rPr>
              <w:t>(3)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54,332,013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Corfin Industries LLC </w:t>
            </w:r>
            <w:r>
              <w:rPr>
                <w:rFonts w:ascii="Arial" w:cs="Arial" w:eastAsia="Arial" w:hAnsi="Arial"/>
                <w:sz w:val="12"/>
                <w:szCs w:val="12"/>
                <w:color w:val="auto"/>
              </w:rPr>
              <w:t>(3)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24,351,000</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290,775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24,351,000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Arial" w:cs="Arial" w:eastAsia="Arial" w:hAnsi="Arial"/>
                <w:sz w:val="14"/>
                <w:szCs w:val="14"/>
                <w:color w:val="auto"/>
              </w:rPr>
              <w:t>DirectBuy Holdings, Inc.</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6,284,194</w:t>
            </w:r>
          </w:p>
        </w:tc>
        <w:tc>
          <w:tcPr>
            <w:tcW w:w="8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392,762</w:t>
            </w:r>
          </w:p>
        </w:tc>
        <w:tc>
          <w:tcPr>
            <w:tcW w:w="140" w:type="dxa"/>
            <w:vAlign w:val="bottom"/>
          </w:tcPr>
          <w:p>
            <w:pPr>
              <w:spacing w:after="0"/>
              <w:rPr>
                <w:sz w:val="12"/>
                <w:szCs w:val="12"/>
                <w:color w:val="auto"/>
              </w:rPr>
            </w:pPr>
          </w:p>
        </w:tc>
        <w:tc>
          <w:tcPr>
            <w:tcW w:w="108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4,449,995</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20,464,829</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227,672</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21,399,248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Arial" w:cs="Arial" w:eastAsia="Arial" w:hAnsi="Arial"/>
                <w:sz w:val="14"/>
                <w:szCs w:val="14"/>
                <w:color w:val="auto"/>
              </w:rPr>
              <w:t>NCP-Performance, L.P.</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11,432,674</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8,064,910</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32,388,562</w:t>
            </w:r>
          </w:p>
        </w:tc>
        <w:tc>
          <w:tcPr>
            <w:tcW w:w="80" w:type="dxa"/>
            <w:vAlign w:val="bottom"/>
          </w:tcPr>
          <w:p>
            <w:pPr>
              <w:spacing w:after="0"/>
              <w:rPr>
                <w:sz w:val="12"/>
                <w:szCs w:val="12"/>
                <w:color w:val="auto"/>
              </w:rPr>
            </w:pPr>
          </w:p>
        </w:tc>
        <w:tc>
          <w:tcPr>
            <w:tcW w:w="11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916,004</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32,816,131</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24,932,845</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7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746,125</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24,401,779</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700" w:type="dxa"/>
            <w:vAlign w:val="bottom"/>
          </w:tcPr>
          <w:p>
            <w:pPr>
              <w:spacing w:after="0" w:line="133" w:lineRule="exact"/>
              <w:rPr>
                <w:sz w:val="20"/>
                <w:szCs w:val="20"/>
                <w:color w:val="auto"/>
              </w:rPr>
            </w:pPr>
            <w:r>
              <w:rPr>
                <w:rFonts w:ascii="Arial" w:cs="Arial" w:eastAsia="Arial" w:hAnsi="Arial"/>
                <w:sz w:val="14"/>
                <w:szCs w:val="14"/>
                <w:b w:val="1"/>
                <w:bCs w:val="1"/>
                <w:color w:val="auto"/>
              </w:rPr>
              <w:t>Total Controlled and Non-Controlled</w:t>
            </w: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160"/>
              <w:spacing w:after="0"/>
              <w:rPr>
                <w:sz w:val="20"/>
                <w:szCs w:val="20"/>
                <w:color w:val="auto"/>
              </w:rPr>
            </w:pPr>
            <w:r>
              <w:rPr>
                <w:rFonts w:ascii="Arial" w:cs="Arial" w:eastAsia="Arial" w:hAnsi="Arial"/>
                <w:sz w:val="14"/>
                <w:szCs w:val="14"/>
                <w:b w:val="1"/>
                <w:bCs w:val="1"/>
                <w:color w:val="auto"/>
              </w:rPr>
              <w:t>Affiliates</w:t>
            </w:r>
          </w:p>
        </w:tc>
        <w:tc>
          <w:tcPr>
            <w:tcW w:w="400" w:type="dxa"/>
            <w:vAlign w:val="bottom"/>
            <w:gridSpan w:val="3"/>
          </w:tcPr>
          <w:p>
            <w:pPr>
              <w:jc w:val="right"/>
              <w:ind w:right="57"/>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4"/>
                <w:szCs w:val="14"/>
                <w:color w:val="auto"/>
              </w:rPr>
              <w:t>202,328,754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30,062,897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5,377,609</w:t>
            </w:r>
          </w:p>
        </w:tc>
        <w:tc>
          <w:tcPr>
            <w:tcW w:w="360" w:type="dxa"/>
            <w:vAlign w:val="bottom"/>
            <w:gridSpan w:val="2"/>
          </w:tcPr>
          <w:p>
            <w:pPr>
              <w:jc w:val="right"/>
              <w:ind w:right="197"/>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274,728,686</w:t>
            </w: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4"/>
                <w:szCs w:val="14"/>
                <w:color w:val="auto"/>
              </w:rPr>
              <w:t>Excluding delayed draw investments.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Arial" w:cs="Arial" w:eastAsia="Arial" w:hAnsi="Arial"/>
                <w:sz w:val="12"/>
                <w:szCs w:val="12"/>
                <w:color w:val="auto"/>
              </w:rPr>
              <w:t xml:space="preserve">(2)   </w:t>
            </w:r>
            <w:r>
              <w:rPr>
                <w:rFonts w:ascii="Arial" w:cs="Arial" w:eastAsia="Arial" w:hAnsi="Arial"/>
                <w:sz w:val="14"/>
                <w:szCs w:val="14"/>
                <w:color w:val="auto"/>
              </w:rPr>
              <w:t>Includes PIK.</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80" w:type="dxa"/>
            <w:vAlign w:val="bottom"/>
            <w:gridSpan w:val="9"/>
          </w:tcPr>
          <w:p>
            <w:pPr>
              <w:spacing w:after="0"/>
              <w:rPr>
                <w:sz w:val="20"/>
                <w:szCs w:val="20"/>
                <w:color w:val="auto"/>
              </w:rPr>
            </w:pPr>
            <w:r>
              <w:rPr>
                <w:rFonts w:ascii="Arial" w:cs="Arial" w:eastAsia="Arial" w:hAnsi="Arial"/>
                <w:sz w:val="12"/>
                <w:szCs w:val="12"/>
                <w:color w:val="auto"/>
              </w:rPr>
              <w:t xml:space="preserve">(3)   </w:t>
            </w:r>
            <w:r>
              <w:rPr>
                <w:rFonts w:ascii="Arial" w:cs="Arial" w:eastAsia="Arial" w:hAnsi="Arial"/>
                <w:sz w:val="14"/>
                <w:szCs w:val="14"/>
                <w:color w:val="auto"/>
              </w:rPr>
              <w:t>Became a non-controlled affiliate during the three months ended December 31, 2015.</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920" w:type="dxa"/>
            <w:vAlign w:val="bottom"/>
            <w:gridSpan w:val="10"/>
          </w:tcPr>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360" w:type="dxa"/>
            <w:vAlign w:val="bottom"/>
            <w:gridSpan w:val="16"/>
          </w:tcPr>
          <w:p>
            <w:pPr>
              <w:ind w:left="560"/>
              <w:spacing w:after="0"/>
              <w:rPr>
                <w:sz w:val="20"/>
                <w:szCs w:val="20"/>
                <w:color w:val="auto"/>
              </w:rPr>
            </w:pPr>
            <w:r>
              <w:rPr>
                <w:rFonts w:ascii="Arial" w:cs="Arial" w:eastAsia="Arial" w:hAnsi="Arial"/>
                <w:sz w:val="14"/>
                <w:szCs w:val="14"/>
                <w:color w:val="auto"/>
                <w:w w:val="93"/>
              </w:rPr>
              <w:t>The following information sets forth the computation of basic and diluted per share net increase in net assets resulting from operations:</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9"/>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color w:val="auto"/>
              </w:rPr>
              <w:t>Numerator for net decrease in net assets resulting from operations</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(40,755,183)</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(23,945,694)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6"/>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72,740,547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75,092,911</w:t>
            </w:r>
          </w:p>
        </w:tc>
        <w:tc>
          <w:tcPr>
            <w:tcW w:w="0" w:type="dxa"/>
            <w:vAlign w:val="bottom"/>
          </w:tcPr>
          <w:p>
            <w:pPr>
              <w:spacing w:after="0"/>
              <w:rPr>
                <w:sz w:val="1"/>
                <w:szCs w:val="1"/>
                <w:color w:val="auto"/>
              </w:rPr>
            </w:pPr>
          </w:p>
        </w:tc>
      </w:tr>
      <w:tr>
        <w:trPr>
          <w:trHeight w:val="148"/>
        </w:trPr>
        <w:tc>
          <w:tcPr>
            <w:tcW w:w="4540" w:type="dxa"/>
            <w:vAlign w:val="bottom"/>
            <w:gridSpan w:val="6"/>
            <w:shd w:val="clear" w:color="auto" w:fill="CCEEFF"/>
          </w:tcPr>
          <w:p>
            <w:pPr>
              <w:spacing w:after="0" w:line="149" w:lineRule="exact"/>
              <w:rPr>
                <w:sz w:val="20"/>
                <w:szCs w:val="20"/>
                <w:color w:val="auto"/>
              </w:rPr>
            </w:pPr>
            <w:r>
              <w:rPr>
                <w:rFonts w:ascii="Arial" w:cs="Arial" w:eastAsia="Arial" w:hAnsi="Arial"/>
                <w:sz w:val="14"/>
                <w:szCs w:val="14"/>
                <w:color w:val="auto"/>
                <w:w w:val="91"/>
              </w:rPr>
              <w:t>Basic and diluted net decrease in net assets resulting from operations per share</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(0.56)</w:t>
            </w:r>
          </w:p>
        </w:tc>
        <w:tc>
          <w:tcPr>
            <w:tcW w:w="2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2015 and September 30, 2015, cash and cash equivalents consisted of $26.3 million and $49.6 million,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630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0" w:type="dxa"/>
            <w:vAlign w:val="bottom"/>
          </w:tcPr>
          <w:p>
            <w:pPr>
              <w:spacing w:after="0"/>
              <w:rPr>
                <w:sz w:val="11"/>
                <w:szCs w:val="11"/>
                <w:color w:val="auto"/>
              </w:rPr>
            </w:pPr>
          </w:p>
        </w:tc>
        <w:tc>
          <w:tcPr>
            <w:tcW w:w="57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9.82</w:t>
            </w:r>
          </w:p>
        </w:tc>
        <w:tc>
          <w:tcPr>
            <w:tcW w:w="4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0.23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loss </w:t>
            </w: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(0.79)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(0.58)</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decrease in net assets resulting from operations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(0.56)</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6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(0.28)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0.04</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5740" w:type="dxa"/>
            <w:vAlign w:val="bottom"/>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7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60" w:type="dxa"/>
            <w:vAlign w:val="bottom"/>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00"/>
              <w:spacing w:after="0" w:line="143" w:lineRule="exact"/>
              <w:rPr>
                <w:sz w:val="20"/>
                <w:szCs w:val="20"/>
                <w:color w:val="auto"/>
              </w:rPr>
            </w:pPr>
            <w:r>
              <w:rPr>
                <w:rFonts w:ascii="Arial" w:cs="Arial" w:eastAsia="Arial" w:hAnsi="Arial"/>
                <w:sz w:val="14"/>
                <w:szCs w:val="14"/>
                <w:color w:val="auto"/>
              </w:rPr>
              <w:t>6.18</w:t>
            </w:r>
          </w:p>
        </w:tc>
        <w:tc>
          <w:tcPr>
            <w:tcW w:w="420" w:type="dxa"/>
            <w:vAlign w:val="bottom"/>
            <w:gridSpan w:val="2"/>
            <w:shd w:val="clear" w:color="auto" w:fill="CCEEFF"/>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7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right"/>
              <w:ind w:right="240"/>
              <w:spacing w:after="0" w:line="143" w:lineRule="exact"/>
              <w:rPr>
                <w:sz w:val="20"/>
                <w:szCs w:val="20"/>
                <w:color w:val="auto"/>
              </w:rPr>
            </w:pPr>
            <w:r>
              <w:rPr>
                <w:rFonts w:ascii="Arial" w:cs="Arial" w:eastAsia="Arial" w:hAnsi="Arial"/>
                <w:sz w:val="14"/>
                <w:szCs w:val="14"/>
                <w:color w:val="auto"/>
              </w:rPr>
              <w:t>(0.28)%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71,745,710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75,092,911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6.13%</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16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3.84%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9.97%</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60" w:type="dxa"/>
            <w:vAlign w:val="bottom"/>
          </w:tcPr>
          <w:p>
            <w:pPr>
              <w:spacing w:after="0"/>
              <w:rPr>
                <w:sz w:val="12"/>
                <w:szCs w:val="12"/>
                <w:color w:val="auto"/>
              </w:rPr>
            </w:pPr>
          </w:p>
        </w:tc>
        <w:tc>
          <w:tcPr>
            <w:tcW w:w="12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647,309,399</w:t>
            </w:r>
          </w:p>
        </w:tc>
        <w:tc>
          <w:tcPr>
            <w:tcW w:w="4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783,038,240</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574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598,313,633</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562,649,862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8.23</w:t>
            </w:r>
          </w:p>
        </w:tc>
        <w:tc>
          <w:tcPr>
            <w:tcW w:w="4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74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2,422</w:t>
            </w:r>
          </w:p>
        </w:tc>
        <w:tc>
          <w:tcPr>
            <w:tcW w:w="42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34.28%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16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5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Not annualized for periods less than one year.</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2"/>
          <w:szCs w:val="12"/>
          <w:color w:val="auto"/>
        </w:rPr>
        <w:t>Annualized for periods less than one year.</w:t>
      </w:r>
    </w:p>
    <w:p>
      <w:pPr>
        <w:spacing w:after="0" w:line="28"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460" w:right="140" w:hanging="452"/>
        <w:spacing w:after="0" w:line="251"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460" w:right="300" w:hanging="452"/>
        <w:spacing w:after="0" w:line="251" w:lineRule="auto"/>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For the three months ended December 31, 2015, the ratio of operating expenses before the waiver of certain Management Fees to average net assets was 7.07% and the ratio of total expenses before the waiver of certain Management Fees to average net assets was 10.91%.</w:t>
      </w: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28" w:lineRule="exact"/>
        <w:rPr>
          <w:rFonts w:ascii="Arial" w:cs="Arial" w:eastAsia="Arial" w:hAnsi="Arial"/>
          <w:sz w:val="12"/>
          <w:szCs w:val="12"/>
          <w:color w:val="auto"/>
        </w:rPr>
      </w:pPr>
    </w:p>
    <w:p>
      <w:pPr>
        <w:ind w:left="460" w:hanging="452"/>
        <w:spacing w:after="0"/>
        <w:tabs>
          <w:tab w:leader="none" w:pos="460" w:val="left"/>
        </w:tabs>
        <w:numPr>
          <w:ilvl w:val="0"/>
          <w:numId w:val="8"/>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jc w:val="both"/>
        <w:ind w:left="460" w:right="220" w:hanging="452"/>
        <w:spacing w:after="0" w:line="264" w:lineRule="auto"/>
        <w:tabs>
          <w:tab w:leader="none" w:pos="460" w:val="left"/>
        </w:tabs>
        <w:numPr>
          <w:ilvl w:val="0"/>
          <w:numId w:val="8"/>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annualized weighted average cost of debt for the three months ended December 31, 2015 and 2014, inclusive of the fee on the undrawn commitment on the Credit Facility and amortized upfront fees on SBA debentures but excluding debt issuance costs, was 4.50% and 4.63%,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As of December 31, 2015, we have a $545 million multi-currency Credit Facility with certain lenders and SunTrust Bank, acting as administrative agent, and JPMorgan Chase Bank, N.A., acting as syndication agent for the lenders. As of December 31, 2015 and September 30, 2015, there was $143.0 million (including a temporary draw of $15.0 million) and $136.9 million (including a temporary draw of $30.0 million), respectively, in outstanding borrowings under the Credit Facility, with a weighted average interest rate at the time of 2.98% and 3.07%, exclusive of the fee on undrawn commitments.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2015</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December 31,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 million, which is up to twice its potential regulatory capital, and per recent regulatory changes, as part of a group of SBICs under common control may borrow a maximum of $350 million in the aggregate.</w:t>
      </w:r>
    </w:p>
    <w:p>
      <w:pPr>
        <w:spacing w:after="0" w:line="72" w:lineRule="exact"/>
        <w:rPr>
          <w:sz w:val="20"/>
          <w:szCs w:val="20"/>
          <w:color w:val="auto"/>
        </w:rPr>
      </w:pPr>
    </w:p>
    <w:p>
      <w:pPr>
        <w:ind w:right="160" w:firstLine="562"/>
        <w:spacing w:after="0" w:line="238" w:lineRule="auto"/>
        <w:rPr>
          <w:sz w:val="20"/>
          <w:szCs w:val="20"/>
          <w:color w:val="auto"/>
        </w:rPr>
      </w:pPr>
      <w:r>
        <w:rPr>
          <w:rFonts w:ascii="Arial" w:cs="Arial" w:eastAsia="Arial" w:hAnsi="Arial"/>
          <w:sz w:val="14"/>
          <w:szCs w:val="14"/>
          <w:color w:val="auto"/>
        </w:rPr>
        <w:t>As of December 31, 2015 and September 30, 2015, our SBIC Funds had $225.0 million and $150.0 million in debt commitments, respectively, and $150.0 million was drawn for each period. As of December 31, 2015 and September 30, 2015, the unamortized fees on the SBA debentures was $3.6 million and $3.7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December 31, 2015 and September 30, 2015 were as follows:</w:t>
      </w:r>
    </w:p>
    <w:p>
      <w:pPr>
        <w:spacing w:after="0" w:line="227"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Issuance Dates</w:t>
            </w:r>
          </w:p>
        </w:tc>
        <w:tc>
          <w:tcPr>
            <w:tcW w:w="38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1860" w:type="dxa"/>
            <w:vAlign w:val="bottom"/>
            <w:gridSpan w:val="2"/>
          </w:tcPr>
          <w:p>
            <w:pPr>
              <w:ind w:left="600"/>
              <w:spacing w:after="0"/>
              <w:rPr>
                <w:sz w:val="20"/>
                <w:szCs w:val="20"/>
                <w:color w:val="auto"/>
              </w:rPr>
            </w:pPr>
            <w:r>
              <w:rPr>
                <w:rFonts w:ascii="Arial" w:cs="Arial" w:eastAsia="Arial" w:hAnsi="Arial"/>
                <w:sz w:val="14"/>
                <w:szCs w:val="14"/>
                <w:b w:val="1"/>
                <w:bCs w:val="1"/>
                <w:color w:val="auto"/>
              </w:rPr>
              <w:t>Maturity</w:t>
            </w:r>
          </w:p>
        </w:tc>
        <w:tc>
          <w:tcPr>
            <w:tcW w:w="1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Fixed All-in coupon rate</w:t>
            </w:r>
            <w:r>
              <w:rPr>
                <w:rFonts w:ascii="Arial" w:cs="Arial" w:eastAsia="Arial" w:hAnsi="Arial"/>
                <w:sz w:val="12"/>
                <w:szCs w:val="12"/>
                <w:b w:val="1"/>
                <w:bCs w:val="1"/>
                <w:color w:val="auto"/>
              </w:rPr>
              <w:t>(1)</w:t>
            </w:r>
          </w:p>
        </w:tc>
        <w:tc>
          <w:tcPr>
            <w:tcW w:w="52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5"/>
              </w:rPr>
              <w:t>Principal Balance</w:t>
            </w:r>
          </w:p>
        </w:tc>
        <w:tc>
          <w:tcPr>
            <w:tcW w:w="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140" w:type="dxa"/>
            <w:vAlign w:val="bottom"/>
            <w:tcBorders>
              <w:bottom w:val="single" w:sz="8" w:color="auto"/>
            </w:tcBorders>
            <w:vMerge w:val="continue"/>
          </w:tcPr>
          <w:p>
            <w:pPr>
              <w:spacing w:after="0"/>
              <w:rPr>
                <w:sz w:val="11"/>
                <w:szCs w:val="11"/>
                <w:color w:val="auto"/>
              </w:rPr>
            </w:pPr>
          </w:p>
        </w:tc>
        <w:tc>
          <w:tcPr>
            <w:tcW w:w="380" w:type="dxa"/>
            <w:vAlign w:val="bottom"/>
            <w:tcBorders>
              <w:bottom w:val="single" w:sz="8" w:color="CCEEFF"/>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960" w:type="dxa"/>
            <w:vAlign w:val="bottom"/>
            <w:tcBorders>
              <w:bottom w:val="single" w:sz="8" w:color="auto"/>
            </w:tcBorders>
            <w:vMerge w:val="continue"/>
          </w:tcPr>
          <w:p>
            <w:pPr>
              <w:spacing w:after="0"/>
              <w:rPr>
                <w:sz w:val="11"/>
                <w:szCs w:val="11"/>
                <w:color w:val="auto"/>
              </w:rPr>
            </w:pPr>
          </w:p>
        </w:tc>
        <w:tc>
          <w:tcPr>
            <w:tcW w:w="520" w:type="dxa"/>
            <w:vAlign w:val="bottom"/>
            <w:tcBorders>
              <w:bottom w:val="single" w:sz="8" w:color="CCEEFF"/>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22, 2010</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September 1, 2020</w:t>
            </w:r>
          </w:p>
        </w:tc>
        <w:tc>
          <w:tcPr>
            <w:tcW w:w="48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700"/>
              <w:spacing w:after="0" w:line="142" w:lineRule="exact"/>
              <w:rPr>
                <w:sz w:val="20"/>
                <w:szCs w:val="20"/>
                <w:color w:val="auto"/>
              </w:rPr>
            </w:pPr>
            <w:r>
              <w:rPr>
                <w:rFonts w:ascii="Arial" w:cs="Arial" w:eastAsia="Arial" w:hAnsi="Arial"/>
                <w:sz w:val="14"/>
                <w:szCs w:val="14"/>
                <w:color w:val="auto"/>
              </w:rPr>
              <w:t>3.50%</w:t>
            </w:r>
          </w:p>
        </w:tc>
        <w:tc>
          <w:tcPr>
            <w:tcW w:w="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March 29, 2011</w:t>
            </w:r>
          </w:p>
        </w:tc>
        <w:tc>
          <w:tcPr>
            <w:tcW w:w="60" w:type="dxa"/>
            <w:vAlign w:val="bottom"/>
          </w:tcPr>
          <w:p>
            <w:pPr>
              <w:spacing w:after="0"/>
              <w:rPr>
                <w:sz w:val="12"/>
                <w:szCs w:val="12"/>
                <w:color w:val="auto"/>
              </w:rPr>
            </w:pPr>
          </w:p>
        </w:tc>
        <w:tc>
          <w:tcPr>
            <w:tcW w:w="18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March 1, 2021</w:t>
            </w:r>
          </w:p>
        </w:tc>
        <w:tc>
          <w:tcPr>
            <w:tcW w:w="2480" w:type="dxa"/>
            <w:vAlign w:val="bottom"/>
            <w:gridSpan w:val="2"/>
          </w:tcPr>
          <w:p>
            <w:pPr>
              <w:ind w:left="1700"/>
              <w:spacing w:after="0" w:line="149" w:lineRule="exact"/>
              <w:rPr>
                <w:sz w:val="20"/>
                <w:szCs w:val="20"/>
                <w:color w:val="auto"/>
              </w:rPr>
            </w:pPr>
            <w:r>
              <w:rPr>
                <w:rFonts w:ascii="Arial" w:cs="Arial" w:eastAsia="Arial" w:hAnsi="Arial"/>
                <w:sz w:val="14"/>
                <w:szCs w:val="14"/>
                <w:color w:val="auto"/>
              </w:rPr>
              <w:t>4.46</w:t>
            </w:r>
          </w:p>
        </w:tc>
        <w:tc>
          <w:tcPr>
            <w:tcW w:w="18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September 21, 2011</w:t>
            </w:r>
          </w:p>
        </w:tc>
        <w:tc>
          <w:tcPr>
            <w:tcW w:w="6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September 1, 2021</w:t>
            </w:r>
          </w:p>
        </w:tc>
        <w:tc>
          <w:tcPr>
            <w:tcW w:w="1960" w:type="dxa"/>
            <w:vAlign w:val="bottom"/>
            <w:tcBorders>
              <w:bottom w:val="single" w:sz="8" w:color="auto"/>
            </w:tcBorders>
            <w:shd w:val="clear" w:color="auto" w:fill="CCEEFF"/>
          </w:tcPr>
          <w:p>
            <w:pPr>
              <w:ind w:left="1700"/>
              <w:spacing w:after="0" w:line="149" w:lineRule="exact"/>
              <w:rPr>
                <w:sz w:val="20"/>
                <w:szCs w:val="20"/>
                <w:color w:val="auto"/>
              </w:rPr>
            </w:pPr>
            <w:r>
              <w:rPr>
                <w:rFonts w:ascii="Arial" w:cs="Arial" w:eastAsia="Arial" w:hAnsi="Arial"/>
                <w:sz w:val="14"/>
                <w:szCs w:val="14"/>
                <w:color w:val="auto"/>
                <w:w w:val="87"/>
              </w:rPr>
              <w:t>3.38</w:t>
            </w:r>
          </w:p>
        </w:tc>
        <w:tc>
          <w:tcPr>
            <w:tcW w:w="5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Weighted Average Rate / Total</w:t>
            </w:r>
          </w:p>
        </w:tc>
        <w:tc>
          <w:tcPr>
            <w:tcW w:w="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80" w:type="dxa"/>
            <w:vAlign w:val="bottom"/>
            <w:gridSpan w:val="2"/>
          </w:tcPr>
          <w:p>
            <w:pPr>
              <w:ind w:left="1700"/>
              <w:spacing w:after="0" w:line="155" w:lineRule="exact"/>
              <w:rPr>
                <w:sz w:val="20"/>
                <w:szCs w:val="20"/>
                <w:color w:val="auto"/>
              </w:rPr>
            </w:pPr>
            <w:r>
              <w:rPr>
                <w:rFonts w:ascii="Arial" w:cs="Arial" w:eastAsia="Arial" w:hAnsi="Arial"/>
                <w:sz w:val="14"/>
                <w:szCs w:val="14"/>
                <w:color w:val="auto"/>
              </w:rPr>
              <w:t>3.70%</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2"/>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360" w:type="dxa"/>
            <w:vAlign w:val="bottom"/>
            <w:gridSpan w:val="2"/>
          </w:tcPr>
          <w:p>
            <w:pPr>
              <w:jc w:val="right"/>
              <w:ind w:right="220"/>
              <w:spacing w:after="0"/>
              <w:rPr>
                <w:sz w:val="20"/>
                <w:szCs w:val="20"/>
                <w:color w:val="auto"/>
              </w:rPr>
            </w:pPr>
            <w:r>
              <w:rPr>
                <w:rFonts w:ascii="Arial" w:cs="Arial" w:eastAsia="Arial" w:hAnsi="Arial"/>
                <w:sz w:val="12"/>
                <w:szCs w:val="12"/>
                <w:color w:val="auto"/>
                <w:w w:val="81"/>
              </w:rPr>
              <w:t>(1)</w:t>
            </w:r>
          </w:p>
        </w:tc>
        <w:tc>
          <w:tcPr>
            <w:tcW w:w="2520" w:type="dxa"/>
            <w:vAlign w:val="bottom"/>
            <w:gridSpan w:val="2"/>
          </w:tcPr>
          <w:p>
            <w:pPr>
              <w:jc w:val="center"/>
              <w:ind w:right="400"/>
              <w:spacing w:after="0"/>
              <w:rPr>
                <w:sz w:val="20"/>
                <w:szCs w:val="20"/>
                <w:color w:val="auto"/>
              </w:rPr>
            </w:pPr>
            <w:r>
              <w:rPr>
                <w:rFonts w:ascii="Arial" w:cs="Arial" w:eastAsia="Arial" w:hAnsi="Arial"/>
                <w:sz w:val="14"/>
                <w:szCs w:val="14"/>
                <w:color w:val="auto"/>
                <w:w w:val="95"/>
              </w:rPr>
              <w:t>Excluding 3.43% of upfront fees.</w:t>
            </w: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2015,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As of December 31, 2015 and September 30, 2015,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right="40" w:firstLine="562"/>
        <w:spacing w:after="0" w:line="233" w:lineRule="auto"/>
        <w:rPr>
          <w:sz w:val="20"/>
          <w:szCs w:val="20"/>
          <w:color w:val="auto"/>
        </w:rPr>
      </w:pPr>
      <w:r>
        <w:rPr>
          <w:rFonts w:ascii="Arial" w:cs="Arial" w:eastAsia="Arial" w:hAnsi="Arial"/>
          <w:sz w:val="14"/>
          <w:szCs w:val="14"/>
          <w:color w:val="auto"/>
        </w:rPr>
        <w:t>As of December 31, 2015 and September 30, 2015,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2015 and September 30, 2015, we had $17.0 million and $19.7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REPURCHASE PROGRAM</w:t>
      </w:r>
    </w:p>
    <w:p>
      <w:pPr>
        <w:spacing w:after="0" w:line="100" w:lineRule="exact"/>
        <w:rPr>
          <w:sz w:val="20"/>
          <w:szCs w:val="20"/>
          <w:color w:val="auto"/>
        </w:rPr>
      </w:pPr>
    </w:p>
    <w:p>
      <w:pPr>
        <w:ind w:right="220" w:firstLine="562"/>
        <w:spacing w:after="0" w:line="229" w:lineRule="auto"/>
        <w:rPr>
          <w:sz w:val="20"/>
          <w:szCs w:val="20"/>
          <w:color w:val="auto"/>
        </w:rPr>
      </w:pPr>
      <w:r>
        <w:rPr>
          <w:rFonts w:ascii="Arial" w:cs="Arial" w:eastAsia="Arial" w:hAnsi="Arial"/>
          <w:sz w:val="14"/>
          <w:szCs w:val="14"/>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December 31, 2015, we repurchased 1.2 million and 3.3 million shares of common stock, respectively, in open market transactions for an aggregate cost (including transaction costs) of $8.4 million and $26.3 million, respectively. During the three and nine months ended December 31, 2014, we did not make any repurchases of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360" w:firstLine="562"/>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Investment Corporation and its Subsidiaries (collectively referred to as the “Company”), including the consolidated schedule of investments, as of December 31, 2015, and the consolidated statements of operations, changes in net assets and cash flows for the three months ended December 31, 2015 and 2014. These consolidated financial statements are the responsibility of the Company’s management.</w:t>
      </w:r>
    </w:p>
    <w:p>
      <w:pPr>
        <w:spacing w:after="0" w:line="6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reviews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240" w:firstLine="562"/>
        <w:spacing w:after="0" w:line="253" w:lineRule="auto"/>
        <w:rPr>
          <w:sz w:val="20"/>
          <w:szCs w:val="20"/>
          <w:color w:val="auto"/>
        </w:rPr>
      </w:pPr>
      <w:r>
        <w:rPr>
          <w:rFonts w:ascii="Arial" w:cs="Arial" w:eastAsia="Arial" w:hAnsi="Arial"/>
          <w:sz w:val="14"/>
          <w:szCs w:val="14"/>
          <w:color w:val="auto"/>
        </w:rPr>
        <w:t>Based on our reviews,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the consolidated statement of assets and liabilities of the Company, including the consolidated schedule of investments, as of September 30, 2015, and the related consolidated statements of operations, changes in net assets, and cash flows for the year then ended (not presented herein); and in our report dated November 10, 2015, we expressed an unqualified opinion on those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3, 2016</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08"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212" w:lineRule="exact"/>
        <w:rPr>
          <w:sz w:val="20"/>
          <w:szCs w:val="20"/>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2120" w:hanging="776"/>
        <w:spacing w:after="0"/>
        <w:tabs>
          <w:tab w:leader="none" w:pos="2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impact of European sovereign debt and other world economic issues.</w:t>
      </w:r>
    </w:p>
    <w:p>
      <w:pPr>
        <w:spacing w:after="0" w:line="204"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22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through debt and equity investments primarily in U.S.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middle-market companies in the form of senior secured debt, mezzanine debt and equity investments.</w:t>
      </w:r>
    </w:p>
    <w:p>
      <w:pPr>
        <w:spacing w:after="0" w:line="84" w:lineRule="exact"/>
        <w:rPr>
          <w:sz w:val="20"/>
          <w:szCs w:val="20"/>
          <w:color w:val="auto"/>
        </w:rPr>
      </w:pPr>
    </w:p>
    <w:p>
      <w:pPr>
        <w:ind w:right="40" w:firstLine="562"/>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5"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Our wholly owned subsidiaries, SBIC LP and SBIC II, were organized as Delaware limited partnerships in 2010 and 2012, respectively. SBIC LP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financing costs on liabilities, which we do not fair value, are capitalized and then accreted or amortized using the effective interest method as interest income or, in the case of deferred financing cost, as interest expense. We record prepayment penalties on loans and debt securities as income. Dividend income, if any, is recognized on an accrual basis on the ex-dividend date to the extent that we expect to collect such amounts.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212"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1120" w:hanging="329"/>
        <w:spacing w:after="0"/>
        <w:tabs>
          <w:tab w:leader="none" w:pos="11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20" w:firstLine="562"/>
        <w:spacing w:after="0" w:line="229" w:lineRule="auto"/>
        <w:rPr>
          <w:sz w:val="20"/>
          <w:szCs w:val="20"/>
          <w:color w:val="auto"/>
        </w:rPr>
      </w:pPr>
      <w:r>
        <w:rPr>
          <w:rFonts w:ascii="Arial" w:cs="Arial" w:eastAsia="Arial" w:hAnsi="Arial"/>
          <w:sz w:val="14"/>
          <w:szCs w:val="14"/>
          <w:color w:val="auto"/>
        </w:rPr>
        <w:t>As of December 31, 2015, our portfolio totaled $1,261.9 million and consisted of $477.2 million of senior secured debt, $481.6 million of second lien secured debt, $173.1 million of subordinated debt and $130.0 million of preferred and common equity. Our debt portfolio consisted of 75% variable-rate investments (including 69% with a LIBOR or prime floor) and 25% fixed-rate investments. As of December 31, 2015, we had three companies on non-accrual, representing 5.4% and 1.2% of our overall portfolio on a cost and fair value basis, respectively. Overall, the portfolio had net unrealized depreciation of $165.1 million as of December 31, 2015. Our overall portfolio consisted of 62 companies with an average investment size of $20.4 million, had a weighted average yield on debt investments of 12.2% and was invested 38% in senior secured debt, 38% in second lien secured debt, 14% in subordinated debt and 10% in preferred and common equity.</w:t>
      </w:r>
    </w:p>
    <w:p>
      <w:pPr>
        <w:spacing w:after="0" w:line="77"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debt investments of 12.1% and was invested 31% in senior secured debt, 47% in second lien secured debt, 14% in subordinated debt and 8% in preferred and common equity.</w:t>
      </w:r>
    </w:p>
    <w:p>
      <w:pPr>
        <w:spacing w:after="0" w:line="77"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66" w:lineRule="exact"/>
        <w:rPr>
          <w:sz w:val="20"/>
          <w:szCs w:val="20"/>
          <w:color w:val="auto"/>
        </w:rPr>
      </w:pPr>
    </w:p>
    <w:p>
      <w:pPr>
        <w:ind w:right="260" w:firstLine="562"/>
        <w:spacing w:after="0" w:line="253" w:lineRule="auto"/>
        <w:rPr>
          <w:sz w:val="20"/>
          <w:szCs w:val="20"/>
          <w:color w:val="auto"/>
        </w:rPr>
      </w:pPr>
      <w:r>
        <w:rPr>
          <w:rFonts w:ascii="Arial" w:cs="Arial" w:eastAsia="Arial" w:hAnsi="Arial"/>
          <w:sz w:val="14"/>
          <w:szCs w:val="14"/>
          <w:color w:val="auto"/>
        </w:rPr>
        <w:t>For the three months ended December 31, 2014, we invested $158.9 million in three new and five existing portfolio companies with a weighted average yield on debt investments of 12.6%. Sales and repayments of investments for the three months ended December 31, 2014 totaled $79.3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Portfolio Investments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120" w:firstLine="562"/>
        <w:spacing w:after="0" w:line="290" w:lineRule="auto"/>
        <w:rPr>
          <w:sz w:val="20"/>
          <w:szCs w:val="20"/>
          <w:color w:val="auto"/>
        </w:rPr>
      </w:pPr>
      <w:r>
        <w:rPr>
          <w:rFonts w:ascii="Arial" w:cs="Arial" w:eastAsia="Arial" w:hAnsi="Arial"/>
          <w:sz w:val="13"/>
          <w:szCs w:val="13"/>
          <w:color w:val="auto"/>
        </w:rPr>
        <w:t>Our investments generally consist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580"/>
        <w:spacing w:after="0"/>
        <w:tabs>
          <w:tab w:leader="none" w:pos="13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380" w:right="700" w:hanging="809"/>
        <w:spacing w:after="0" w:line="238" w:lineRule="auto"/>
        <w:tabs>
          <w:tab w:leader="none" w:pos="136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380" w:right="920" w:hanging="809"/>
        <w:spacing w:after="0" w:line="253" w:lineRule="auto"/>
        <w:tabs>
          <w:tab w:leader="none" w:pos="13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60" w:firstLine="562"/>
        <w:spacing w:after="0" w:line="264"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60"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2015 and 2014, our Credit Facility and our Notes had a net change in unrealized depreciation of $7.7 million and $1.1 million, respectively. As of December 31, 2015 and September 30, 2015, net unrealized depreciation on our Credit Facility and our Notes totaled $9.2 million and $1.5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 values,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80" w:firstLine="562"/>
        <w:spacing w:after="0" w:line="290" w:lineRule="auto"/>
        <w:rPr>
          <w:sz w:val="20"/>
          <w:szCs w:val="20"/>
          <w:color w:val="auto"/>
        </w:rPr>
      </w:pPr>
      <w:r>
        <w:rPr>
          <w:rFonts w:ascii="Arial" w:cs="Arial" w:eastAsia="Arial" w:hAnsi="Arial"/>
          <w:sz w:val="13"/>
          <w:szCs w:val="13"/>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may not collect any cash with respect to PIK securities.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dividends to our stockholders of an amount generally at least equal to 90% of the sum of our net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 sum of our capital gain net income (i.e. the excess, if any, of our capital gains over capital losses) for the one-year period ending on October 31 of the calendar year plus (3) the sum of any net ordinary income plus net capital gain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6"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Although we are not subject to federal income taxes as a RIC, we may elect to retain a portion of our calendar year income, which may result in an excise tax, or may incur taxes through our Taxable Subsidiaries and have accrued $1.3 million and zero in taxes for the three months ended December 31, 2015 and 2014,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months ended December 31, 2015 and 2014.</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260" w:firstLine="562"/>
        <w:spacing w:after="0" w:line="233" w:lineRule="auto"/>
        <w:rPr>
          <w:sz w:val="20"/>
          <w:szCs w:val="20"/>
          <w:color w:val="auto"/>
        </w:rPr>
      </w:pPr>
      <w:r>
        <w:rPr>
          <w:rFonts w:ascii="Arial" w:cs="Arial" w:eastAsia="Arial" w:hAnsi="Arial"/>
          <w:sz w:val="14"/>
          <w:szCs w:val="14"/>
          <w:color w:val="auto"/>
        </w:rPr>
        <w:t>Investment income for the three months ended December 31, 2015 was $35.3 million and was attributable to $12.9 million from senior secured debt, $17.4 million from second lien secured debt and $5.0 million from subordinated debt, respectively. Investment income for the three months ended December 31, 2014 was $39.2 million and was attributable to $14.6 million from senior secured debt, $15.9 million from second lien secured debt, $8.2 million from subordinated debt and $0.5 million from preferred and common equity. The decrease in investment income compared with the same period in the prior year was primarily due to a lower yielding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Expenses for the three months ended December 31, 2014 totaled $19.7 million. Base management fee for the same period totaled $6.8 million, incentive fee totaled $4.9 million, debt related interest and expenses totaled $6.5 million and general and administrative expenses totaled $1.5 million. The decrease in expenses compared with the same period in the prior year was primarily due to the Management Fee waivers and lower incentive fees offset by a higher provision for taxes.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400" w:firstLine="562"/>
        <w:spacing w:after="0" w:line="335" w:lineRule="auto"/>
        <w:rPr>
          <w:sz w:val="20"/>
          <w:szCs w:val="20"/>
          <w:color w:val="auto"/>
        </w:rPr>
      </w:pPr>
      <w:r>
        <w:rPr>
          <w:rFonts w:ascii="Arial" w:cs="Arial" w:eastAsia="Arial" w:hAnsi="Arial"/>
          <w:sz w:val="12"/>
          <w:szCs w:val="12"/>
          <w:color w:val="auto"/>
        </w:rPr>
        <w:t>Net investment income totaled $16.8 million, or $0.23 per share, for the three months ended December 31, 2015, and $19.5 million, or $0.26 per share, for the three months ended December 31, 2014. The decrease in net investment income per share compared to the same period in the prior year was primarily due to the repayments of higher yielding investments.</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2015 totaled $108.1 million and realized losses totaled $25.4 million. Sales and repayments of investments totaled $79.3 million and realized gains totaled $8.6 million for the three months ended December 31, 2014. The increase in realized losses compared with the same period in the prior year was primarily due to the changes in market conditions of our investments and a higher volume of sales and repayments.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For the three months ended December 31, 2015 and 2014, we reported net unrealized depreciation on investments of $39.9 million and $53.2 million, respectively. As of December 31, 2015 and September 30, 2015, our net unrealized depreciation on investments totaled $165.1 million and $125.2 million, respectively. The net change in unrealized depreciation on our investments was driven primarily by changes in the capital market conditions, financial performance of certain portfolio companies, and the reversal of unrealized depreciation (appreciation) of investments liquidated.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2015 and 2014, we reported net unrealized depreciation on our Credit Facility and our Notes of $7.7 million and $1.1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change compared with the same period in the prior year was primarily due to changes in the capital markets.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jc w:val="both"/>
        <w:ind w:right="24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$(40.8) million, or $(0.56) per share, for the three months ended December 31, 2015. This compares to a net change in net assets resulting from operations of $(23.9) million, or $(0.32) per share, for the three months ended December 31, 2014. The decrease in the net change in net assets from operations compared with the same period in the prior year is primarily the result of changes in portfolio investment values during the reporting period.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firstLine="562"/>
        <w:spacing w:after="0" w:line="227" w:lineRule="auto"/>
        <w:rPr>
          <w:sz w:val="20"/>
          <w:szCs w:val="20"/>
          <w:color w:val="auto"/>
        </w:rPr>
      </w:pPr>
      <w:r>
        <w:rPr>
          <w:rFonts w:ascii="Arial" w:cs="Arial" w:eastAsia="Arial" w:hAnsi="Arial"/>
          <w:sz w:val="14"/>
          <w:szCs w:val="14"/>
          <w:color w:val="auto"/>
        </w:rPr>
        <w:t>As of December 31, 2015, we had a $545 million multi-currency Credit Facility with certain lenders and SunTrust Bank, acting as administrative agent, and JPMorgan Chase Bank, N.A., acting as syndication agent for the lenders. As of December 31, 2015 and September 30, 2015, there was $143.0 million (including a temporary draw of $15.0 million) and $136.9 million (including a temporary draw of $30.0 million), respectively, in outstanding borrowings under the Credit Facility. The Credit Facility had a weighted average interest rate at the time of 2.98% and 3.07%, respectively, exclusive of the fee on undrawn commitments. The annualized weighted average cost of debt for the three months ended December 31, 2015 and 2014, inclusive of the fee on the undrawn commitment on the Credit Facility and upfront fees on SBA debentures, was 4.50% and 4.63%, respectively. The Credit Facility is a five-year revolving facility with a stated maturity date of June 25, 2019, a one-year term-out period following its fourth year and pricing is set at 225 basis points over LIBOR. As of December 31, 2015 and September 30, 2015, we had $402.0 million and $408.1 million of unused borrowing capacity under our Credit Facility, respectively, subject to the regulatory restrictions. The Credit Facility is secured by substantially all of our assets excluding assets held by our SBIC Funds.</w:t>
      </w:r>
    </w:p>
    <w:p>
      <w:pPr>
        <w:spacing w:after="0" w:line="78"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December 31, 2015, we were in compliance with the terms of our Credit Facility.</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76" w:lineRule="exact"/>
        <w:rPr>
          <w:sz w:val="20"/>
          <w:szCs w:val="20"/>
          <w:color w:val="auto"/>
        </w:rPr>
      </w:pPr>
    </w:p>
    <w:p>
      <w:pPr>
        <w:ind w:right="20" w:firstLine="562"/>
        <w:spacing w:after="0" w:line="251" w:lineRule="auto"/>
        <w:rPr>
          <w:sz w:val="20"/>
          <w:szCs w:val="20"/>
          <w:color w:val="auto"/>
        </w:rPr>
      </w:pPr>
      <w:r>
        <w:rPr>
          <w:rFonts w:ascii="Arial" w:cs="Arial" w:eastAsia="Arial" w:hAnsi="Arial"/>
          <w:sz w:val="13"/>
          <w:szCs w:val="13"/>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 Please see our Base Indenture and the supplemental indenture filed as Exhibit (d)(9) to our post-effective amendment filed on January 22, 2013 for more information.</w:t>
      </w:r>
    </w:p>
    <w:p>
      <w:pPr>
        <w:spacing w:after="0" w:line="69"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 For each of the three month periods ended December 31, 2015 and 2014, we did not issue shares of common stock in connection with an equity offering.</w:t>
      </w:r>
    </w:p>
    <w:p>
      <w:pPr>
        <w:spacing w:after="0" w:line="77" w:lineRule="exact"/>
        <w:rPr>
          <w:sz w:val="20"/>
          <w:szCs w:val="20"/>
          <w:color w:val="auto"/>
        </w:rPr>
      </w:pPr>
    </w:p>
    <w:p>
      <w:pPr>
        <w:ind w:right="220" w:firstLine="562"/>
        <w:spacing w:after="0" w:line="251" w:lineRule="auto"/>
        <w:rPr>
          <w:sz w:val="20"/>
          <w:szCs w:val="20"/>
          <w:color w:val="auto"/>
        </w:rPr>
      </w:pPr>
      <w:r>
        <w:rPr>
          <w:rFonts w:ascii="Arial" w:cs="Arial" w:eastAsia="Arial" w:hAnsi="Arial"/>
          <w:sz w:val="13"/>
          <w:szCs w:val="13"/>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months ended December 31, 2015, we repurchased 1.2 million shares of common stock in open market transactions for an aggregate cost (including transaction costs) of $8.4 million. During the three months ended December 31, 2014, we did not make any repurchases of our common stock.</w:t>
      </w:r>
    </w:p>
    <w:p>
      <w:pPr>
        <w:spacing w:after="0" w:line="69" w:lineRule="exact"/>
        <w:rPr>
          <w:sz w:val="20"/>
          <w:szCs w:val="20"/>
          <w:color w:val="auto"/>
        </w:rPr>
      </w:pPr>
    </w:p>
    <w:p>
      <w:pPr>
        <w:ind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LP with $75.0 million of equity capital and it had SBA debentures outstanding of $150.0 million as of December 31, 2015. We have funded SBIC II with $37.5 million of equity capital and we received a commitment from the SBA to allow SBIC II to access $75.0 million in SBA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per recent regulatory changes, as part of a group of SBICs under common control may borrow a maximum of $350.0 million in the aggregate.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As of December 31, 2015 and September 30, 2015, our SBIC Funds had $225.0 million in debt commitments and $150.0 million was drawn for each period. As of December 31, 2015 and September 30, 2015, the unamortized fees on the SBA debentures was $3.6 million and $3.7 million, respectively. The SBA debentures’ upfront fees of 3.43% consist of a commitment fee of 1.00% and an issuance discount of 2.43%, which are being amortized. Our fixed-rate SBA debentures as of December 31, 2015 and September 30, 2015 were as follows:</w:t>
      </w:r>
    </w:p>
    <w:p>
      <w:pPr>
        <w:spacing w:after="0" w:line="191"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20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Issuance Dates</w:t>
            </w:r>
          </w:p>
        </w:tc>
        <w:tc>
          <w:tcPr>
            <w:tcW w:w="3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Maturity</w:t>
            </w:r>
          </w:p>
        </w:tc>
        <w:tc>
          <w:tcPr>
            <w:tcW w:w="38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2"/>
              </w:rPr>
              <w:t>Principal Balance</w:t>
            </w: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22, 2010</w:t>
            </w:r>
          </w:p>
        </w:tc>
        <w:tc>
          <w:tcPr>
            <w:tcW w:w="300" w:type="dxa"/>
            <w:vAlign w:val="bottom"/>
            <w:shd w:val="clear" w:color="auto" w:fill="CCEEFF"/>
          </w:tcPr>
          <w:p>
            <w:pPr>
              <w:spacing w:after="0"/>
              <w:rPr>
                <w:sz w:val="12"/>
                <w:szCs w:val="12"/>
                <w:color w:val="auto"/>
              </w:rPr>
            </w:pPr>
          </w:p>
        </w:tc>
        <w:tc>
          <w:tcPr>
            <w:tcW w:w="1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September 1, 2020</w:t>
            </w:r>
          </w:p>
        </w:tc>
        <w:tc>
          <w:tcPr>
            <w:tcW w:w="380" w:type="dxa"/>
            <w:vAlign w:val="bottom"/>
            <w:shd w:val="clear" w:color="auto" w:fill="CCEEFF"/>
          </w:tcPr>
          <w:p>
            <w:pPr>
              <w:spacing w:after="0"/>
              <w:rPr>
                <w:sz w:val="12"/>
                <w:szCs w:val="12"/>
                <w:color w:val="auto"/>
              </w:rPr>
            </w:pPr>
          </w:p>
        </w:tc>
        <w:tc>
          <w:tcPr>
            <w:tcW w:w="2600" w:type="dxa"/>
            <w:vAlign w:val="bottom"/>
            <w:gridSpan w:val="2"/>
            <w:shd w:val="clear" w:color="auto" w:fill="CCEEFF"/>
          </w:tcPr>
          <w:p>
            <w:pPr>
              <w:ind w:left="1920"/>
              <w:spacing w:after="0" w:line="142"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March 29, 2011</w:t>
            </w:r>
          </w:p>
        </w:tc>
        <w:tc>
          <w:tcPr>
            <w:tcW w:w="21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March 1, 2021</w:t>
            </w:r>
          </w:p>
        </w:tc>
        <w:tc>
          <w:tcPr>
            <w:tcW w:w="2600" w:type="dxa"/>
            <w:vAlign w:val="bottom"/>
            <w:gridSpan w:val="2"/>
          </w:tcPr>
          <w:p>
            <w:pPr>
              <w:ind w:left="1920"/>
              <w:spacing w:after="0" w:line="149" w:lineRule="exact"/>
              <w:rPr>
                <w:sz w:val="20"/>
                <w:szCs w:val="20"/>
                <w:color w:val="auto"/>
              </w:rPr>
            </w:pPr>
            <w:r>
              <w:rPr>
                <w:rFonts w:ascii="Arial" w:cs="Arial" w:eastAsia="Arial" w:hAnsi="Arial"/>
                <w:sz w:val="14"/>
                <w:szCs w:val="14"/>
                <w:color w:val="auto"/>
              </w:rPr>
              <w:t>4.46</w:t>
            </w:r>
          </w:p>
        </w:tc>
        <w:tc>
          <w:tcPr>
            <w:tcW w:w="14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40" w:type="dxa"/>
            <w:vAlign w:val="bottom"/>
            <w:gridSpan w:val="2"/>
            <w:shd w:val="clear" w:color="auto" w:fill="CCEEFF"/>
          </w:tcPr>
          <w:p>
            <w:pPr>
              <w:jc w:val="right"/>
              <w:ind w:right="360"/>
              <w:spacing w:after="0" w:line="130" w:lineRule="exact"/>
              <w:rPr>
                <w:sz w:val="20"/>
                <w:szCs w:val="20"/>
                <w:color w:val="auto"/>
              </w:rPr>
            </w:pPr>
            <w:r>
              <w:rPr>
                <w:rFonts w:ascii="Arial" w:cs="Arial" w:eastAsia="Arial" w:hAnsi="Arial"/>
                <w:sz w:val="14"/>
                <w:szCs w:val="14"/>
                <w:color w:val="auto"/>
              </w:rPr>
              <w:t>September 21, 2011</w:t>
            </w:r>
          </w:p>
        </w:tc>
        <w:tc>
          <w:tcPr>
            <w:tcW w:w="2120" w:type="dxa"/>
            <w:vAlign w:val="bottom"/>
            <w:gridSpan w:val="2"/>
            <w:shd w:val="clear" w:color="auto" w:fill="CCEEFF"/>
          </w:tcPr>
          <w:p>
            <w:pPr>
              <w:ind w:left="980"/>
              <w:spacing w:after="0" w:line="130" w:lineRule="exact"/>
              <w:rPr>
                <w:sz w:val="20"/>
                <w:szCs w:val="20"/>
                <w:color w:val="auto"/>
              </w:rPr>
            </w:pPr>
            <w:r>
              <w:rPr>
                <w:rFonts w:ascii="Arial" w:cs="Arial" w:eastAsia="Arial" w:hAnsi="Arial"/>
                <w:sz w:val="14"/>
                <w:szCs w:val="14"/>
                <w:color w:val="auto"/>
              </w:rPr>
              <w:t>September 1,</w:t>
            </w:r>
          </w:p>
        </w:tc>
        <w:tc>
          <w:tcPr>
            <w:tcW w:w="2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380" w:type="dxa"/>
            <w:vAlign w:val="bottom"/>
            <w:shd w:val="clear" w:color="auto" w:fill="CCEEFF"/>
          </w:tcPr>
          <w:p>
            <w:pPr>
              <w:spacing w:after="0"/>
              <w:rPr>
                <w:sz w:val="14"/>
                <w:szCs w:val="14"/>
                <w:color w:val="auto"/>
              </w:rPr>
            </w:pPr>
          </w:p>
        </w:tc>
        <w:tc>
          <w:tcPr>
            <w:tcW w:w="2600" w:type="dxa"/>
            <w:vAlign w:val="bottom"/>
            <w:gridSpan w:val="2"/>
            <w:shd w:val="clear" w:color="auto" w:fill="CCEEFF"/>
          </w:tcPr>
          <w:p>
            <w:pPr>
              <w:ind w:left="1920"/>
              <w:spacing w:after="0"/>
              <w:rPr>
                <w:sz w:val="20"/>
                <w:szCs w:val="20"/>
                <w:color w:val="auto"/>
              </w:rPr>
            </w:pPr>
            <w:r>
              <w:rPr>
                <w:rFonts w:ascii="Arial" w:cs="Arial" w:eastAsia="Arial" w:hAnsi="Arial"/>
                <w:sz w:val="14"/>
                <w:szCs w:val="14"/>
                <w:color w:val="auto"/>
              </w:rPr>
              <w:t>3.38</w:t>
            </w: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Weighted Average Rate / Total</w:t>
            </w: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40" w:type="dxa"/>
            <w:vAlign w:val="bottom"/>
            <w:gridSpan w:val="2"/>
            <w:vMerge w:val="continue"/>
          </w:tcPr>
          <w:p>
            <w:pPr>
              <w:spacing w:after="0"/>
              <w:rPr>
                <w:sz w:val="13"/>
                <w:szCs w:val="13"/>
                <w:color w:val="auto"/>
              </w:rPr>
            </w:pPr>
          </w:p>
        </w:tc>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0" w:type="dxa"/>
            <w:vAlign w:val="bottom"/>
            <w:gridSpan w:val="2"/>
          </w:tcPr>
          <w:p>
            <w:pPr>
              <w:ind w:left="1920"/>
              <w:spacing w:after="0" w:line="155" w:lineRule="exact"/>
              <w:rPr>
                <w:sz w:val="20"/>
                <w:szCs w:val="20"/>
                <w:color w:val="auto"/>
              </w:rPr>
            </w:pPr>
            <w:r>
              <w:rPr>
                <w:rFonts w:ascii="Arial" w:cs="Arial" w:eastAsia="Arial" w:hAnsi="Arial"/>
                <w:sz w:val="14"/>
                <w:szCs w:val="14"/>
                <w:color w:val="auto"/>
              </w:rPr>
              <w:t>3.70%</w:t>
            </w: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150,000,000</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5" w:lineRule="exact"/>
        <w:rPr>
          <w:sz w:val="20"/>
          <w:szCs w:val="20"/>
          <w:color w:val="auto"/>
        </w:rPr>
      </w:pPr>
    </w:p>
    <w:p>
      <w:pPr>
        <w:ind w:left="560" w:hanging="552"/>
        <w:spacing w:after="0"/>
        <w:tabs>
          <w:tab w:leader="none" w:pos="5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Excluding 3.43% of upfront fees.</w:t>
      </w:r>
    </w:p>
    <w:p>
      <w:pPr>
        <w:spacing w:after="0" w:line="96"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2015, our SBIC Funds were in compliance with their regulatory requirements.</w:t>
      </w:r>
    </w:p>
    <w:p>
      <w:pPr>
        <w:spacing w:after="0" w:line="76"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asset coverage ratio is met after such borrowing. As of December 31, 2015 and September 30, 2015,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76" w:lineRule="exact"/>
        <w:rPr>
          <w:sz w:val="20"/>
          <w:szCs w:val="20"/>
          <w:color w:val="auto"/>
        </w:rPr>
      </w:pPr>
    </w:p>
    <w:p>
      <w:pPr>
        <w:ind w:right="500" w:firstLine="562"/>
        <w:spacing w:after="0" w:line="253" w:lineRule="auto"/>
        <w:rPr>
          <w:sz w:val="20"/>
          <w:szCs w:val="20"/>
          <w:color w:val="auto"/>
        </w:rPr>
      </w:pPr>
      <w:r>
        <w:rPr>
          <w:rFonts w:ascii="Arial" w:cs="Arial" w:eastAsia="Arial" w:hAnsi="Arial"/>
          <w:sz w:val="14"/>
          <w:szCs w:val="14"/>
          <w:color w:val="auto"/>
        </w:rPr>
        <w:t>At December 31, 2015 and September 30, 2015, we had cash and cash equivalents of $26.3 million and $49.6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66" w:lineRule="exact"/>
        <w:rPr>
          <w:sz w:val="20"/>
          <w:szCs w:val="20"/>
          <w:color w:val="auto"/>
        </w:rPr>
      </w:pPr>
    </w:p>
    <w:p>
      <w:pPr>
        <w:ind w:right="380" w:firstLine="562"/>
        <w:spacing w:after="0" w:line="253" w:lineRule="auto"/>
        <w:rPr>
          <w:sz w:val="20"/>
          <w:szCs w:val="20"/>
          <w:color w:val="auto"/>
        </w:rPr>
      </w:pPr>
      <w:r>
        <w:rPr>
          <w:rFonts w:ascii="Arial" w:cs="Arial" w:eastAsia="Arial" w:hAnsi="Arial"/>
          <w:sz w:val="14"/>
          <w:szCs w:val="14"/>
          <w:color w:val="auto"/>
        </w:rPr>
        <w:t>Our operating activities used cash of $61.8 million for the three months ended December 31, 2014, and our financing activities provided cash of $49.6 million for the same period, primarily from net borrowings under our Credit Facility.</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2015,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right"/>
              <w:ind w:right="9"/>
              <w:spacing w:after="0"/>
              <w:rPr>
                <w:sz w:val="20"/>
                <w:szCs w:val="20"/>
                <w:color w:val="auto"/>
              </w:rPr>
            </w:pPr>
            <w:r>
              <w:rPr>
                <w:rFonts w:ascii="Arial" w:cs="Arial" w:eastAsia="Arial" w:hAnsi="Arial"/>
                <w:sz w:val="14"/>
                <w:szCs w:val="14"/>
                <w:b w:val="1"/>
                <w:bCs w:val="1"/>
                <w:color w:val="auto"/>
                <w:w w:val="93"/>
              </w:rPr>
              <w:t>Payments due by period (in millions)</w:t>
            </w: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0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Less than 1 year</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840"/>
              <w:spacing w:after="0" w:line="142" w:lineRule="exact"/>
              <w:rPr>
                <w:sz w:val="20"/>
                <w:szCs w:val="20"/>
                <w:color w:val="auto"/>
              </w:rPr>
            </w:pPr>
            <w:r>
              <w:rPr>
                <w:rFonts w:ascii="Arial" w:cs="Arial" w:eastAsia="Arial" w:hAnsi="Arial"/>
                <w:sz w:val="14"/>
                <w:szCs w:val="14"/>
                <w:b w:val="1"/>
                <w:bCs w:val="1"/>
                <w:color w:val="auto"/>
                <w:w w:val="98"/>
              </w:rPr>
              <w:t>1-3 years</w:t>
            </w:r>
          </w:p>
        </w:tc>
        <w:tc>
          <w:tcPr>
            <w:tcW w:w="18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3-5 years</w:t>
            </w:r>
          </w:p>
        </w:tc>
        <w:tc>
          <w:tcPr>
            <w:tcW w:w="3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0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143.0</w:t>
            </w:r>
          </w:p>
        </w:tc>
        <w:tc>
          <w:tcPr>
            <w:tcW w:w="2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143.0</w:t>
            </w:r>
          </w:p>
        </w:tc>
        <w:tc>
          <w:tcPr>
            <w:tcW w:w="3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150.0</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0.5</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149.5</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250.0</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250.0</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71.3</w:t>
            </w:r>
          </w:p>
        </w:tc>
      </w:tr>
      <w:tr>
        <w:trPr>
          <w:trHeight w:val="27"/>
        </w:trPr>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614.3</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393.5</w:t>
            </w: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220.8</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10.2</w:t>
            </w:r>
          </w:p>
        </w:tc>
        <w:tc>
          <w:tcPr>
            <w:tcW w:w="1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2.2</w:t>
            </w: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w:t>
            </w:r>
          </w:p>
        </w:tc>
      </w:tr>
      <w:tr>
        <w:trPr>
          <w:trHeight w:val="27"/>
        </w:trPr>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631.3</w:t>
            </w:r>
          </w:p>
        </w:tc>
        <w:tc>
          <w:tcPr>
            <w:tcW w:w="2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2"/>
            <w:shd w:val="clear" w:color="auto" w:fill="CCEEFF"/>
          </w:tcPr>
          <w:p>
            <w:pPr>
              <w:jc w:val="right"/>
              <w:ind w:right="620"/>
              <w:spacing w:after="0" w:line="149" w:lineRule="exact"/>
              <w:rPr>
                <w:sz w:val="20"/>
                <w:szCs w:val="20"/>
                <w:color w:val="auto"/>
              </w:rPr>
            </w:pPr>
            <w:r>
              <w:rPr>
                <w:rFonts w:ascii="Arial" w:cs="Arial" w:eastAsia="Arial" w:hAnsi="Arial"/>
                <w:sz w:val="14"/>
                <w:szCs w:val="14"/>
                <w:color w:val="auto"/>
              </w:rPr>
              <w:t>10.2</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395.7</w:t>
            </w:r>
          </w:p>
        </w:tc>
        <w:tc>
          <w:tcPr>
            <w:tcW w:w="7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221.9</w:t>
            </w:r>
          </w:p>
        </w:tc>
      </w:tr>
      <w:tr>
        <w:trPr>
          <w:trHeight w:val="20"/>
        </w:trPr>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64" w:lineRule="exact"/>
        <w:rPr>
          <w:sz w:val="20"/>
          <w:szCs w:val="20"/>
          <w:color w:val="auto"/>
        </w:rPr>
      </w:pPr>
    </w:p>
    <w:p>
      <w:pPr>
        <w:ind w:left="560" w:right="460" w:hanging="552"/>
        <w:spacing w:after="0" w:line="230" w:lineRule="auto"/>
        <w:tabs>
          <w:tab w:leader="none" w:pos="5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2015, excluding debt issuance costs, was 4.15% exclusive of the fee on the undrawn commitment on the Credit Facility and 3.43% of upfront fees on SBA debentures.</w:t>
      </w:r>
    </w:p>
    <w:p>
      <w:pPr>
        <w:ind w:left="560" w:hanging="552"/>
        <w:spacing w:after="0"/>
        <w:tabs>
          <w:tab w:leader="none" w:pos="5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2016,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right="180" w:firstLine="562"/>
        <w:spacing w:after="0" w:line="228"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2016,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In order to be subject to tax as a RIC and to not be subject to corporate-level tax on undistributed income or gains, we are required, under Subchapter M of the Code, to annually distribute dividends to stockholders of an amount generally at least equal to 90% of the sum of our ordinary income and realized net short-term capital gains in excess of realized net long-term capital losses, or investment company taxable income, out of the assets legally available for distribution. Although not required for us to maintain our RIC tax status, in order to preclude the imposition of a 4% nondeductible federal excise tax imposed on RICs, we must distribute dividends to our stockholders in respect of each calendar year of an amount generally at least equal to the sum of (1) 98% of our net ordinary income for the calendar year, (2) 98.2% of the sum of our capital gain net income (i.e., the excess, if any, of capital gains over capital losses) for the one-year period ending on October 31 of the calendar year plus (3) the sum of any net ordinary income plus capital gain net income for preceding years that was not distributed during such years and on which we paid no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subject to tax as a RIC, to provide us with additional liquidity.</w:t>
      </w:r>
    </w:p>
    <w:p>
      <w:pPr>
        <w:spacing w:after="0" w:line="77"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During the three months ended December 31, 2015 and 2014, we declared distributions of $0.28 per share for each period for total distributions of $20.1 million and $21.0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96"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00" w:lineRule="exact"/>
        <w:rPr>
          <w:sz w:val="20"/>
          <w:szCs w:val="20"/>
          <w:color w:val="auto"/>
        </w:rPr>
      </w:pPr>
    </w:p>
    <w:p>
      <w:pPr>
        <w:ind w:right="200" w:firstLine="562"/>
        <w:spacing w:after="0" w:line="229" w:lineRule="auto"/>
        <w:rPr>
          <w:sz w:val="20"/>
          <w:szCs w:val="20"/>
          <w:color w:val="auto"/>
        </w:rPr>
      </w:pPr>
      <w:r>
        <w:rPr>
          <w:rFonts w:ascii="Arial" w:cs="Arial" w:eastAsia="Arial" w:hAnsi="Arial"/>
          <w:sz w:val="14"/>
          <w:szCs w:val="14"/>
          <w:color w:val="auto"/>
        </w:rPr>
        <w:t>On May 6, 2015, we announced a share repurchase plan which allows us to repurchase up to $35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6, 2016 and the repurchase of $35 million of common stock. During the three and nine months ended December 31, 2015, we repurchased 1.2 million and 3.3 million shares of common stock, respectively, in open market transactions for an aggregate cost (including transaction costs) of $8.4 million and $26.3 million, respectively. During the three and nine months ended December 31, 2014, we did not make any repurchases of our common stock.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2015, our debt portfolio consisted of 75% variable-rate investments (including 69% with a LIBOR or prime floor) and 25%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3"/>
              </w:rPr>
              <w:t>Change In Interest Income,</w:t>
            </w:r>
          </w:p>
        </w:tc>
        <w:tc>
          <w:tcPr>
            <w:tcW w:w="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2"/>
              </w:rPr>
              <w:t>Net Of Interest Expense</w:t>
            </w: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1780" w:type="dxa"/>
            <w:vAlign w:val="bottom"/>
            <w:gridSpan w:val="2"/>
          </w:tcPr>
          <w:p>
            <w:pPr>
              <w:jc w:val="center"/>
              <w:ind w:left="288"/>
              <w:spacing w:after="0"/>
              <w:rPr>
                <w:sz w:val="20"/>
                <w:szCs w:val="20"/>
                <w:color w:val="auto"/>
              </w:rPr>
            </w:pPr>
            <w:r>
              <w:rPr>
                <w:rFonts w:ascii="Arial" w:cs="Arial" w:eastAsia="Arial" w:hAnsi="Arial"/>
                <w:sz w:val="14"/>
                <w:szCs w:val="14"/>
                <w:color w:val="auto"/>
                <w:w w:val="91"/>
              </w:rPr>
              <w:t>Change In Interest Rates</w:t>
            </w:r>
          </w:p>
        </w:tc>
        <w:tc>
          <w:tcPr>
            <w:tcW w:w="680" w:type="dxa"/>
            <w:vAlign w:val="bottom"/>
          </w:tcPr>
          <w:p>
            <w:pPr>
              <w:spacing w:after="0"/>
              <w:rPr>
                <w:sz w:val="15"/>
                <w:szCs w:val="15"/>
                <w:color w:val="auto"/>
              </w:rPr>
            </w:pPr>
          </w:p>
        </w:tc>
        <w:tc>
          <w:tcPr>
            <w:tcW w:w="250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(In Thousands)</w:t>
            </w:r>
          </w:p>
        </w:tc>
        <w:tc>
          <w:tcPr>
            <w:tcW w:w="480" w:type="dxa"/>
            <w:vAlign w:val="bottom"/>
          </w:tcPr>
          <w:p>
            <w:pPr>
              <w:spacing w:after="0"/>
              <w:rPr>
                <w:sz w:val="15"/>
                <w:szCs w:val="15"/>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color w:val="auto"/>
              </w:rPr>
              <w:t>Per Share</w:t>
            </w:r>
          </w:p>
        </w:tc>
      </w:tr>
      <w:tr>
        <w:trPr>
          <w:trHeight w:val="142"/>
        </w:trPr>
        <w:tc>
          <w:tcPr>
            <w:tcW w:w="3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9"/>
              </w:rPr>
              <w:t>Up 1%</w:t>
            </w:r>
          </w:p>
        </w:tc>
        <w:tc>
          <w:tcPr>
            <w:tcW w:w="68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608"/>
              <w:spacing w:after="0" w:line="142" w:lineRule="exact"/>
              <w:rPr>
                <w:sz w:val="20"/>
                <w:szCs w:val="20"/>
                <w:color w:val="auto"/>
              </w:rPr>
            </w:pPr>
            <w:r>
              <w:rPr>
                <w:rFonts w:ascii="Arial" w:cs="Arial" w:eastAsia="Arial" w:hAnsi="Arial"/>
                <w:sz w:val="14"/>
                <w:szCs w:val="14"/>
                <w:color w:val="auto"/>
              </w:rPr>
              <w:t>1,290</w:t>
            </w:r>
          </w:p>
        </w:tc>
        <w:tc>
          <w:tcPr>
            <w:tcW w:w="2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top w:val="single" w:sz="8" w:color="auto"/>
            </w:tcBorders>
            <w:shd w:val="clear" w:color="auto" w:fill="CCEEFF"/>
          </w:tcPr>
          <w:p>
            <w:pPr>
              <w:jc w:val="right"/>
              <w:ind w:right="708"/>
              <w:spacing w:after="0" w:line="142" w:lineRule="exact"/>
              <w:rPr>
                <w:sz w:val="20"/>
                <w:szCs w:val="20"/>
                <w:color w:val="auto"/>
              </w:rPr>
            </w:pPr>
            <w:r>
              <w:rPr>
                <w:rFonts w:ascii="Arial" w:cs="Arial" w:eastAsia="Arial" w:hAnsi="Arial"/>
                <w:sz w:val="14"/>
                <w:szCs w:val="14"/>
                <w:color w:val="auto"/>
              </w:rPr>
              <w:t>0.02</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color w:val="auto"/>
                <w:w w:val="99"/>
              </w:rPr>
              <w:t>Up 2%</w:t>
            </w:r>
          </w:p>
        </w:tc>
        <w:tc>
          <w:tcPr>
            <w:tcW w:w="16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line="149" w:lineRule="exact"/>
              <w:rPr>
                <w:sz w:val="20"/>
                <w:szCs w:val="20"/>
                <w:color w:val="auto"/>
              </w:rPr>
            </w:pPr>
            <w:r>
              <w:rPr>
                <w:rFonts w:ascii="Arial" w:cs="Arial" w:eastAsia="Arial" w:hAnsi="Arial"/>
                <w:sz w:val="14"/>
                <w:szCs w:val="14"/>
                <w:color w:val="auto"/>
              </w:rPr>
              <w:t>9,119</w:t>
            </w:r>
          </w:p>
        </w:tc>
        <w:tc>
          <w:tcPr>
            <w:tcW w:w="280" w:type="dxa"/>
            <w:vAlign w:val="bottom"/>
          </w:tcPr>
          <w:p>
            <w:pPr>
              <w:spacing w:after="0"/>
              <w:rPr>
                <w:sz w:val="12"/>
                <w:szCs w:val="12"/>
                <w:color w:val="auto"/>
              </w:rPr>
            </w:pPr>
          </w:p>
        </w:tc>
        <w:tc>
          <w:tcPr>
            <w:tcW w:w="48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line="149" w:lineRule="exact"/>
              <w:rPr>
                <w:sz w:val="20"/>
                <w:szCs w:val="20"/>
                <w:color w:val="auto"/>
              </w:rPr>
            </w:pPr>
            <w:r>
              <w:rPr>
                <w:rFonts w:ascii="Arial" w:cs="Arial" w:eastAsia="Arial" w:hAnsi="Arial"/>
                <w:sz w:val="14"/>
                <w:szCs w:val="14"/>
                <w:color w:val="auto"/>
              </w:rPr>
              <w:t>0.13</w:t>
            </w:r>
          </w:p>
        </w:tc>
        <w:tc>
          <w:tcPr>
            <w:tcW w:w="100" w:type="dxa"/>
            <w:vAlign w:val="bottom"/>
          </w:tcPr>
          <w:p>
            <w:pPr>
              <w:spacing w:after="0"/>
              <w:rPr>
                <w:sz w:val="12"/>
                <w:szCs w:val="12"/>
                <w:color w:val="auto"/>
              </w:rPr>
            </w:pPr>
          </w:p>
        </w:tc>
      </w:tr>
      <w:tr>
        <w:trPr>
          <w:trHeight w:val="148"/>
        </w:trPr>
        <w:tc>
          <w:tcPr>
            <w:tcW w:w="3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Up 3%</w:t>
            </w:r>
          </w:p>
        </w:tc>
        <w:tc>
          <w:tcPr>
            <w:tcW w:w="16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08"/>
              <w:spacing w:after="0" w:line="149" w:lineRule="exact"/>
              <w:rPr>
                <w:sz w:val="20"/>
                <w:szCs w:val="20"/>
                <w:color w:val="auto"/>
              </w:rPr>
            </w:pPr>
            <w:r>
              <w:rPr>
                <w:rFonts w:ascii="Arial" w:cs="Arial" w:eastAsia="Arial" w:hAnsi="Arial"/>
                <w:sz w:val="14"/>
                <w:szCs w:val="14"/>
                <w:color w:val="auto"/>
              </w:rPr>
              <w:t>16,948</w:t>
            </w: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708"/>
              <w:spacing w:after="0" w:line="149" w:lineRule="exact"/>
              <w:rPr>
                <w:sz w:val="20"/>
                <w:szCs w:val="20"/>
                <w:color w:val="auto"/>
              </w:rPr>
            </w:pPr>
            <w:r>
              <w:rPr>
                <w:rFonts w:ascii="Arial" w:cs="Arial" w:eastAsia="Arial" w:hAnsi="Arial"/>
                <w:sz w:val="14"/>
                <w:szCs w:val="14"/>
                <w:color w:val="auto"/>
              </w:rPr>
              <w:t>0.24</w:t>
            </w:r>
          </w:p>
        </w:tc>
        <w:tc>
          <w:tcPr>
            <w:tcW w:w="100" w:type="dxa"/>
            <w:vAlign w:val="bottom"/>
            <w:shd w:val="clear" w:color="auto" w:fill="CCEEFF"/>
          </w:tcPr>
          <w:p>
            <w:pPr>
              <w:spacing w:after="0"/>
              <w:rPr>
                <w:sz w:val="12"/>
                <w:szCs w:val="12"/>
                <w:color w:val="auto"/>
              </w:rPr>
            </w:pPr>
          </w:p>
        </w:tc>
      </w:tr>
      <w:tr>
        <w:trPr>
          <w:trHeight w:val="182"/>
        </w:trPr>
        <w:tc>
          <w:tcPr>
            <w:tcW w:w="3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Up 4%</w:t>
            </w:r>
          </w:p>
        </w:tc>
        <w:tc>
          <w:tcPr>
            <w:tcW w:w="166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08"/>
              <w:spacing w:after="0"/>
              <w:rPr>
                <w:sz w:val="20"/>
                <w:szCs w:val="20"/>
                <w:color w:val="auto"/>
              </w:rPr>
            </w:pPr>
            <w:r>
              <w:rPr>
                <w:rFonts w:ascii="Arial" w:cs="Arial" w:eastAsia="Arial" w:hAnsi="Arial"/>
                <w:sz w:val="14"/>
                <w:szCs w:val="14"/>
                <w:color w:val="auto"/>
              </w:rPr>
              <w:t>24,777</w:t>
            </w:r>
          </w:p>
        </w:tc>
        <w:tc>
          <w:tcPr>
            <w:tcW w:w="280" w:type="dxa"/>
            <w:vAlign w:val="bottom"/>
          </w:tcPr>
          <w:p>
            <w:pPr>
              <w:spacing w:after="0"/>
              <w:rPr>
                <w:sz w:val="15"/>
                <w:szCs w:val="15"/>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08"/>
              <w:spacing w:after="0"/>
              <w:rPr>
                <w:sz w:val="20"/>
                <w:szCs w:val="20"/>
                <w:color w:val="auto"/>
              </w:rPr>
            </w:pPr>
            <w:r>
              <w:rPr>
                <w:rFonts w:ascii="Arial" w:cs="Arial" w:eastAsia="Arial" w:hAnsi="Arial"/>
                <w:sz w:val="14"/>
                <w:szCs w:val="14"/>
                <w:color w:val="auto"/>
              </w:rPr>
              <w:t>0.35</w:t>
            </w:r>
          </w:p>
        </w:tc>
        <w:tc>
          <w:tcPr>
            <w:tcW w:w="100" w:type="dxa"/>
            <w:vAlign w:val="bottom"/>
          </w:tcPr>
          <w:p>
            <w:pPr>
              <w:spacing w:after="0"/>
              <w:rPr>
                <w:sz w:val="15"/>
                <w:szCs w:val="15"/>
                <w:color w:val="auto"/>
              </w:rPr>
            </w:pPr>
          </w:p>
        </w:tc>
      </w:tr>
    </w:tbl>
    <w:p>
      <w:pPr>
        <w:spacing w:after="0" w:line="164"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 or foreign currency hedging activities.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2015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2015,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Repurchases of our common stock under our share repurchase plan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1"/>
              </w:rPr>
              <w:t>Total Number of Shares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0" w:type="dxa"/>
            <w:vAlign w:val="bottom"/>
          </w:tcPr>
          <w:p>
            <w:pPr>
              <w:spacing w:after="0"/>
              <w:rPr>
                <w:sz w:val="12"/>
                <w:szCs w:val="12"/>
                <w:color w:val="auto"/>
              </w:rPr>
            </w:pPr>
          </w:p>
        </w:tc>
        <w:tc>
          <w:tcPr>
            <w:tcW w:w="16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8"/>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4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Average Price per Share</w:t>
            </w:r>
          </w:p>
        </w:tc>
        <w:tc>
          <w:tcPr>
            <w:tcW w:w="1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12"/>
                <w:szCs w:val="12"/>
                <w:b w:val="1"/>
                <w:bCs w:val="1"/>
                <w:color w:val="auto"/>
                <w:w w:val="92"/>
              </w:rPr>
              <w:t>(1)</w:t>
            </w:r>
          </w:p>
        </w:tc>
        <w:tc>
          <w:tcPr>
            <w:tcW w:w="100" w:type="dxa"/>
            <w:vAlign w:val="bottom"/>
          </w:tcPr>
          <w:p>
            <w:pPr>
              <w:spacing w:after="0"/>
              <w:rPr>
                <w:sz w:val="14"/>
                <w:szCs w:val="14"/>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42"/>
        </w:trPr>
        <w:tc>
          <w:tcPr>
            <w:tcW w:w="44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October 1, 2015 through October 31, 2015</w:t>
            </w:r>
          </w:p>
        </w:tc>
        <w:tc>
          <w:tcPr>
            <w:tcW w:w="10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0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N/A</w:t>
            </w:r>
          </w:p>
        </w:tc>
        <w:tc>
          <w:tcPr>
            <w:tcW w:w="18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gridSpan w:val="2"/>
          </w:tcPr>
          <w:p>
            <w:pPr>
              <w:spacing w:after="0" w:line="149" w:lineRule="exact"/>
              <w:rPr>
                <w:sz w:val="20"/>
                <w:szCs w:val="20"/>
                <w:color w:val="auto"/>
              </w:rPr>
            </w:pPr>
            <w:r>
              <w:rPr>
                <w:rFonts w:ascii="Arial" w:cs="Arial" w:eastAsia="Arial" w:hAnsi="Arial"/>
                <w:sz w:val="14"/>
                <w:szCs w:val="14"/>
                <w:color w:val="auto"/>
              </w:rPr>
              <w:t>November 1, 2015 through November 30, 2015</w:t>
            </w:r>
          </w:p>
        </w:tc>
        <w:tc>
          <w:tcPr>
            <w:tcW w:w="1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877,933</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6.82</w:t>
            </w:r>
          </w:p>
        </w:tc>
        <w:tc>
          <w:tcPr>
            <w:tcW w:w="1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877,933</w:t>
            </w:r>
          </w:p>
        </w:tc>
        <w:tc>
          <w:tcPr>
            <w:tcW w:w="100" w:type="dxa"/>
            <w:vAlign w:val="bottom"/>
          </w:tcPr>
          <w:p>
            <w:pPr>
              <w:spacing w:after="0"/>
              <w:rPr>
                <w:sz w:val="12"/>
                <w:szCs w:val="12"/>
                <w:color w:val="auto"/>
              </w:rPr>
            </w:pPr>
          </w:p>
        </w:tc>
        <w:tc>
          <w:tcPr>
            <w:tcW w:w="1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8"/>
        </w:trPr>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December 1, 2015 through December 31, 2015</w:t>
            </w:r>
          </w:p>
        </w:tc>
        <w:tc>
          <w:tcPr>
            <w:tcW w:w="1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342,400</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7.22</w:t>
            </w:r>
          </w:p>
        </w:tc>
        <w:tc>
          <w:tcPr>
            <w:tcW w:w="1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342,400</w:t>
            </w:r>
          </w:p>
        </w:tc>
        <w:tc>
          <w:tcPr>
            <w:tcW w:w="10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56"/>
        </w:trPr>
        <w:tc>
          <w:tcPr>
            <w:tcW w:w="45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1,220,333</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1,220,333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60" w:hanging="552"/>
        <w:spacing w:after="0" w:line="253" w:lineRule="auto"/>
        <w:tabs>
          <w:tab w:leader="none" w:pos="560" w:val="left"/>
        </w:tabs>
        <w:numPr>
          <w:ilvl w:val="0"/>
          <w:numId w:val="15"/>
        </w:numPr>
        <w:rPr>
          <w:rFonts w:ascii="Arial" w:cs="Arial" w:eastAsia="Arial" w:hAnsi="Arial"/>
          <w:sz w:val="12"/>
          <w:szCs w:val="12"/>
          <w:color w:val="auto"/>
        </w:rPr>
      </w:pPr>
      <w:r>
        <w:rPr>
          <w:rFonts w:ascii="Arial" w:cs="Arial" w:eastAsia="Arial" w:hAnsi="Arial"/>
          <w:sz w:val="14"/>
          <w:szCs w:val="14"/>
          <w:color w:val="auto"/>
        </w:rPr>
        <w:t>On May 6, 2015, we announced a share repurchase plan which allows us to repurchase up to $35.0 million of our outstanding common stock. Unless extended by our board of directors, the program will expire on the earlier of May 6, 2016 and the repurchase of $35.0 million of common stock.</w:t>
      </w:r>
    </w:p>
    <w:p>
      <w:pPr>
        <w:spacing w:after="0" w:line="7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352"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3"/>
          <w:szCs w:val="13"/>
          <w:color w:val="auto"/>
        </w:rPr>
        <w:t>Articles of Incorporation (Incorporated by reference to Exhibit 99(a) to the Registrant’s Pre-Effective Amendment No. 3 to the Registration Statement on Form N-2/A (File No. 333-</w:t>
      </w:r>
    </w:p>
    <w:p>
      <w:pPr>
        <w:ind w:left="680"/>
        <w:spacing w:after="0"/>
        <w:rPr>
          <w:sz w:val="20"/>
          <w:szCs w:val="20"/>
          <w:color w:val="auto"/>
        </w:rPr>
      </w:pPr>
      <w:r>
        <w:rPr>
          <w:rFonts w:ascii="Arial" w:cs="Arial" w:eastAsia="Arial" w:hAnsi="Arial"/>
          <w:sz w:val="14"/>
          <w:szCs w:val="14"/>
          <w:color w:val="auto"/>
        </w:rPr>
        <w:t>140092), filed on April 5, 2007).</w:t>
      </w:r>
    </w:p>
    <w:p>
      <w:pPr>
        <w:spacing w:after="0" w:line="15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3"/>
          <w:szCs w:val="13"/>
          <w:color w:val="auto"/>
        </w:rPr>
        <w:t>Amended and Restated Bylaws of the Registrant (Incorporated by reference to Exhibit 3.1 to the Registrant’s Current Report on Form 8-K (File No. 814-00736), filed on December 2,</w:t>
      </w:r>
    </w:p>
    <w:p>
      <w:pPr>
        <w:ind w:left="680"/>
        <w:spacing w:after="0"/>
        <w:rPr>
          <w:sz w:val="20"/>
          <w:szCs w:val="20"/>
          <w:color w:val="auto"/>
        </w:rPr>
      </w:pPr>
      <w:r>
        <w:rPr>
          <w:rFonts w:ascii="Arial" w:cs="Arial" w:eastAsia="Arial" w:hAnsi="Arial"/>
          <w:sz w:val="14"/>
          <w:szCs w:val="14"/>
          <w:color w:val="auto"/>
        </w:rPr>
        <w:t>2015).</w:t>
      </w:r>
    </w:p>
    <w:p>
      <w:pPr>
        <w:spacing w:after="0" w:line="151" w:lineRule="exact"/>
        <w:rPr>
          <w:sz w:val="20"/>
          <w:szCs w:val="20"/>
          <w:color w:val="auto"/>
        </w:rPr>
      </w:pPr>
    </w:p>
    <w:p>
      <w:pPr>
        <w:ind w:left="80"/>
        <w:spacing w:after="0"/>
        <w:tabs>
          <w:tab w:leader="none" w:pos="66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3"/>
          <w:szCs w:val="13"/>
          <w:color w:val="auto"/>
        </w:rPr>
        <w:t>Form of Share Certificate (Incorporated by reference to Exhibit 99(d)(1) to the Registrant’s Registration Statement on Form N-2 (File No. 333-150033), filed on April 2, 2008).</w:t>
      </w:r>
    </w:p>
    <w:p>
      <w:pPr>
        <w:spacing w:after="0" w:line="16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2"/>
          <w:szCs w:val="12"/>
          <w:color w:val="auto"/>
        </w:rPr>
        <w:t>First Amended and Restated Investment Advisory Management Agreement, dated as of February 2, 2016, between the Registrant and PennantPark Investment Advisers, LLC.</w:t>
      </w:r>
    </w:p>
    <w:p>
      <w:pPr>
        <w:spacing w:after="0" w:line="163"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 *</w:t>
      </w:r>
      <w:r>
        <w:rPr>
          <w:rFonts w:ascii="Arial" w:cs="Arial" w:eastAsia="Arial" w:hAnsi="Arial"/>
          <w:sz w:val="13"/>
          <w:szCs w:val="13"/>
          <w:color w:val="auto"/>
        </w:rPr>
        <w:t>Certification of Chief Executive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 *</w:t>
      </w:r>
      <w:r>
        <w:rPr>
          <w:rFonts w:ascii="Arial" w:cs="Arial" w:eastAsia="Arial" w:hAnsi="Arial"/>
          <w:sz w:val="13"/>
          <w:szCs w:val="13"/>
          <w:color w:val="auto"/>
        </w:rPr>
        <w:t>Certification of Chief Financial Officer pursuant to Rule 13a-14 of the Securities Exchange Act of 1934, as amended.</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 *</w:t>
      </w:r>
      <w:r>
        <w:rPr>
          <w:rFonts w:ascii="Arial" w:cs="Arial" w:eastAsia="Arial" w:hAnsi="Arial"/>
          <w:sz w:val="13"/>
          <w:szCs w:val="13"/>
          <w:color w:val="auto"/>
        </w:rPr>
        <w:t>Certification of Chief Executive Officer pursuant to Section 906 of the Sarbanes-Oxley Act of 2002.</w:t>
      </w:r>
    </w:p>
    <w:p>
      <w:pPr>
        <w:spacing w:after="0" w:line="16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 *</w:t>
      </w:r>
      <w:r>
        <w:rPr>
          <w:rFonts w:ascii="Arial" w:cs="Arial" w:eastAsia="Arial" w:hAnsi="Arial"/>
          <w:sz w:val="13"/>
          <w:szCs w:val="13"/>
          <w:color w:val="auto"/>
        </w:rPr>
        <w:t>Certification of Chief Financial Officer pursuant to Section 906 of the Sarbanes-Oxley Act of 2002.</w:t>
      </w:r>
    </w:p>
    <w:p>
      <w:pPr>
        <w:spacing w:after="0" w:line="163" w:lineRule="exact"/>
        <w:rPr>
          <w:sz w:val="20"/>
          <w:szCs w:val="20"/>
          <w:color w:val="auto"/>
        </w:rPr>
      </w:pPr>
    </w:p>
    <w:p>
      <w:pPr>
        <w:ind w:left="680" w:right="2080" w:hanging="674"/>
        <w:spacing w:after="0" w:line="253" w:lineRule="auto"/>
        <w:tabs>
          <w:tab w:leader="none" w:pos="660" w:val="left"/>
        </w:tabs>
        <w:rPr>
          <w:sz w:val="20"/>
          <w:szCs w:val="20"/>
          <w:color w:val="auto"/>
        </w:rPr>
      </w:pPr>
      <w:r>
        <w:rPr>
          <w:rFonts w:ascii="Arial" w:cs="Arial" w:eastAsia="Arial" w:hAnsi="Arial"/>
          <w:sz w:val="14"/>
          <w:szCs w:val="14"/>
          <w:color w:val="auto"/>
        </w:rPr>
        <w:t>99.1</w:t>
      </w:r>
      <w:r>
        <w:rPr>
          <w:sz w:val="20"/>
          <w:szCs w:val="20"/>
          <w:color w:val="auto"/>
        </w:rPr>
        <w:tab/>
      </w:r>
      <w:r>
        <w:rPr>
          <w:rFonts w:ascii="Arial" w:cs="Arial" w:eastAsia="Arial" w:hAnsi="Arial"/>
          <w:sz w:val="14"/>
          <w:szCs w:val="14"/>
          <w:color w:val="auto"/>
        </w:rPr>
        <w:t>Privacy Policy of the Registrant (Incorporated by reference to Exhibit 99.1 to the Registrant’s Annual Report on Form 10-K (File No. 814-00736), filed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259080</wp:posOffset>
            </wp:positionV>
            <wp:extent cx="8280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804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00"/>
          </w:cols>
          <w:pgMar w:left="320" w:top="459" w:right="3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p>
      <w:pPr>
        <w:ind w:left="6760"/>
        <w:spacing w:after="0"/>
        <w:rPr>
          <w:sz w:val="20"/>
          <w:szCs w:val="20"/>
          <w:color w:val="auto"/>
        </w:rPr>
      </w:pPr>
      <w:r>
        <w:rPr>
          <w:rFonts w:ascii="Arial" w:cs="Arial" w:eastAsia="Arial" w:hAnsi="Arial"/>
          <w:sz w:val="14"/>
          <w:szCs w:val="14"/>
          <w:color w:val="auto"/>
        </w:rPr>
        <w:t>PENNANTPARK INVESTMENT CORPORATION</w:t>
      </w:r>
    </w:p>
    <w:p>
      <w:pPr>
        <w:spacing w:after="0" w:line="38" w:lineRule="exact"/>
        <w:rPr>
          <w:sz w:val="20"/>
          <w:szCs w:val="20"/>
          <w:color w:val="auto"/>
        </w:rPr>
      </w:pPr>
    </w:p>
    <w:p>
      <w:pPr>
        <w:spacing w:after="0"/>
        <w:tabs>
          <w:tab w:leader="none" w:pos="5300" w:val="left"/>
          <w:tab w:leader="none" w:pos="7940" w:val="left"/>
        </w:tabs>
        <w:rPr>
          <w:sz w:val="20"/>
          <w:szCs w:val="20"/>
          <w:color w:val="auto"/>
        </w:rPr>
      </w:pPr>
      <w:r>
        <w:rPr>
          <w:rFonts w:ascii="Arial" w:cs="Arial" w:eastAsia="Arial" w:hAnsi="Arial"/>
          <w:sz w:val="14"/>
          <w:szCs w:val="14"/>
          <w:color w:val="auto"/>
        </w:rPr>
        <w:t>Date: February 3,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4"/>
          <w:szCs w:val="14"/>
          <w:b w:val="1"/>
          <w:bCs w:val="1"/>
          <w:color w:val="auto"/>
        </w:rPr>
        <w:t>Arthur H. Penn</w:t>
      </w:r>
    </w:p>
    <w:p>
      <w:pPr>
        <w:jc w:val="center"/>
        <w:ind w:left="6000"/>
        <w:spacing w:after="0" w:line="221" w:lineRule="auto"/>
        <w:rPr>
          <w:sz w:val="20"/>
          <w:szCs w:val="20"/>
          <w:color w:val="auto"/>
        </w:rPr>
      </w:pPr>
      <w:r>
        <w:rPr>
          <w:rFonts w:ascii="Arial" w:cs="Arial" w:eastAsia="Arial" w:hAnsi="Arial"/>
          <w:sz w:val="14"/>
          <w:szCs w:val="14"/>
          <w:b w:val="1"/>
          <w:bCs w:val="1"/>
          <w:color w:val="auto"/>
        </w:rPr>
        <w:t>Chief Executive Officer and Chairman of the Board of Directors</w:t>
      </w:r>
    </w:p>
    <w:p>
      <w:pPr>
        <w:jc w:val="center"/>
        <w:ind w:left="6000"/>
        <w:spacing w:after="0"/>
        <w:rPr>
          <w:sz w:val="20"/>
          <w:szCs w:val="20"/>
          <w:color w:val="auto"/>
        </w:rPr>
      </w:pPr>
      <w:r>
        <w:rPr>
          <w:rFonts w:ascii="Arial" w:cs="Arial" w:eastAsia="Arial" w:hAnsi="Arial"/>
          <w:sz w:val="14"/>
          <w:szCs w:val="14"/>
          <w:b w:val="1"/>
          <w:bCs w:val="1"/>
          <w:color w:val="auto"/>
        </w:rPr>
        <w:t>(Principal Executive Officer)</w:t>
      </w:r>
    </w:p>
    <w:p>
      <w:pPr>
        <w:spacing w:after="0" w:line="40" w:lineRule="exact"/>
        <w:rPr>
          <w:sz w:val="20"/>
          <w:szCs w:val="20"/>
          <w:color w:val="auto"/>
        </w:rPr>
      </w:pPr>
    </w:p>
    <w:p>
      <w:pPr>
        <w:spacing w:after="0"/>
        <w:tabs>
          <w:tab w:leader="none" w:pos="5300" w:val="left"/>
          <w:tab w:leader="none" w:pos="8080" w:val="left"/>
        </w:tabs>
        <w:rPr>
          <w:sz w:val="20"/>
          <w:szCs w:val="20"/>
          <w:color w:val="auto"/>
        </w:rPr>
      </w:pPr>
      <w:r>
        <w:rPr>
          <w:rFonts w:ascii="Arial" w:cs="Arial" w:eastAsia="Arial" w:hAnsi="Arial"/>
          <w:sz w:val="14"/>
          <w:szCs w:val="14"/>
          <w:color w:val="auto"/>
        </w:rPr>
        <w:t>Date: February 3, 2016</w:t>
      </w:r>
      <w:r>
        <w:rPr>
          <w:sz w:val="20"/>
          <w:szCs w:val="20"/>
          <w:color w:val="auto"/>
        </w:rPr>
        <w:tab/>
      </w:r>
      <w:r>
        <w:rPr>
          <w:rFonts w:ascii="Arial" w:cs="Arial" w:eastAsia="Arial" w:hAnsi="Arial"/>
          <w:sz w:val="29"/>
          <w:szCs w:val="29"/>
          <w:color w:val="auto"/>
          <w:vertAlign w:val="subscript"/>
        </w:rPr>
        <w:t>By:</w:t>
      </w:r>
      <w:r>
        <w:rPr>
          <w:sz w:val="20"/>
          <w:szCs w:val="20"/>
          <w:color w:val="auto"/>
        </w:rPr>
        <w:tab/>
      </w: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0</wp:posOffset>
            </wp:positionV>
            <wp:extent cx="33172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4"/>
          <w:szCs w:val="14"/>
          <w:b w:val="1"/>
          <w:bCs w:val="1"/>
          <w:color w:val="auto"/>
        </w:rPr>
        <w:t>Aviv Efrat</w:t>
      </w:r>
    </w:p>
    <w:p>
      <w:pPr>
        <w:spacing w:after="0" w:line="39"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040"/>
          </w:cols>
          <w:pgMar w:left="320" w:top="459" w:right="539" w:bottom="1440" w:gutter="0" w:footer="0" w:header="0"/>
        </w:sectPr>
      </w:pPr>
    </w:p>
    <w:bookmarkStart w:id="37" w:name="page38"/>
    <w:bookmarkEnd w:id="37"/>
    <w:p>
      <w:pPr>
        <w:jc w:val="right"/>
        <w:spacing w:after="0"/>
        <w:rPr>
          <w:sz w:val="20"/>
          <w:szCs w:val="20"/>
          <w:color w:val="auto"/>
        </w:rPr>
      </w:pPr>
      <w:r>
        <w:rPr>
          <w:rFonts w:ascii="Arial" w:cs="Arial" w:eastAsia="Arial" w:hAnsi="Arial"/>
          <w:sz w:val="14"/>
          <w:szCs w:val="14"/>
          <w:b w:val="1"/>
          <w:bCs w:val="1"/>
          <w:color w:val="auto"/>
        </w:rPr>
        <w:t>Exhibit 10.1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FIRST AMENDED AND RESTATED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INVESTMENT ADVISORY MANAGEMENT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BETWEEN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INVESTMENT CORPORATION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AND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PENNANTPARK INVESTMENT ADVISERS, LLC</w:t>
      </w:r>
    </w:p>
    <w:p>
      <w:pPr>
        <w:spacing w:after="0" w:line="316" w:lineRule="exact"/>
        <w:rPr>
          <w:sz w:val="20"/>
          <w:szCs w:val="20"/>
          <w:color w:val="auto"/>
        </w:rPr>
      </w:pPr>
    </w:p>
    <w:p>
      <w:pPr>
        <w:ind w:right="980" w:firstLine="562"/>
        <w:spacing w:after="0" w:line="253" w:lineRule="auto"/>
        <w:rPr>
          <w:sz w:val="20"/>
          <w:szCs w:val="20"/>
          <w:color w:val="auto"/>
        </w:rPr>
      </w:pPr>
      <w:r>
        <w:rPr>
          <w:rFonts w:ascii="Arial" w:cs="Arial" w:eastAsia="Arial" w:hAnsi="Arial"/>
          <w:sz w:val="14"/>
          <w:szCs w:val="14"/>
          <w:color w:val="auto"/>
        </w:rPr>
        <w:t>Agreement made this 2nd day of February 2016, by and between PENNANTPARK INVESTMENT CORPORATION, a Maryland corporation (the “Corporation”), and PENNANTPARK INVESTMENT ADVISERS, LLC, a Delaware limited liability company (the “Adviser”).</w:t>
      </w:r>
    </w:p>
    <w:p>
      <w:pPr>
        <w:spacing w:after="0" w:line="147"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WHEREAS, the Corporation operates as a closed-end management investment company that has elected to be treated as a business development company under the Investment Company Act of 1940, as amended (the “Investment Company Act”);</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the Adviser is registered as an investment adviser under the Investment Advisers Act of 1940, as amended (the “Advisers Act”);</w:t>
      </w:r>
    </w:p>
    <w:p>
      <w:pPr>
        <w:spacing w:after="0" w:line="163" w:lineRule="exact"/>
        <w:rPr>
          <w:sz w:val="20"/>
          <w:szCs w:val="20"/>
          <w:color w:val="auto"/>
        </w:rPr>
      </w:pPr>
    </w:p>
    <w:p>
      <w:pPr>
        <w:ind w:right="420" w:firstLine="562"/>
        <w:spacing w:after="0" w:line="253" w:lineRule="auto"/>
        <w:rPr>
          <w:sz w:val="20"/>
          <w:szCs w:val="20"/>
          <w:color w:val="auto"/>
        </w:rPr>
      </w:pPr>
      <w:r>
        <w:rPr>
          <w:rFonts w:ascii="Arial" w:cs="Arial" w:eastAsia="Arial" w:hAnsi="Arial"/>
          <w:sz w:val="14"/>
          <w:szCs w:val="14"/>
          <w:color w:val="auto"/>
        </w:rPr>
        <w:t>WHEREAS, the Corporation and the Adviser are parties to that certain investment advisory management agreement dated April 17, 2007 by and between the Corporation and the Adviser (the “Prior Agreement”);</w:t>
      </w:r>
    </w:p>
    <w:p>
      <w:pPr>
        <w:spacing w:after="0" w:line="147" w:lineRule="exact"/>
        <w:rPr>
          <w:sz w:val="20"/>
          <w:szCs w:val="20"/>
          <w:color w:val="auto"/>
        </w:rPr>
      </w:pPr>
    </w:p>
    <w:p>
      <w:pPr>
        <w:ind w:right="500" w:firstLine="562"/>
        <w:spacing w:after="0" w:line="253" w:lineRule="auto"/>
        <w:rPr>
          <w:sz w:val="20"/>
          <w:szCs w:val="20"/>
          <w:color w:val="auto"/>
        </w:rPr>
      </w:pPr>
      <w:r>
        <w:rPr>
          <w:rFonts w:ascii="Arial" w:cs="Arial" w:eastAsia="Arial" w:hAnsi="Arial"/>
          <w:sz w:val="14"/>
          <w:szCs w:val="14"/>
          <w:color w:val="auto"/>
        </w:rPr>
        <w:t>WHEREAS, the Corporation and the Adviser desire to amend and restate the Prior Agreement to set forth the terms and conditions for the continued provision by the Adviser of investment advisory services to the Corporation; and</w:t>
      </w:r>
    </w:p>
    <w:p>
      <w:pPr>
        <w:spacing w:after="0" w:line="133"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WHEREAS, the Corporation’s board of directors has determined that such amendment and restatement clarifies the intent of the Prior Agreement in a manner that is consistent with the Corporation’s public disclosures and is not detrimental to the Corporation.</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NOW, THEREFORE, in consideration of the premises and for other good and valuable consideration, the parties hereby agree as follows: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1. Duties of the Adviser.</w:t>
      </w:r>
    </w:p>
    <w:p>
      <w:pPr>
        <w:spacing w:after="0" w:line="163" w:lineRule="exact"/>
        <w:rPr>
          <w:sz w:val="20"/>
          <w:szCs w:val="20"/>
          <w:color w:val="auto"/>
        </w:rPr>
      </w:pPr>
    </w:p>
    <w:p>
      <w:pPr>
        <w:ind w:right="20" w:firstLine="570"/>
        <w:spacing w:after="0" w:line="225" w:lineRule="auto"/>
        <w:tabs>
          <w:tab w:leader="none" w:pos="75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Corporation hereby employs the Adviser to act as the investment adviser to the Corporation and to manage the investment and reinvestment of the assets of the Corporation, subject to the supervision of the Board of Directors of the Corporation, for the period and upon the terms herein set forth, (i) in accordance with the investment objective, policies and restrictions that are set forth in the Registration Statement, dated April 18, 2007, as the same may be amended from time to time, (ii) in accordance with the Investment Company Act and (iii) during the term of this Agreement in accordance with all other applicable federal and state laws, rules and regulations, and the Corporation’s charter and by-laws. Without limiting the generality of the foregoing, the Adviser shall, during the term and subject to the provisions of this Agreement, (i) determine the composition of the portfolio of the Corporation, the nature and timing of the changes therein and the manner of implementing such changes; (ii) identify, evaluate and negotiate the structure of the investments made by the Corporation; (iii) close and monitor the Corporation’s investments; determine the securities and other assets that the Corporation will purchase, retain, or sell; perform due diligence on prospective portfolio companies; and (vi) provide the Corporation with such other investment advisory, research and related services as the Corporation may, from time to time, reasonably require for the investment of its funds. The Adviser shall have the power and authority on behalf of the Corporation to effectuate its investment decisions for the Corporation, including the execution and delivery of all documents relating to the Corporation’s investments and the placing of orders for other purchase or sale transactions on behalf of the Corporation. In the event that the Corporation determines to acquire debt financing, the Adviser will arrange</w:t>
      </w:r>
    </w:p>
    <w:p>
      <w:pPr>
        <w:sectPr>
          <w:pgSz w:w="11900" w:h="16838" w:orient="portrait"/>
          <w:cols w:equalWidth="0" w:num="1">
            <w:col w:w="11240"/>
          </w:cols>
          <w:pgMar w:left="320" w:top="118" w:right="339" w:bottom="1440" w:gutter="0" w:footer="0" w:header="0"/>
        </w:sectPr>
      </w:pPr>
    </w:p>
    <w:bookmarkStart w:id="38" w:name="page39"/>
    <w:bookmarkEnd w:id="38"/>
    <w:p>
      <w:pPr>
        <w:spacing w:after="0" w:line="23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such financing on the Corporation’s behalf, subject to the oversight and approval of the Corporation’s Board of Directors. If it is necessary for the Adviser to make investments on behalf of the Corporation through a special purpose vehicle, the Adviser shall have authority to create or arrange for the creation of such special purpose vehicle and to make such investments through such special purpose vehicle in accordance with the Investment Company Act.</w:t>
      </w:r>
    </w:p>
    <w:p>
      <w:pPr>
        <w:spacing w:after="0" w:line="142" w:lineRule="exact"/>
        <w:rPr>
          <w:sz w:val="20"/>
          <w:szCs w:val="20"/>
          <w:color w:val="auto"/>
        </w:rPr>
      </w:pPr>
    </w:p>
    <w:p>
      <w:pPr>
        <w:ind w:left="780" w:hanging="210"/>
        <w:spacing w:after="0"/>
        <w:tabs>
          <w:tab w:leader="none" w:pos="7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Adviser hereby accepts such employment and agrees during the term hereof to render the services described herein for the compensation provided herein.</w:t>
      </w:r>
    </w:p>
    <w:p>
      <w:pPr>
        <w:spacing w:after="0" w:line="176" w:lineRule="exact"/>
        <w:rPr>
          <w:rFonts w:ascii="Arial" w:cs="Arial" w:eastAsia="Arial" w:hAnsi="Arial"/>
          <w:sz w:val="14"/>
          <w:szCs w:val="14"/>
          <w:color w:val="auto"/>
        </w:rPr>
      </w:pPr>
    </w:p>
    <w:p>
      <w:pPr>
        <w:ind w:right="40" w:firstLine="570"/>
        <w:spacing w:after="0" w:line="229" w:lineRule="auto"/>
        <w:tabs>
          <w:tab w:leader="none" w:pos="7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Subject to the requirements of the Investment Company Act, the Adviser is hereby authorized to enter into one or more sub-advisory agreements with other investment advisers (each, a “Sub-Adviser”) pursuant to which the Adviser may obtain the services of the Sub-Adviser(s) to assist the Adviser in fulfilling its responsibilities hereunder. Specifically, the Adviser may retain a Sub-Adviser to recommend specific securities or other investments based upon the Corporation’s investment objective and policies, and work, along with the Adviser, in structuring, negotiating, arranging or effecting the acquisition or disposition of such investments and monitoring investments on behalf of the Corporation, subject to the oversight of the Adviser and the Corporation. The Adviser, and not the Corporation, shall be responsible for any compensation payable to any Sub-Adviser. Any sub-advisory agreement entered into by the Adviser shall be in accordance with the requirements of the Investment Company Act and other applicable federal and state law.</w:t>
      </w:r>
    </w:p>
    <w:p>
      <w:pPr>
        <w:spacing w:after="0" w:line="144" w:lineRule="exact"/>
        <w:rPr>
          <w:rFonts w:ascii="Arial" w:cs="Arial" w:eastAsia="Arial" w:hAnsi="Arial"/>
          <w:sz w:val="14"/>
          <w:szCs w:val="14"/>
          <w:color w:val="auto"/>
        </w:rPr>
      </w:pPr>
    </w:p>
    <w:p>
      <w:pPr>
        <w:ind w:right="140" w:firstLine="570"/>
        <w:spacing w:after="0" w:line="253" w:lineRule="auto"/>
        <w:tabs>
          <w:tab w:leader="none" w:pos="76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Adviser shall for all purposes herein provided be deemed to be an independent contractor and, except as expressly provided or authorized herein, shall have no authority to act for or represent the Corporation in any way or otherwise be deemed an agent of the Corporation.</w:t>
      </w:r>
    </w:p>
    <w:p>
      <w:pPr>
        <w:spacing w:after="0" w:line="133" w:lineRule="exact"/>
        <w:rPr>
          <w:rFonts w:ascii="Arial" w:cs="Arial" w:eastAsia="Arial" w:hAnsi="Arial"/>
          <w:sz w:val="14"/>
          <w:szCs w:val="14"/>
          <w:color w:val="auto"/>
        </w:rPr>
      </w:pPr>
    </w:p>
    <w:p>
      <w:pPr>
        <w:ind w:right="160" w:firstLine="570"/>
        <w:spacing w:after="0" w:line="231" w:lineRule="auto"/>
        <w:tabs>
          <w:tab w:leader="none" w:pos="757"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Adviser shall keep and preserve, in the manner and for the period that would be applicable to investment companies registered under the Investment Company Act any books and records relevant to the provision of its investment advisory services to the Corporation and shall specifically maintain all books and records with respect to the Corporation’s portfolio transactions and shall render to the Corporation’s Board of Directors such periodic and special reports as the Board may reasonably request. The Adviser agrees that all records that it maintains for the Corporation are the property of the Corporation and will surrender promptly to the Corporation any such records upon the Corporation’s request, provided that the Adviser may retain a copy of such records.</w:t>
      </w:r>
    </w:p>
    <w:p>
      <w:pPr>
        <w:spacing w:after="0" w:line="157" w:lineRule="exact"/>
        <w:rPr>
          <w:sz w:val="20"/>
          <w:szCs w:val="20"/>
          <w:color w:val="auto"/>
        </w:rPr>
      </w:pPr>
    </w:p>
    <w:p>
      <w:pPr>
        <w:ind w:right="20" w:firstLine="570"/>
        <w:spacing w:after="0" w:line="242" w:lineRule="auto"/>
        <w:tabs>
          <w:tab w:leader="none" w:pos="705" w:val="left"/>
        </w:tabs>
        <w:numPr>
          <w:ilvl w:val="0"/>
          <w:numId w:val="19"/>
        </w:numPr>
        <w:rPr>
          <w:rFonts w:ascii="Arial" w:cs="Arial" w:eastAsia="Arial" w:hAnsi="Arial"/>
          <w:sz w:val="13"/>
          <w:szCs w:val="13"/>
          <w:color w:val="auto"/>
        </w:rPr>
      </w:pPr>
      <w:r>
        <w:rPr>
          <w:rFonts w:ascii="Arial" w:cs="Arial" w:eastAsia="Arial" w:hAnsi="Arial"/>
          <w:sz w:val="13"/>
          <w:szCs w:val="13"/>
          <w:u w:val="single" w:color="auto"/>
          <w:color w:val="auto"/>
        </w:rPr>
        <w:t>Corporation’s Responsibilities and Expenses Payable by the Corporation</w:t>
      </w:r>
      <w:r>
        <w:rPr>
          <w:rFonts w:ascii="Arial" w:cs="Arial" w:eastAsia="Arial" w:hAnsi="Arial"/>
          <w:sz w:val="13"/>
          <w:szCs w:val="13"/>
          <w:color w:val="auto"/>
        </w:rPr>
        <w:t>. All investment professionals of the Adviser and their respective staffs, when and to the extent engaged in providing investment advisory and management services hereunder, and the compensation and routine overhead expenses of such personnel allocable to such services, will be provided and paid for by the Adviser and not by the Corporation. The Corporation will bear all other costs and expenses of its operations and transactions, including (without limitation) those relating to: organization and offering; calculating the Corporation’s net asset value (including the cost and expenses of any independent valuation firm); expenses incurred by the Adviser payable to third parties, including agents, consultants or other advisors, in monitoring financial and legal affairs for the Corporation and in monitoring the Corporation’s investments and performing due diligence (including related legal expenses) on its prospective portfolio companies; interest payable on debt, if any, incurred to finance the Corporation’s investments and expenses related to unsuccessful portfolio acquisition efforts; offerings of the Corporation’s common stock and other securities; investment advisory and management fees; administration fees payable under the Administration Agreement between the Corporation and PennantPark Investment Administration, LLC (the “Administrator”), the Corporation’s administrator; fees payable to third parties, including agents, consultants or other advisors, relating to, or associated with, evaluating and making investments, including costs associated with meeting potential financial sponsors; transfer agent and custodial fees; federal and state registration fees; all costs of registration and listing the Corporation’s shares on any securities exchange; federal, state and local taxes; independent Directors’ fees and expenses; costs of preparing and filing reports or other documents required by the Securities and Exchange Commission; costs of any reports, proxy statements or other notices to stockholders, including printing costs; costs associated with individual or group stockholders; the Corporation’s allocable portion of the fidelity bond, directors and officers/errors and omissions liability insurance, and any other insurance premiums; direct costs and expenses of administration, including printing, mailing, long distance telephone, copying, secretarial and other staff, independent auditors and outside legal costs; and all other expenses incurred by the Corporation or the Administrator in connection with administering the Corporation’s business, including payments under the Administration Agreement between the Corporation and the Administrator based upon the Corporation’s allocable portion of the</w:t>
      </w:r>
    </w:p>
    <w:p>
      <w:pPr>
        <w:sectPr>
          <w:pgSz w:w="11900" w:h="16838" w:orient="portrait"/>
          <w:cols w:equalWidth="0" w:num="1">
            <w:col w:w="11220"/>
          </w:cols>
          <w:pgMar w:left="320" w:top="269" w:right="359" w:bottom="1440" w:gutter="0" w:footer="0" w:header="0"/>
        </w:sectPr>
      </w:pPr>
    </w:p>
    <w:bookmarkStart w:id="39" w:name="page40"/>
    <w:bookmarkEnd w:id="39"/>
    <w:p>
      <w:pPr>
        <w:ind w:right="80"/>
        <w:spacing w:after="0" w:line="25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Administrator’s overhead in performing its obligations under the Administration Agreement, including rent and the allocable portion of the cost of the Corporation’s chief compliance officer and chief financial officer and their respective staffs.</w:t>
      </w:r>
    </w:p>
    <w:p>
      <w:pPr>
        <w:spacing w:after="0" w:line="133" w:lineRule="exact"/>
        <w:rPr>
          <w:sz w:val="20"/>
          <w:szCs w:val="20"/>
          <w:color w:val="auto"/>
        </w:rPr>
      </w:pPr>
    </w:p>
    <w:p>
      <w:pPr>
        <w:ind w:right="20" w:firstLine="570"/>
        <w:spacing w:after="0" w:line="23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u w:val="single" w:color="auto"/>
          <w:color w:val="auto"/>
        </w:rPr>
        <w:t>Compensation of the Adviser.</w:t>
      </w:r>
      <w:r>
        <w:rPr>
          <w:rFonts w:ascii="Arial" w:cs="Arial" w:eastAsia="Arial" w:hAnsi="Arial"/>
          <w:sz w:val="14"/>
          <w:szCs w:val="14"/>
          <w:color w:val="auto"/>
        </w:rPr>
        <w:t xml:space="preserve"> The Corporation agrees to pay, and the Adviser agrees to accept, as compensation for the services provided by the Adviser hereunder, a base management fee (“Base Management Fee”) and an incentive fee (“Incentive Fee”) as hereinafter set forth. The Corporation shall make any payments due hereunder to the Adviser or to the Adviser’s designee as the Adviser may otherwise direct. To the extent permitted by applicable law, the Adviser may elect, or adopt a deferred compensation plan pursuant to which it may elect, to defer all or a portion of its fees hereunder for a specified period of time.</w:t>
      </w:r>
    </w:p>
    <w:p>
      <w:pPr>
        <w:spacing w:after="0" w:line="158" w:lineRule="exact"/>
        <w:rPr>
          <w:sz w:val="20"/>
          <w:szCs w:val="20"/>
          <w:color w:val="auto"/>
        </w:rPr>
      </w:pPr>
    </w:p>
    <w:p>
      <w:pPr>
        <w:ind w:right="160" w:firstLine="570"/>
        <w:spacing w:after="0" w:line="251" w:lineRule="auto"/>
        <w:tabs>
          <w:tab w:leader="none" w:pos="75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Base Management Fee shall be calculated at an annual rate of 2.00% of the Corporation’s “average adjusted gross assets,” which equals the Corporation’s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The Base Management Fee will be payable quarterly in arrears and will be calculated based on the average adjusted gross assets at the end of the two most recently completed calendar quarters, and appropriately adjusted for any share issuances or repurchases during the current calendar quarter. Base Management Fees for any partial month or quarter will be appropriately prorated.</w:t>
      </w:r>
    </w:p>
    <w:p>
      <w:pPr>
        <w:spacing w:after="0" w:line="136" w:lineRule="exact"/>
        <w:rPr>
          <w:rFonts w:ascii="Arial" w:cs="Arial" w:eastAsia="Arial" w:hAnsi="Arial"/>
          <w:sz w:val="13"/>
          <w:szCs w:val="13"/>
          <w:color w:val="auto"/>
        </w:rPr>
      </w:pPr>
    </w:p>
    <w:p>
      <w:pPr>
        <w:ind w:left="780" w:hanging="21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Incentive Fee shall consist of two parts, as follows: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1"/>
          <w:numId w:val="21"/>
        </w:numPr>
        <w:rPr>
          <w:rFonts w:ascii="Arial" w:cs="Arial" w:eastAsia="Arial" w:hAnsi="Arial"/>
          <w:sz w:val="13"/>
          <w:szCs w:val="13"/>
          <w:color w:val="auto"/>
        </w:rPr>
      </w:pPr>
      <w:r>
        <w:rPr>
          <w:rFonts w:ascii="Arial" w:cs="Arial" w:eastAsia="Arial" w:hAnsi="Arial"/>
          <w:sz w:val="13"/>
          <w:szCs w:val="13"/>
          <w:color w:val="auto"/>
        </w:rPr>
        <w:t>One part will be calculated and payable quarterly in arrears based on the Corporation’s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the Corporation’s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payment-in-kind interest and zero coupon securities), accrued income that the Corporation has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the Corporation’s net assets at the end of the immediately preceding calendar quarter, will be compared to a “hurdle rate” of 1.75% per quarter</w:t>
      </w:r>
    </w:p>
    <w:p>
      <w:pPr>
        <w:spacing w:after="0" w:line="3" w:lineRule="exact"/>
        <w:rPr>
          <w:rFonts w:ascii="Arial" w:cs="Arial" w:eastAsia="Arial" w:hAnsi="Arial"/>
          <w:sz w:val="13"/>
          <w:szCs w:val="13"/>
          <w:color w:val="auto"/>
        </w:rPr>
      </w:pPr>
    </w:p>
    <w:p>
      <w:pPr>
        <w:ind w:left="1120" w:right="60"/>
        <w:spacing w:after="0" w:line="238" w:lineRule="auto"/>
        <w:rPr>
          <w:rFonts w:ascii="Arial" w:cs="Arial" w:eastAsia="Arial" w:hAnsi="Arial"/>
          <w:sz w:val="13"/>
          <w:szCs w:val="13"/>
          <w:color w:val="auto"/>
        </w:rPr>
      </w:pPr>
      <w:r>
        <w:rPr>
          <w:rFonts w:ascii="Arial" w:cs="Arial" w:eastAsia="Arial" w:hAnsi="Arial"/>
          <w:sz w:val="13"/>
          <w:szCs w:val="13"/>
          <w:color w:val="auto"/>
        </w:rPr>
        <w:t>(7.00% annualized). The Corporation will pay the Adviser an Incentive Fee with respect to the Corporation’s pre-Incentive Fee net investment income in each calendar quarter as follows; (1) no Incentive Fee in any calendar quarter in which the Corporation’s pre-Incentive Fee net investment income does not exceed the hurdle rate of 1.75%;</w:t>
      </w:r>
    </w:p>
    <w:p>
      <w:pPr>
        <w:ind w:left="1120" w:right="180"/>
        <w:spacing w:after="0" w:line="229" w:lineRule="auto"/>
        <w:rPr>
          <w:rFonts w:ascii="Arial" w:cs="Arial" w:eastAsia="Arial" w:hAnsi="Arial"/>
          <w:sz w:val="13"/>
          <w:szCs w:val="13"/>
          <w:color w:val="auto"/>
        </w:rPr>
      </w:pPr>
      <w:r>
        <w:rPr>
          <w:rFonts w:ascii="Arial" w:cs="Arial" w:eastAsia="Arial" w:hAnsi="Arial"/>
          <w:sz w:val="14"/>
          <w:szCs w:val="14"/>
          <w:color w:val="auto"/>
        </w:rPr>
        <w:t>(2) 100% of the Corporation’s pre-Incentive Fee net investment income with respect to that portion of such pre-Incentive Fee net investment income, if any, that exceeds the hurdle rate but is less than 2.1875% in any calendar quarter (8.75% annualized); and (3) 20% of the amount of the Corporation’s pre-Incentive Fee net investment income, if any, that exceeds 2.1875% in any calendar quarter. These calculations will be appropriately prorated for any period of less than three months and adjusted for any share issuances or repurchases during the relevant quarter.</w:t>
      </w:r>
    </w:p>
    <w:p>
      <w:pPr>
        <w:spacing w:after="0" w:line="89" w:lineRule="exact"/>
        <w:rPr>
          <w:rFonts w:ascii="Arial" w:cs="Arial" w:eastAsia="Arial" w:hAnsi="Arial"/>
          <w:sz w:val="13"/>
          <w:szCs w:val="13"/>
          <w:color w:val="auto"/>
        </w:rPr>
      </w:pPr>
    </w:p>
    <w:p>
      <w:pPr>
        <w:ind w:left="1120" w:right="40" w:hanging="329"/>
        <w:spacing w:after="0" w:line="231" w:lineRule="auto"/>
        <w:tabs>
          <w:tab w:leader="none" w:pos="1120" w:val="left"/>
        </w:tabs>
        <w:numPr>
          <w:ilvl w:val="1"/>
          <w:numId w:val="21"/>
        </w:numPr>
        <w:rPr>
          <w:rFonts w:ascii="Arial" w:cs="Arial" w:eastAsia="Arial" w:hAnsi="Arial"/>
          <w:sz w:val="14"/>
          <w:szCs w:val="14"/>
          <w:color w:val="auto"/>
        </w:rPr>
      </w:pPr>
      <w:r>
        <w:rPr>
          <w:rFonts w:ascii="Arial" w:cs="Arial" w:eastAsia="Arial" w:hAnsi="Arial"/>
          <w:sz w:val="14"/>
          <w:szCs w:val="14"/>
          <w:color w:val="auto"/>
        </w:rPr>
        <w:t>The second part of the Incentive Fee (the “Capital Gains Fee”) will be determined and payable in arrears as of the end of each calendar year (or upon termination of this Agreement as set forth below), commencing on December 31, 2007, and will equal 20.0% of the Corporation’s realized capital gains, if any, on a cumulative basis from inception through the end of each calendar year, computed net of all realized capital losses and unrealized capital depreciation on a cumulative basis, less the aggregate amount of any previously paid Capital Gains Fees. In the event that this Agreement shall terminate as of a date that is not a calendar year end, the termination date shall be treated as though it were a calendar year end for purposes of calculating and paying a Capital Gains Fee.</w:t>
      </w:r>
    </w:p>
    <w:p>
      <w:pPr>
        <w:sectPr>
          <w:pgSz w:w="11900" w:h="16838" w:orient="portrait"/>
          <w:cols w:equalWidth="0" w:num="1">
            <w:col w:w="11240"/>
          </w:cols>
          <w:pgMar w:left="320" w:top="269" w:right="339" w:bottom="1440" w:gutter="0" w:footer="0" w:header="0"/>
        </w:sectPr>
      </w:pPr>
    </w:p>
    <w:bookmarkStart w:id="40" w:name="page41"/>
    <w:bookmarkEnd w:id="40"/>
    <w:p>
      <w:pPr>
        <w:ind w:left="-570" w:right="320" w:firstLine="570"/>
        <w:spacing w:after="0" w:line="253" w:lineRule="auto"/>
        <w:tabs>
          <w:tab w:leader="none" w:pos="13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Covenants of the Adviser.</w:t>
      </w:r>
      <w:r>
        <w:rPr>
          <w:rFonts w:ascii="Arial" w:cs="Arial" w:eastAsia="Arial" w:hAnsi="Arial"/>
          <w:sz w:val="14"/>
          <w:szCs w:val="14"/>
          <w:color w:val="auto"/>
        </w:rPr>
        <w:t xml:space="preserve"> The Adviser covenants that it is registered as an investment adviser under the Advisers Act. The Adviser agrees that its activities will at all times be in compliance in all material respects with all applicable federal and state laws governing its operations and investments.</w:t>
      </w:r>
    </w:p>
    <w:p>
      <w:pPr>
        <w:spacing w:after="0" w:line="133" w:lineRule="exact"/>
        <w:rPr>
          <w:rFonts w:ascii="Arial" w:cs="Arial" w:eastAsia="Arial" w:hAnsi="Arial"/>
          <w:sz w:val="14"/>
          <w:szCs w:val="14"/>
          <w:color w:val="auto"/>
        </w:rPr>
      </w:pPr>
    </w:p>
    <w:p>
      <w:pPr>
        <w:ind w:left="-570" w:right="40" w:firstLine="570"/>
        <w:spacing w:after="0" w:line="229" w:lineRule="auto"/>
        <w:tabs>
          <w:tab w:leader="none" w:pos="13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Excess Brokerage Commissions.</w:t>
      </w:r>
      <w:r>
        <w:rPr>
          <w:rFonts w:ascii="Arial" w:cs="Arial" w:eastAsia="Arial" w:hAnsi="Arial"/>
          <w:sz w:val="14"/>
          <w:szCs w:val="14"/>
          <w:color w:val="auto"/>
        </w:rPr>
        <w:t xml:space="preserve"> The Adviser is hereby authorized, to the fullest extent now or hereafter permitted by law, to cause the Corporation to pay a member of a national securities exchange, broker or dealer an amount of commission for effecting a securities transaction in excess of the amount of commission another member of such exchange, broker or dealer would have charged for effecting that transaction, if the Adviser determines in good faith, taking into account such factors as price (including the applicable brokerage commission or dealer spread), size of order, difficulty of execution, and operational facilities of the firm and the firm’s risk and skill in positioning blocks of securities, that such amount of commission is reasonable in relation to the value of the brokerage and/or research services provided by such member, broker or dealer, viewed in terms of either that particular transaction or its overall responsibilities with respect to the Corporation’s portfolio, and constitutes the best net results for the Corporation.</w:t>
      </w:r>
    </w:p>
    <w:p>
      <w:pPr>
        <w:spacing w:after="0" w:line="158" w:lineRule="exact"/>
        <w:rPr>
          <w:rFonts w:ascii="Arial" w:cs="Arial" w:eastAsia="Arial" w:hAnsi="Arial"/>
          <w:sz w:val="14"/>
          <w:szCs w:val="14"/>
          <w:color w:val="auto"/>
        </w:rPr>
      </w:pPr>
    </w:p>
    <w:p>
      <w:pPr>
        <w:ind w:left="-570" w:right="80" w:firstLine="570"/>
        <w:spacing w:after="0" w:line="244" w:lineRule="auto"/>
        <w:tabs>
          <w:tab w:leader="none" w:pos="136" w:val="left"/>
        </w:tabs>
        <w:numPr>
          <w:ilvl w:val="0"/>
          <w:numId w:val="22"/>
        </w:numPr>
        <w:rPr>
          <w:rFonts w:ascii="Arial" w:cs="Arial" w:eastAsia="Arial" w:hAnsi="Arial"/>
          <w:sz w:val="13"/>
          <w:szCs w:val="13"/>
          <w:color w:val="auto"/>
        </w:rPr>
      </w:pPr>
      <w:r>
        <w:rPr>
          <w:rFonts w:ascii="Arial" w:cs="Arial" w:eastAsia="Arial" w:hAnsi="Arial"/>
          <w:sz w:val="13"/>
          <w:szCs w:val="13"/>
          <w:u w:val="single" w:color="auto"/>
          <w:color w:val="auto"/>
        </w:rPr>
        <w:t>Limitations on the Employment of the Adviser.</w:t>
      </w:r>
      <w:r>
        <w:rPr>
          <w:rFonts w:ascii="Arial" w:cs="Arial" w:eastAsia="Arial" w:hAnsi="Arial"/>
          <w:sz w:val="13"/>
          <w:szCs w:val="13"/>
          <w:color w:val="auto"/>
        </w:rPr>
        <w:t xml:space="preserve"> The services of the Adviser to the Corporation are not exclusive, and the Adviser may engage in any other business or render similar or different services to others including, without limitation, the direct or indirect sponsorship or management of other investment based accounts or commingled pools of capital, however structured, having investment objectives similar to those of the Corporation, so long as its services to the Corporation hereunder are not impaired thereby, and nothing in this Agreement shall limit or restrict the right of any manager, partner, officer or employee of the Adviser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Corporation’s portfolio companies, subject to applicable law). So long as this Agreement or any extension, renewal or amendment remains in effect, the Adviser shall be the only investment adviser for the Corporation, subject to the Adviser’s right to enter into sub-advisory agreements. The Adviser assumes no responsibility under this Agreement other than to render the services called for hereunder. It is understood that directors, officers, employees and stockholders of the Corporation are or may become interested in the Adviser and its affiliates, as directors, officers, employees, partners, stockholders, members, managers or otherwise, and that the Adviser and directors, officers, employees, partners, stockholders, members and managers of the Adviser and its affiliates are or may become similarly interested in the Corporation as stockholders or otherwise.</w:t>
      </w:r>
    </w:p>
    <w:p>
      <w:pPr>
        <w:spacing w:after="0" w:line="140" w:lineRule="exact"/>
        <w:rPr>
          <w:rFonts w:ascii="Arial" w:cs="Arial" w:eastAsia="Arial" w:hAnsi="Arial"/>
          <w:sz w:val="13"/>
          <w:szCs w:val="13"/>
          <w:color w:val="auto"/>
        </w:rPr>
      </w:pPr>
    </w:p>
    <w:p>
      <w:pPr>
        <w:ind w:left="-570" w:right="20" w:firstLine="570"/>
        <w:spacing w:after="0" w:line="233" w:lineRule="auto"/>
        <w:tabs>
          <w:tab w:leader="none" w:pos="13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Responsibility of Dual Directors, Officers and/or Employees.</w:t>
      </w:r>
      <w:r>
        <w:rPr>
          <w:rFonts w:ascii="Arial" w:cs="Arial" w:eastAsia="Arial" w:hAnsi="Arial"/>
          <w:sz w:val="14"/>
          <w:szCs w:val="14"/>
          <w:color w:val="auto"/>
        </w:rPr>
        <w:t xml:space="preserve"> If any person who is a manager, partner, officer or employee of the Adviser or the Administrator is or becomes a director, officer and/or employee of the Corporation and acts as such in any business of the Corporation, then such manager, partner, officer and/or employee of the Adviser or the Administrator shall be deemed to be acting in such capacity solely for the Corporation, and not as a manager, partner, officer or employee of the Adviser or the Administrator or under the control or direction of the Adviser or the Administrator, even if paid by the Adviser or the Administrator.</w:t>
      </w:r>
    </w:p>
    <w:p>
      <w:pPr>
        <w:spacing w:after="0" w:line="144" w:lineRule="exact"/>
        <w:rPr>
          <w:rFonts w:ascii="Arial" w:cs="Arial" w:eastAsia="Arial" w:hAnsi="Arial"/>
          <w:sz w:val="14"/>
          <w:szCs w:val="14"/>
          <w:color w:val="auto"/>
        </w:rPr>
      </w:pPr>
    </w:p>
    <w:p>
      <w:pPr>
        <w:ind w:left="-570" w:firstLine="570"/>
        <w:spacing w:after="0" w:line="225" w:lineRule="auto"/>
        <w:tabs>
          <w:tab w:leader="none" w:pos="136" w:val="left"/>
        </w:tabs>
        <w:numPr>
          <w:ilvl w:val="0"/>
          <w:numId w:val="22"/>
        </w:numPr>
        <w:rPr>
          <w:rFonts w:ascii="Arial" w:cs="Arial" w:eastAsia="Arial" w:hAnsi="Arial"/>
          <w:sz w:val="14"/>
          <w:szCs w:val="14"/>
          <w:color w:val="auto"/>
        </w:rPr>
      </w:pPr>
      <w:r>
        <w:rPr>
          <w:rFonts w:ascii="Arial" w:cs="Arial" w:eastAsia="Arial" w:hAnsi="Arial"/>
          <w:sz w:val="14"/>
          <w:szCs w:val="14"/>
          <w:u w:val="single" w:color="auto"/>
          <w:color w:val="auto"/>
        </w:rPr>
        <w:t>Limitation of Liability of the Adviser; Indemnification.</w:t>
      </w:r>
      <w:r>
        <w:rPr>
          <w:rFonts w:ascii="Arial" w:cs="Arial" w:eastAsia="Arial" w:hAnsi="Arial"/>
          <w:sz w:val="14"/>
          <w:szCs w:val="14"/>
          <w:color w:val="auto"/>
        </w:rPr>
        <w:t xml:space="preserve"> The Adviser (and its officers, managers, partners, agents, employees, controlling persons, members and any other person or entity affiliated with the Adviser, including without limitation its general partner and the Administrator) shall not be liable to the Corporation for any action taken or omitted to be taken by the Adviser in connection with the performance of any of its duties or obligations under this Agreement or otherwise as an investment adviser of the Corporation, except to the extent specified in Section 36(b) of the Investment Company Act concerning loss resulting from a breach of fiduciary duty (as the same is finally determined by judicial proceedings) with respect to the receipt of compensation for services, and the Corporation shall indemnify, defend and protect the Adviser (and its officers, managers, partners, agents, employees, controlling persons, members and any other person or entity affiliated with the Adviser, including without limitation its general partner and the Administrator, each of whom shall be deemed a third party beneficiary hereof) (collectively, the “Indemnified Parties”) and hold them harmless from and against all damages, liabilities, costs and expenses (including reasonable attorneys’ fees and amounts reasonably paid in settlement) incurred by the Indemnified Parties in or by reason of any pending, threatened or completed action, suit, investigation or other proceeding (including an action or suit by or in the right of the Corporation or its security holders) arising out of or otherwise based upon the performance of any of the Adviser’s duties or obligations under this Agreement or otherwise as an investment adviser of the Corporation. Notwithstanding the preceding sentence of this Paragraph 8 to the contrary, nothing contained herein shall protect or be deemed to protect the Indemnified Parties against or</w:t>
      </w:r>
    </w:p>
    <w:p>
      <w:pPr>
        <w:sectPr>
          <w:pgSz w:w="11900" w:h="16838" w:orient="portrait"/>
          <w:cols w:equalWidth="0" w:num="1">
            <w:col w:w="10650"/>
          </w:cols>
          <w:pgMar w:left="890" w:top="269" w:right="359" w:bottom="1440" w:gutter="0" w:footer="0" w:header="0"/>
        </w:sectPr>
      </w:pPr>
    </w:p>
    <w:bookmarkStart w:id="41" w:name="page42"/>
    <w:bookmarkEnd w:id="41"/>
    <w:p>
      <w:pPr>
        <w:ind w:right="40"/>
        <w:spacing w:after="0" w:line="23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entitle or be deemed to entitle the Indemnified Parties to indemnification in respect of, any liability to the Corporation or its security holders to which the Indemnified Parties would otherwise be subject by reason of willful misfeasance, bad faith or gross negligence in the performance of the Adviser’s duties or by reason of the reckless disregard of the Adviser’s duties and obligations under this Agreement (as the same shall be determined in accordance with the Investment Company Act and any interpretations or guidance by the Securities and Exchange Commission or its staff thereunder).</w:t>
      </w:r>
    </w:p>
    <w:p>
      <w:pPr>
        <w:spacing w:after="0" w:line="144" w:lineRule="exact"/>
        <w:rPr>
          <w:sz w:val="20"/>
          <w:szCs w:val="20"/>
          <w:color w:val="auto"/>
        </w:rPr>
      </w:pPr>
    </w:p>
    <w:p>
      <w:pPr>
        <w:ind w:firstLine="570"/>
        <w:spacing w:after="0" w:line="244" w:lineRule="auto"/>
        <w:tabs>
          <w:tab w:leader="none" w:pos="705"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Effectiveness, Duration and Termination of Agreement.</w:t>
      </w:r>
      <w:r>
        <w:rPr>
          <w:rFonts w:ascii="Arial" w:cs="Arial" w:eastAsia="Arial" w:hAnsi="Arial"/>
          <w:sz w:val="13"/>
          <w:szCs w:val="13"/>
          <w:color w:val="auto"/>
        </w:rPr>
        <w:t xml:space="preserve"> This Agreement shall become effective as of the first date above written. This Agreement shall continue automatically for successive annual periods, provided that such continuance is specifically approved at least annually by (a) the vote of the Corporation’s Board of Directors, or by the vote of a majority of the outstanding voting securities of the Corporation and (b) the vote of a majority of the Corporation’s Directors who are not parties to this Agreement or “interested persons” (as such term is defined in Section 2(a)(19) of the Investment Company Act) of any such party, in accordance with the requirements of the Investment Company Act. This Agreement may be terminated at any time, without the payment of any penalty, upon 60 days’ written notice, by the vote of a majority of the outstanding voting securities of the Corporation, or by the vote of the Corporation’s Directors or by the Adviser. This Agreement will automatically terminate in the event of its “assignment” (as such term is defined for purposes of Section 15(a)(4) of the Investment Company Act). The provisions of Paragraph 8 of this Agreement shall remain in full force and effect, and the Adviser shall remain entitled to the benefits thereof, notwithstanding any termination of this Agreement. Further, notwithstanding the termination or expiration of this Agreement as aforesaid, the Adviser shall be entitled to any amounts owed under Section 3 through the date of termination or expiration and Section 8 shall continue in force and effect and apply to the Adviser and its representatives as and to the extent applicable.</w:t>
      </w:r>
    </w:p>
    <w:p>
      <w:pPr>
        <w:spacing w:after="0" w:line="157" w:lineRule="exact"/>
        <w:rPr>
          <w:rFonts w:ascii="Arial" w:cs="Arial" w:eastAsia="Arial" w:hAnsi="Arial"/>
          <w:sz w:val="13"/>
          <w:szCs w:val="13"/>
          <w:color w:val="auto"/>
        </w:rPr>
      </w:pPr>
    </w:p>
    <w:p>
      <w:pPr>
        <w:ind w:left="780" w:hanging="210"/>
        <w:spacing w:after="0"/>
        <w:tabs>
          <w:tab w:leader="none" w:pos="780"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Notices.</w:t>
      </w:r>
      <w:r>
        <w:rPr>
          <w:rFonts w:ascii="Arial" w:cs="Arial" w:eastAsia="Arial" w:hAnsi="Arial"/>
          <w:sz w:val="14"/>
          <w:szCs w:val="14"/>
          <w:color w:val="auto"/>
        </w:rPr>
        <w:t xml:space="preserve"> Any notice under this Agreement shall be given in writing, addressed and delivered or mailed, postage prepaid, to the other party at its principal office.</w:t>
      </w:r>
    </w:p>
    <w:p>
      <w:pPr>
        <w:spacing w:after="0" w:line="163" w:lineRule="exact"/>
        <w:rPr>
          <w:rFonts w:ascii="Arial" w:cs="Arial" w:eastAsia="Arial" w:hAnsi="Arial"/>
          <w:sz w:val="14"/>
          <w:szCs w:val="14"/>
          <w:color w:val="auto"/>
        </w:rPr>
      </w:pPr>
    </w:p>
    <w:p>
      <w:pPr>
        <w:ind w:right="340" w:firstLine="570"/>
        <w:spacing w:after="0" w:line="253" w:lineRule="auto"/>
        <w:tabs>
          <w:tab w:leader="none" w:pos="772" w:val="left"/>
        </w:tabs>
        <w:numPr>
          <w:ilvl w:val="0"/>
          <w:numId w:val="23"/>
        </w:numPr>
        <w:rPr>
          <w:rFonts w:ascii="Arial" w:cs="Arial" w:eastAsia="Arial" w:hAnsi="Arial"/>
          <w:sz w:val="14"/>
          <w:szCs w:val="14"/>
          <w:color w:val="auto"/>
        </w:rPr>
      </w:pPr>
      <w:r>
        <w:rPr>
          <w:rFonts w:ascii="Arial" w:cs="Arial" w:eastAsia="Arial" w:hAnsi="Arial"/>
          <w:sz w:val="14"/>
          <w:szCs w:val="14"/>
          <w:u w:val="single" w:color="auto"/>
          <w:color w:val="auto"/>
        </w:rPr>
        <w:t>Amendments.</w:t>
      </w:r>
      <w:r>
        <w:rPr>
          <w:rFonts w:ascii="Arial" w:cs="Arial" w:eastAsia="Arial" w:hAnsi="Arial"/>
          <w:sz w:val="14"/>
          <w:szCs w:val="14"/>
          <w:color w:val="auto"/>
        </w:rPr>
        <w:t xml:space="preserve"> This Agreement may be amended by mutual consent, but the consent of the Corporation must be obtained in conformity with the requirements of the Investment Company Act.</w:t>
      </w:r>
    </w:p>
    <w:p>
      <w:pPr>
        <w:spacing w:after="0" w:line="133" w:lineRule="exact"/>
        <w:rPr>
          <w:rFonts w:ascii="Arial" w:cs="Arial" w:eastAsia="Arial" w:hAnsi="Arial"/>
          <w:sz w:val="14"/>
          <w:szCs w:val="14"/>
          <w:color w:val="auto"/>
        </w:rPr>
      </w:pPr>
    </w:p>
    <w:p>
      <w:pPr>
        <w:ind w:right="20" w:firstLine="570"/>
        <w:spacing w:after="0" w:line="264" w:lineRule="auto"/>
        <w:tabs>
          <w:tab w:leader="none" w:pos="777" w:val="left"/>
        </w:tabs>
        <w:numPr>
          <w:ilvl w:val="0"/>
          <w:numId w:val="23"/>
        </w:numPr>
        <w:rPr>
          <w:rFonts w:ascii="Arial" w:cs="Arial" w:eastAsia="Arial" w:hAnsi="Arial"/>
          <w:sz w:val="13"/>
          <w:szCs w:val="13"/>
          <w:color w:val="auto"/>
        </w:rPr>
      </w:pPr>
      <w:r>
        <w:rPr>
          <w:rFonts w:ascii="Arial" w:cs="Arial" w:eastAsia="Arial" w:hAnsi="Arial"/>
          <w:sz w:val="13"/>
          <w:szCs w:val="13"/>
          <w:u w:val="single" w:color="auto"/>
          <w:color w:val="auto"/>
        </w:rPr>
        <w:t>Entire Agreement; Governing Law.</w:t>
      </w:r>
      <w:r>
        <w:rPr>
          <w:rFonts w:ascii="Arial" w:cs="Arial" w:eastAsia="Arial" w:hAnsi="Arial"/>
          <w:sz w:val="13"/>
          <w:szCs w:val="13"/>
          <w:color w:val="auto"/>
        </w:rPr>
        <w:t xml:space="preserve"> This Agreement contains the entire agreement of the parties and supersedes all prior agreements, understandings and arrangements with respect to the subject matter hereof. This Agreement shall be construed in accordance with the laws of the State of New York and the applicable provisions of the Investment Company Act. To the extent the applicable laws of the State of New York, or any of the provisions herein, conflict with the provisions of the Investment Company Act, the latter shall control.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[The remainder of this page intentionally left blank]</w:t>
      </w:r>
    </w:p>
    <w:p>
      <w:pPr>
        <w:sectPr>
          <w:pgSz w:w="11900" w:h="16838" w:orient="portrait"/>
          <w:cols w:equalWidth="0" w:num="1">
            <w:col w:w="11200"/>
          </w:cols>
          <w:pgMar w:left="320" w:top="269" w:right="37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on the date above written.</w:t>
      </w:r>
    </w:p>
    <w:p>
      <w:pPr>
        <w:spacing w:after="0" w:line="227"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PENNANTPARK INVESTMENT CORPORATION</w:t>
      </w:r>
    </w:p>
    <w:p>
      <w:pPr>
        <w:spacing w:after="0" w:line="208" w:lineRule="exact"/>
        <w:rPr>
          <w:sz w:val="20"/>
          <w:szCs w:val="20"/>
          <w:color w:val="auto"/>
        </w:rPr>
      </w:pPr>
    </w:p>
    <w:tbl>
      <w:tblPr>
        <w:tblLayout w:type="fixed"/>
        <w:tblInd w:w="6200" w:type="dxa"/>
        <w:tblCellMar>
          <w:top w:w="0" w:type="dxa"/>
          <w:left w:w="0" w:type="dxa"/>
          <w:bottom w:w="0" w:type="dxa"/>
          <w:right w:w="0" w:type="dxa"/>
        </w:tblCellMar>
      </w:tblPr>
      <w:tr>
        <w:trPr>
          <w:trHeight w:val="167"/>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Penn</w:t>
            </w:r>
          </w:p>
        </w:tc>
      </w:tr>
      <w:tr>
        <w:trPr>
          <w:trHeight w:val="137"/>
        </w:trPr>
        <w:tc>
          <w:tcPr>
            <w:tcW w:w="50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980" w:type="dxa"/>
            <w:vAlign w:val="bottom"/>
          </w:tcPr>
          <w:p>
            <w:pPr>
              <w:spacing w:after="0" w:line="137" w:lineRule="exact"/>
              <w:rPr>
                <w:sz w:val="20"/>
                <w:szCs w:val="20"/>
                <w:color w:val="auto"/>
              </w:rPr>
            </w:pPr>
            <w:r>
              <w:rPr>
                <w:rFonts w:ascii="Arial" w:cs="Arial" w:eastAsia="Arial" w:hAnsi="Arial"/>
                <w:sz w:val="14"/>
                <w:szCs w:val="14"/>
                <w:color w:val="auto"/>
              </w:rPr>
              <w:t>Arthur Penn</w:t>
            </w:r>
          </w:p>
        </w:tc>
      </w:t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spacing w:after="0"/>
              <w:rPr>
                <w:sz w:val="20"/>
                <w:szCs w:val="20"/>
                <w:color w:val="auto"/>
              </w:rPr>
            </w:pPr>
            <w:r>
              <w:rPr>
                <w:rFonts w:ascii="Arial" w:cs="Arial" w:eastAsia="Arial" w:hAnsi="Arial"/>
                <w:sz w:val="14"/>
                <w:szCs w:val="14"/>
                <w:color w:val="auto"/>
              </w:rPr>
              <w:t>Chief Executive Officer and Chairman of the Board of Directors</w:t>
            </w:r>
          </w:p>
        </w:tc>
      </w:tr>
      <w:tr>
        <w:trPr>
          <w:trHeight w:val="365"/>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PENNANTPARK INVESTMENT ADVISERS, LLC</w:t>
            </w:r>
          </w:p>
        </w:tc>
      </w:tr>
      <w:tr>
        <w:trPr>
          <w:trHeight w:val="349"/>
        </w:trPr>
        <w:tc>
          <w:tcPr>
            <w:tcW w:w="500" w:type="dxa"/>
            <w:vAlign w:val="bottom"/>
          </w:tcPr>
          <w:p>
            <w:pPr>
              <w:spacing w:after="0"/>
              <w:rPr>
                <w:sz w:val="20"/>
                <w:szCs w:val="20"/>
                <w:color w:val="auto"/>
              </w:rPr>
            </w:pPr>
            <w:r>
              <w:rPr>
                <w:rFonts w:ascii="Arial" w:cs="Arial" w:eastAsia="Arial" w:hAnsi="Arial"/>
                <w:sz w:val="14"/>
                <w:szCs w:val="14"/>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Arthur Penn</w:t>
            </w:r>
          </w:p>
        </w:tc>
      </w:tr>
      <w:tr>
        <w:trPr>
          <w:trHeight w:val="137"/>
        </w:trPr>
        <w:tc>
          <w:tcPr>
            <w:tcW w:w="500" w:type="dxa"/>
            <w:vAlign w:val="bottom"/>
          </w:tcPr>
          <w:p>
            <w:pPr>
              <w:spacing w:after="0" w:line="137" w:lineRule="exact"/>
              <w:rPr>
                <w:sz w:val="20"/>
                <w:szCs w:val="20"/>
                <w:color w:val="auto"/>
              </w:rPr>
            </w:pPr>
            <w:r>
              <w:rPr>
                <w:rFonts w:ascii="Arial" w:cs="Arial" w:eastAsia="Arial" w:hAnsi="Arial"/>
                <w:sz w:val="14"/>
                <w:szCs w:val="14"/>
                <w:color w:val="auto"/>
              </w:rPr>
              <w:t>Name:</w:t>
            </w:r>
          </w:p>
        </w:tc>
        <w:tc>
          <w:tcPr>
            <w:tcW w:w="3980" w:type="dxa"/>
            <w:vAlign w:val="bottom"/>
          </w:tcPr>
          <w:p>
            <w:pPr>
              <w:spacing w:after="0" w:line="137" w:lineRule="exact"/>
              <w:rPr>
                <w:sz w:val="20"/>
                <w:szCs w:val="20"/>
                <w:color w:val="auto"/>
              </w:rPr>
            </w:pPr>
            <w:r>
              <w:rPr>
                <w:rFonts w:ascii="Arial" w:cs="Arial" w:eastAsia="Arial" w:hAnsi="Arial"/>
                <w:sz w:val="14"/>
                <w:szCs w:val="14"/>
                <w:color w:val="auto"/>
              </w:rPr>
              <w:t>Arthur Penn</w:t>
            </w:r>
          </w:p>
        </w:tc>
      </w:tr>
      <w:tr>
        <w:trPr>
          <w:trHeight w:val="182"/>
        </w:trPr>
        <w:tc>
          <w:tcPr>
            <w:tcW w:w="500" w:type="dxa"/>
            <w:vAlign w:val="bottom"/>
          </w:tcPr>
          <w:p>
            <w:pPr>
              <w:spacing w:after="0"/>
              <w:rPr>
                <w:sz w:val="20"/>
                <w:szCs w:val="20"/>
                <w:color w:val="auto"/>
              </w:rPr>
            </w:pPr>
            <w:r>
              <w:rPr>
                <w:rFonts w:ascii="Arial" w:cs="Arial" w:eastAsia="Arial" w:hAnsi="Arial"/>
                <w:sz w:val="14"/>
                <w:szCs w:val="14"/>
                <w:color w:val="auto"/>
              </w:rPr>
              <w:t>Title:</w:t>
            </w:r>
          </w:p>
        </w:tc>
        <w:tc>
          <w:tcPr>
            <w:tcW w:w="3980" w:type="dxa"/>
            <w:vAlign w:val="bottom"/>
          </w:tcPr>
          <w:p>
            <w:pPr>
              <w:spacing w:after="0"/>
              <w:rPr>
                <w:sz w:val="20"/>
                <w:szCs w:val="20"/>
                <w:color w:val="auto"/>
              </w:rPr>
            </w:pPr>
            <w:r>
              <w:rPr>
                <w:rFonts w:ascii="Arial" w:cs="Arial" w:eastAsia="Arial" w:hAnsi="Arial"/>
                <w:sz w:val="14"/>
                <w:szCs w:val="14"/>
                <w:color w:val="auto"/>
              </w:rPr>
              <w:t>Managing Member</w:t>
            </w:r>
          </w:p>
        </w:tc>
      </w:tr>
    </w:tbl>
    <w:p>
      <w:pPr>
        <w:sectPr>
          <w:pgSz w:w="11900" w:h="16838" w:orient="portrait"/>
          <w:cols w:equalWidth="0" w:num="1">
            <w:col w:w="10680"/>
          </w:cols>
          <w:pgMar w:left="880" w:top="269" w:right="339" w:bottom="1440" w:gutter="0" w:footer="0" w:header="0"/>
        </w:sectPr>
      </w:pPr>
    </w:p>
    <w:bookmarkStart w:id="43" w:name="page44"/>
    <w:bookmarkEnd w:id="43"/>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3,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tabs>
          <w:tab w:leader="none" w:pos="480" w:val="left"/>
        </w:tabs>
        <w:rPr>
          <w:sz w:val="20"/>
          <w:szCs w:val="20"/>
          <w:color w:val="auto"/>
        </w:rPr>
      </w:pPr>
      <w:r>
        <w:rPr>
          <w:rFonts w:ascii="Arial" w:cs="Arial" w:eastAsia="Arial" w:hAnsi="Arial"/>
          <w:sz w:val="14"/>
          <w:szCs w:val="14"/>
          <w:color w:val="auto"/>
        </w:rPr>
        <w:t>Title:</w:t>
        <w:tab/>
        <w:t>Chief Executive Officer</w:t>
      </w:r>
    </w:p>
    <w:p>
      <w:pPr>
        <w:sectPr>
          <w:pgSz w:w="11900" w:h="16838" w:orient="portrait"/>
          <w:cols w:equalWidth="0" w:num="1">
            <w:col w:w="11240"/>
          </w:cols>
          <w:pgMar w:left="320" w:top="118" w:right="339" w:bottom="1440" w:gutter="0" w:footer="0" w:header="0"/>
        </w:sectPr>
      </w:pPr>
    </w:p>
    <w:bookmarkStart w:id="44" w:name="page45"/>
    <w:bookmarkEnd w:id="44"/>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96" w:lineRule="exact"/>
        <w:rPr>
          <w:sz w:val="20"/>
          <w:szCs w:val="20"/>
          <w:color w:val="auto"/>
        </w:rPr>
      </w:pPr>
    </w:p>
    <w:p>
      <w:pPr>
        <w:ind w:left="720" w:hanging="150"/>
        <w:spacing w:after="0"/>
        <w:tabs>
          <w:tab w:leader="none" w:pos="7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4"/>
          <w:szCs w:val="14"/>
          <w:color w:val="auto"/>
        </w:rPr>
      </w:pPr>
    </w:p>
    <w:p>
      <w:pPr>
        <w:ind w:right="160" w:firstLine="570"/>
        <w:spacing w:after="0" w:line="253" w:lineRule="auto"/>
        <w:tabs>
          <w:tab w:leader="none" w:pos="705"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00"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24"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5"/>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4"/>
          <w:szCs w:val="14"/>
          <w:color w:val="auto"/>
        </w:rPr>
      </w:pPr>
    </w:p>
    <w:p>
      <w:pPr>
        <w:ind w:left="940" w:hanging="146"/>
        <w:spacing w:after="0"/>
        <w:tabs>
          <w:tab w:leader="none" w:pos="9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3, 2016</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tabs>
          <w:tab w:leader="none" w:pos="480" w:val="left"/>
        </w:tabs>
        <w:rPr>
          <w:sz w:val="20"/>
          <w:szCs w:val="20"/>
          <w:color w:val="auto"/>
        </w:rPr>
      </w:pPr>
      <w:r>
        <w:rPr>
          <w:rFonts w:ascii="Arial" w:cs="Arial" w:eastAsia="Arial" w:hAnsi="Arial"/>
          <w:sz w:val="14"/>
          <w:szCs w:val="14"/>
          <w:color w:val="auto"/>
        </w:rPr>
        <w:t>Title:</w:t>
        <w:tab/>
        <w:t>Chief Financial Officer</w:t>
      </w:r>
    </w:p>
    <w:p>
      <w:pPr>
        <w:sectPr>
          <w:pgSz w:w="11900" w:h="16838" w:orient="portrait"/>
          <w:cols w:equalWidth="0" w:num="1">
            <w:col w:w="11240"/>
          </w:cols>
          <w:pgMar w:left="320" w:top="118"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32.1</w:t>
      </w:r>
    </w:p>
    <w:p>
      <w:pPr>
        <w:spacing w:after="0" w:line="219" w:lineRule="exact"/>
        <w:rPr>
          <w:sz w:val="20"/>
          <w:szCs w:val="20"/>
          <w:color w:val="auto"/>
        </w:rPr>
      </w:pPr>
    </w:p>
    <w:p>
      <w:pPr>
        <w:jc w:val="both"/>
        <w:ind w:left="120" w:firstLine="556"/>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2015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3"/>
          <w:szCs w:val="13"/>
          <w:color w:val="auto"/>
        </w:rPr>
        <w:t>Arthur H. Penn</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Executive Officer</w:t>
      </w:r>
    </w:p>
    <w:p>
      <w:pPr>
        <w:spacing w:after="0"/>
        <w:tabs>
          <w:tab w:leader="none" w:pos="480" w:val="left"/>
        </w:tabs>
        <w:rPr>
          <w:sz w:val="20"/>
          <w:szCs w:val="20"/>
          <w:color w:val="auto"/>
        </w:rPr>
      </w:pPr>
      <w:r>
        <w:rPr>
          <w:rFonts w:ascii="Arial" w:cs="Arial" w:eastAsia="Arial" w:hAnsi="Arial"/>
          <w:sz w:val="14"/>
          <w:szCs w:val="14"/>
          <w:color w:val="auto"/>
        </w:rPr>
        <w:t>Date:</w:t>
        <w:tab/>
        <w:t>February 3, 2016</w:t>
      </w:r>
    </w:p>
    <w:p>
      <w:pPr>
        <w:sectPr>
          <w:pgSz w:w="11900" w:h="16838" w:orient="portrait"/>
          <w:cols w:equalWidth="0" w:num="1">
            <w:col w:w="11240"/>
          </w:cols>
          <w:pgMar w:left="320" w:top="11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32.2</w:t>
      </w:r>
    </w:p>
    <w:p>
      <w:pPr>
        <w:spacing w:after="0" w:line="219" w:lineRule="exact"/>
        <w:rPr>
          <w:sz w:val="20"/>
          <w:szCs w:val="20"/>
          <w:color w:val="auto"/>
        </w:rPr>
      </w:pPr>
    </w:p>
    <w:p>
      <w:pPr>
        <w:ind w:left="120" w:right="180" w:firstLine="556"/>
        <w:spacing w:after="0" w:line="290" w:lineRule="auto"/>
        <w:rPr>
          <w:sz w:val="20"/>
          <w:szCs w:val="20"/>
          <w:color w:val="auto"/>
        </w:rPr>
      </w:pPr>
      <w:r>
        <w:rPr>
          <w:rFonts w:ascii="Arial" w:cs="Arial" w:eastAsia="Arial" w:hAnsi="Arial"/>
          <w:sz w:val="13"/>
          <w:szCs w:val="13"/>
          <w:color w:val="auto"/>
        </w:rPr>
        <w:t>In connection with this Report on Form 10-Q for the three months ended December 31, 2015 (the “Report”) of PennantPark Investment Corporation (the “Registrant”), as filed with the Securities and Exchange Commission on the date hereof, I, Aviv Efrat, Chief Financial Officer of the Registrant, hereby certify, to the best of my knowledge, that:</w:t>
      </w:r>
    </w:p>
    <w:p>
      <w:pPr>
        <w:spacing w:after="0" w:line="44" w:lineRule="exact"/>
        <w:rPr>
          <w:sz w:val="20"/>
          <w:szCs w:val="20"/>
          <w:color w:val="auto"/>
        </w:rPr>
      </w:pPr>
    </w:p>
    <w:p>
      <w:pPr>
        <w:ind w:left="880" w:hanging="204"/>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880" w:hanging="204"/>
        <w:spacing w:after="0"/>
        <w:tabs>
          <w:tab w:leader="none" w:pos="8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tabs>
          <w:tab w:leader="none" w:pos="480" w:val="left"/>
        </w:tabs>
        <w:rPr>
          <w:sz w:val="20"/>
          <w:szCs w:val="20"/>
          <w:color w:val="auto"/>
        </w:rPr>
      </w:pPr>
      <w:r>
        <w:rPr>
          <w:rFonts w:ascii="Arial" w:cs="Arial" w:eastAsia="Arial" w:hAnsi="Arial"/>
          <w:sz w:val="14"/>
          <w:szCs w:val="14"/>
          <w:color w:val="auto"/>
        </w:rPr>
        <w:t>Name:</w:t>
        <w:tab/>
        <w:t>Aviv Efrat</w:t>
      </w:r>
    </w:p>
    <w:p>
      <w:pPr>
        <w:spacing w:after="0" w:line="221" w:lineRule="auto"/>
        <w:tabs>
          <w:tab w:leader="none" w:pos="480" w:val="left"/>
        </w:tabs>
        <w:rPr>
          <w:sz w:val="20"/>
          <w:szCs w:val="20"/>
          <w:color w:val="auto"/>
        </w:rPr>
      </w:pPr>
      <w:r>
        <w:rPr>
          <w:rFonts w:ascii="Arial" w:cs="Arial" w:eastAsia="Arial" w:hAnsi="Arial"/>
          <w:sz w:val="14"/>
          <w:szCs w:val="14"/>
          <w:color w:val="auto"/>
        </w:rPr>
        <w:t>Title:</w:t>
        <w:tab/>
        <w:t>Chief Financial Officer</w:t>
      </w:r>
    </w:p>
    <w:p>
      <w:pPr>
        <w:spacing w:after="0"/>
        <w:tabs>
          <w:tab w:leader="none" w:pos="480" w:val="left"/>
        </w:tabs>
        <w:rPr>
          <w:sz w:val="20"/>
          <w:szCs w:val="20"/>
          <w:color w:val="auto"/>
        </w:rPr>
      </w:pPr>
      <w:r>
        <w:rPr>
          <w:rFonts w:ascii="Arial" w:cs="Arial" w:eastAsia="Arial" w:hAnsi="Arial"/>
          <w:sz w:val="14"/>
          <w:szCs w:val="14"/>
          <w:color w:val="auto"/>
        </w:rPr>
        <w:t>Date:</w:t>
        <w:tab/>
        <w:t>February 3, 2016</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abstractNum>
  <w:abstractNum w:abstractNumId="15">
    <w:nsid w:val="333AB105"/>
    <w:multiLevelType w:val="hybridMultilevel"/>
    <w:lvl w:ilvl="0">
      <w:lvlJc w:val="left"/>
      <w:lvlText w:val="%1"/>
      <w:numFmt w:val="decimal"/>
      <w:start w:val="1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lowerLetter"/>
      <w:start w:val="2"/>
    </w:lvl>
  </w:abstractNum>
  <w:abstractNum w:abstractNumId="18">
    <w:nsid w:val="2D1D5AE9"/>
    <w:multiLevelType w:val="hybridMultilevel"/>
    <w:lvl w:ilvl="0">
      <w:lvlJc w:val="left"/>
      <w:lvlText w:val="%1."/>
      <w:numFmt w:val="decimal"/>
      <w:start w:val="2"/>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lowerLetter"/>
      <w:start w:val="1"/>
    </w:lvl>
    <w:lvl w:ilvl="1">
      <w:lvlJc w:val="left"/>
      <w:lvlText w:val="(%2)"/>
      <w:numFmt w:val="lowerRoman"/>
      <w:start w:val="1"/>
    </w:lvl>
  </w:abstractNum>
  <w:abstractNum w:abstractNumId="21">
    <w:nsid w:val="8EDBDAB"/>
    <w:multiLevelType w:val="hybridMultilevel"/>
    <w:lvl w:ilvl="0">
      <w:lvlJc w:val="left"/>
      <w:lvlText w:val="%1."/>
      <w:numFmt w:val="decimal"/>
      <w:start w:val="4"/>
    </w:lvl>
  </w:abstractNum>
  <w:abstractNum w:abstractNumId="22">
    <w:nsid w:val="79838CB2"/>
    <w:multiLevelType w:val="hybridMultilevel"/>
    <w:lvl w:ilvl="0">
      <w:lvlJc w:val="left"/>
      <w:lvlText w:val="%1."/>
      <w:numFmt w:val="decimal"/>
      <w:start w:val="9"/>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2020-05-05T15:20:04Z</dcterms:created>
  <dcterms:modified xsi:type="dcterms:W3CDTF">2020-05-05T15:20:04Z</dcterms:modified>
</cp:coreProperties>
</file>