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07,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60"/>
        <w:spacing w:after="0"/>
        <w:rPr>
          <w:sz w:val="20"/>
          <w:szCs w:val="20"/>
          <w:color w:val="auto"/>
        </w:rPr>
      </w:pPr>
      <w:r>
        <w:rPr>
          <w:rFonts w:ascii="Arial" w:cs="Arial" w:eastAsia="Arial" w:hAnsi="Arial"/>
          <w:sz w:val="22"/>
          <w:szCs w:val="22"/>
          <w:color w:val="auto"/>
        </w:rPr>
        <w:t>On August 7, 2013, PennantPark Investment Corporation issued a press release announcing its financial results for the third fiscal quarter ended June 30, 2013.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208"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07,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07, 2013</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07,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2013</w:t>
      </w:r>
    </w:p>
    <w:p>
      <w:pPr>
        <w:spacing w:after="0" w:line="213"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NEW YORK, NY -- (Marketwired - August 07, 2013) - PennantPark Investment Corporation (NASDAQ: PNNT) announced today financial results for the third fiscal quarter ended June 30, 2013.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June 30, 2013</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1,066.3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693.1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10.43</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Credit Facility (cost $114.5)</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114.5</w:t>
            </w:r>
          </w:p>
        </w:tc>
      </w:tr>
      <w:tr>
        <w:trPr>
          <w:trHeight w:val="202"/>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13.1%</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117.8</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8, 2013</w:t>
      </w:r>
    </w:p>
    <w:p>
      <w:pPr>
        <w:spacing w:after="0" w:line="212" w:lineRule="exact"/>
        <w:rPr>
          <w:sz w:val="20"/>
          <w:szCs w:val="20"/>
          <w:color w:val="auto"/>
        </w:rPr>
      </w:pPr>
    </w:p>
    <w:p>
      <w:pPr>
        <w:jc w:val="both"/>
        <w:ind w:right="140"/>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August 8, 2013 to discuss its financial results. All interested parties are welcome to participate. You can access the conference call by dialing (888) 337-8259 approximately 5-10 minutes prior to the call. International callers should dial (719)</w:t>
      </w:r>
    </w:p>
    <w:p>
      <w:pPr>
        <w:spacing w:after="0" w:line="1" w:lineRule="exact"/>
        <w:rPr>
          <w:sz w:val="20"/>
          <w:szCs w:val="20"/>
          <w:color w:val="auto"/>
        </w:rPr>
      </w:pPr>
    </w:p>
    <w:p>
      <w:pPr>
        <w:jc w:val="both"/>
        <w:ind w:right="480"/>
        <w:spacing w:after="0" w:line="234" w:lineRule="auto"/>
        <w:rPr>
          <w:sz w:val="20"/>
          <w:szCs w:val="20"/>
          <w:color w:val="auto"/>
        </w:rPr>
      </w:pPr>
      <w:r>
        <w:rPr>
          <w:rFonts w:ascii="Arial" w:cs="Arial" w:eastAsia="Arial" w:hAnsi="Arial"/>
          <w:sz w:val="22"/>
          <w:szCs w:val="22"/>
          <w:color w:val="auto"/>
        </w:rPr>
        <w:t>457-2604. All callers should reference PennantPark Investment Corporation. An archived replay of the call will be available through August 22, 2013 by calling (888) 203-1112. International callers please dial (719) 457-0820. For all phone replays, please reference conference ID #9272921.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of June 30, 2013, our portfolio totaled $1,066.3 million and consisted of $315.5 million of senior secured loans, $239.3 million of second lien secured debt, $387.4 million of subordinated debt and $124.1 million of preferred and common equity investments. Our debt portfolio consisted of 60% fixed-rate and 40% variable-rate investments (including 36% with a London Interbank Offered Rate, or LIBOR, or prime floor). Our overall portfolio consisted of 57 companies with an average investment size of $18.7 million, had a weighted average yield on debt investments of 13.1%, and was invested 30% in senior secured loans, 22% in second lien secured debt, 36% in subordinated debt and 12% in preferred and common equity investments.</w:t>
      </w:r>
    </w:p>
    <w:p>
      <w:pPr>
        <w:spacing w:after="0" w:line="150"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5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For the three months ended June 30, 2013, we invested $73.3 million in two new and five existing portfolio companies with a weighted average yield on debt investments of 12.9%. Sales and repayments of long-term investments for the three months ended June 30, 2013 totaled $117.8 million. For the nine months ended June 30, 2013, we invested $317.2 million in eight new and 19 existing portfolio companies with a weighted average yield of 12.9% on debt investments. Sales and repayments of long-term investments for the nine months ended June 30, 2013 totaled $271.2 million.</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For the three months ended June 30, 2012, we invested $89.9 million in three new and two existing portfolio companies with a weighted average yield on debt investments of 13.0%. Sales and repayments of long-term investments for the three months ended June 30, 2012 totaled $55.3 million. For the nine months ended June 30, 2012, we invested $243.8 million in nine new and 13 existing portfolio companies with a weighted average yield of 13.7% on debt investments. Sales and repayments of long-term investments for the nine months ended June 30, 2012 totaled $173.8 million.</w:t>
      </w:r>
    </w:p>
    <w:p>
      <w:pPr>
        <w:sectPr>
          <w:pgSz w:w="11900" w:h="16838" w:orient="portrait"/>
          <w:cols w:equalWidth="0" w:num="1">
            <w:col w:w="11220"/>
          </w:cols>
          <w:pgMar w:left="320" w:top="111" w:right="35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2013 and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Investment income for the three and nine months ended June 30, 2013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common equity investments, respectively. This compares to investment income for the three and nine months ended June 30, 2012 which was $29.4 million and $82.6 million, respectively, and was attributable to $9.2 million and $30.0 million from senior secured loans, $4.8 million and $13.3 million from second lien secured debt investments, and $15.4 million and $39.3 million from subordinated debt investments, respectively. The increase in investment income compared with the same period in the prior year was due to the growth of our portfolio.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Expenses for the three and nine months ended June 30, 2013 totaled $16.1 million and $47.8 million, respectively. Base management fees for the same periods totaled $5.4 million and $15.9 million, incentive fees totaled $4.4 million and $12.5 million, debt related interest and expenses (excluding the $0.3 million and $2.7 million of debt issuance expenses, respectively) totaled $4.2 million and $11.3 million, general and administrative expenses and excise tax totaled $1.8 million and $5.4 million, respectively. This compares to expenses for the three and nine months ended June 30, 2012, which totaled $13.8 million and $42.3 million, respectively. Base management fees for the same respective periods totaled $4.5 million and $12.7 million, incentive fees totaled $3.9 million and $10.0 million, debt-related interest and expenses (excluding $5.4 million upfront fees associated with amending and restating our multi-currency, senior secured revolving credit facility, or Credit Facility) totaled $3.2 million and $8.3 million, general and administrative expenses totaled $1.8 million and $5.3 million and excise taxes totaled $0.4 million and $0.6 million, respectively. The increase in expenses was due to the growth of the portfolio as well as the higher cost of debt capital.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Net investment income totaled $17.7 million and $49.9 million, or $0.27 and $0.76 per share, for the three and nine months ended June 30, 2013, respectively. For the same respective periods in the prior year, net investment income totaled $15.6 million and $40.3 million, or $0.28 and $0.78 per share. The increase in net investment income compared to the same period in the prior year was primarily the result of the growth of our portfolio offset by the increased cost of debt capital. The net investment income per share decreased as compared to the same period in the prior year as a result of issuing shares.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Sales and repayments of long-term investments for the three and nine months ended June 30, 2013 totaled $117.8 million and $271.2 million, respectively, and realized gains totaled $15.7 million and $14.7 million, respectively, due to sales and refinancing of our investments. Sales and repayments of long-term investments for the three and nine months ended June 30, 2012 totaled $55.3 million and $173.8 million, respectively, and realized gains (losses) totaled $1.4 million and $(10.5) million, respectively, due to sales and refinancing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Debt</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For the three and nine months ended June 30, 2013, we reported unrealized (depreciation) appreciation on investments of $(20.0) million and $5.2 million, respectively. For the three and nine months ended June 30, 2012, we reported unrealized (depreciation) appreciation on investments of $(13.8) million and $17.0 million, respectively. The decrease in unrealized appreciation for current periods compared to the prior periods was the result of the reversal of unrealized gains upon exiting our investments and changes in market values. As of June 30, 2013 and September 30, 2012, our net unrealized depreciation on investments totaled $12.9 million and $18.1 million, respectively.</w:t>
      </w:r>
    </w:p>
    <w:p>
      <w:pPr>
        <w:spacing w:after="0" w:line="177"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For the three and nine months ended June 30, 2013, our Credit Facility and 6.25% senior notes due 2025, or 2025 Notes, changed in value due to unrealized depreciation (appreciation) of $0.4 million and $(0.5) million, respectively. For the three and nine months ended June 30, 2012, our Credit Facility increased in value due to unrealized depreciation (appreciation) of $0.2 million and $(1.2) million, respectively. The change in unrealized appreciation for current periods compared to the prior periods is the result of issuing new debt capital and the resetting of our Credit Facility to current market rates. As of June 30, 2013 and September 30, 2012, net unrealized depreciation on our Credit Facility and 2025 Notes totaled zero and $0.5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420"/>
        <w:spacing w:after="0" w:line="236" w:lineRule="auto"/>
        <w:rPr>
          <w:sz w:val="20"/>
          <w:szCs w:val="20"/>
          <w:color w:val="auto"/>
        </w:rPr>
      </w:pPr>
      <w:r>
        <w:rPr>
          <w:rFonts w:ascii="Arial" w:cs="Arial" w:eastAsia="Arial" w:hAnsi="Arial"/>
          <w:sz w:val="22"/>
          <w:szCs w:val="22"/>
          <w:color w:val="auto"/>
        </w:rPr>
        <w:t>Net increase in net assets resulting from operations totaled $13.8 million and $69.3 million or $0.21 per share and $1.05 per share, for the three and nine months ended June 30, 2013, respectively. This compares to a net increase in net assets resulting from operations which totaled $3.4 million and $45.7 million, or $0.06 per share and $0.88 per share, for the three and nine months ended June 30, 2012, respectively. The change in net assets from operations is due to both unrealized appreciation on investments and net investment income.</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ind w:right="240"/>
        <w:spacing w:after="0" w:line="297" w:lineRule="auto"/>
        <w:rPr>
          <w:sz w:val="20"/>
          <w:szCs w:val="20"/>
          <w:color w:val="auto"/>
        </w:rPr>
      </w:pPr>
      <w:r>
        <w:rPr>
          <w:rFonts w:ascii="Arial" w:cs="Arial" w:eastAsia="Arial" w:hAnsi="Arial"/>
          <w:sz w:val="19"/>
          <w:szCs w:val="19"/>
          <w:color w:val="auto"/>
        </w:rPr>
        <w:t>As of June 30, 2013 and September 30, 2012, we had $114.5 million (including a temporary draw of $11.0 million) and $145.0 million (including a temporary draw of $35.5 million), respectively, in outstanding borrowings under the Credit Facility, with a weighted average interest rate of 3.19% and 3.49%, respectively, exclusive of the fee on undrawn commitments of 0.50%.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2013 we had $71.3 million of 2025 Notes outstanding with a fixed interest rate of 6.25%.</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of June 30, 2013 and September 30, 2012, $150.0 million in Small Business Administration, or SBA, debt commitments were fully drawn with a weighted average interest rate of 3.70%, exclusive of the 3.43% in upfront fees (4.04% after upfront fees). The SBA debentures upfront fees of 3.43% consist of a commitment fee of 1.00% and an issuance discount of 2.43%. Both fees are being amortized over the lives of the loans.</w:t>
      </w:r>
    </w:p>
    <w:p>
      <w:pPr>
        <w:spacing w:after="0" w:line="185" w:lineRule="exact"/>
        <w:rPr>
          <w:sz w:val="20"/>
          <w:szCs w:val="20"/>
          <w:color w:val="auto"/>
        </w:rPr>
      </w:pPr>
    </w:p>
    <w:p>
      <w:pPr>
        <w:ind w:right="660"/>
        <w:spacing w:after="0" w:line="328" w:lineRule="auto"/>
        <w:rPr>
          <w:sz w:val="20"/>
          <w:szCs w:val="20"/>
          <w:color w:val="auto"/>
        </w:rPr>
      </w:pPr>
      <w:r>
        <w:rPr>
          <w:rFonts w:ascii="Arial" w:cs="Arial" w:eastAsia="Arial" w:hAnsi="Arial"/>
          <w:sz w:val="19"/>
          <w:szCs w:val="19"/>
          <w:color w:val="auto"/>
        </w:rPr>
        <w:t>The weighted average interest rate on the total debt outstanding as of June 30, 2013 was 4.07% exclusive of the fee on the undrawn commitment of 0.50% on the Credit Facility and 3.43% of upfront fees on SBIC LP's SBA debentures.</w:t>
      </w:r>
    </w:p>
    <w:p>
      <w:pPr>
        <w:spacing w:after="0" w:line="105" w:lineRule="exact"/>
        <w:rPr>
          <w:sz w:val="20"/>
          <w:szCs w:val="20"/>
          <w:color w:val="auto"/>
        </w:rPr>
      </w:pPr>
    </w:p>
    <w:p>
      <w:pPr>
        <w:ind w:right="640"/>
        <w:spacing w:after="0" w:line="328" w:lineRule="auto"/>
        <w:rPr>
          <w:sz w:val="20"/>
          <w:szCs w:val="20"/>
          <w:color w:val="auto"/>
        </w:rPr>
      </w:pPr>
      <w:r>
        <w:rPr>
          <w:rFonts w:ascii="Arial" w:cs="Arial" w:eastAsia="Arial" w:hAnsi="Arial"/>
          <w:sz w:val="19"/>
          <w:szCs w:val="19"/>
          <w:color w:val="auto"/>
        </w:rPr>
        <w:t>Our operating activities provided cash of $11.1 million for the nine months ended June 30, 2013, primarily from operating income. Our financing activities used cash of $2.4 million for the same period, primarily to repay our Credit Facility.</w:t>
      </w:r>
    </w:p>
    <w:p>
      <w:pPr>
        <w:spacing w:after="0" w:line="10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Our operating activities used cash of $74.3 million for the nine months ended June 30, 2012, primarily for net purchase of investments. Our financing activities provided cash of $12.0 million for the same period and used proceeds from our September 2012 equity offering to pay down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During the three and nine months ended June 30, 2013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right"/>
        <w:ind w:right="458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right"/>
        <w:ind w:right="45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June 30, 2013</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48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4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$888,478,404 and $871,867,953,</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919,743,390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871,892,745</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(cost--$127,568,788 and</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$72,576,858, respectively)</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109,229,772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80,955,257</w:t>
            </w:r>
          </w:p>
        </w:tc>
      </w:tr>
      <w:tr>
        <w:trPr>
          <w:trHeight w:val="202"/>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(cost--$63,124,956 and</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$64,167,051, respectively)</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37,291,710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37,631,708</w:t>
            </w:r>
          </w:p>
        </w:tc>
      </w:tr>
      <w:tr>
        <w:trPr>
          <w:trHeight w:val="202"/>
        </w:trPr>
        <w:tc>
          <w:tcPr>
            <w:tcW w:w="44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at fair value</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(cost--$1,079,172,148 and</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$1,008,611,862, respectively)</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1,066,264,872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990,479,710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16,322,503</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7,559,453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13,175,682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14,928,862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6,231,236</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5,999,506</w:t>
            </w:r>
          </w:p>
        </w:tc>
      </w:tr>
      <w:tr>
        <w:trPr>
          <w:trHeight w:val="202"/>
        </w:trPr>
        <w:tc>
          <w:tcPr>
            <w:tcW w:w="44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1,101,994,293</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1,018,967,531</w:t>
            </w:r>
          </w:p>
        </w:tc>
      </w:tr>
      <w:tr>
        <w:trPr>
          <w:trHeight w:val="202"/>
        </w:trPr>
        <w:tc>
          <w:tcPr>
            <w:tcW w:w="44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18,606,033</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15,824,061</w:t>
            </w:r>
          </w:p>
        </w:tc>
      </w:tr>
    </w:tbl>
    <w:p>
      <w:pPr>
        <w:sectPr>
          <w:pgSz w:w="11900" w:h="16838" w:orient="portrait"/>
          <w:cols w:equalWidth="0" w:num="1">
            <w:col w:w="11220"/>
          </w:cols>
          <w:pgMar w:left="320" w:top="112"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Payable for investments purchased</w:t>
            </w:r>
          </w:p>
        </w:tc>
        <w:tc>
          <w:tcPr>
            <w:tcW w:w="320" w:type="dxa"/>
            <w:vAlign w:val="bottom"/>
          </w:tcPr>
          <w:p>
            <w:pPr>
              <w:spacing w:after="0"/>
              <w:rPr>
                <w:sz w:val="17"/>
                <w:szCs w:val="17"/>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15,932,290</w:t>
            </w:r>
          </w:p>
        </w:tc>
        <w:tc>
          <w:tcPr>
            <w:tcW w:w="320" w:type="dxa"/>
            <w:vAlign w:val="bottom"/>
          </w:tcPr>
          <w:p>
            <w:pPr>
              <w:spacing w:after="0"/>
              <w:rPr>
                <w:sz w:val="17"/>
                <w:szCs w:val="17"/>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22,881,667</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26,935,270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$114,500,000 and $145,000,000,</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114,500,000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144,452,500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71,250,000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5,412,460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4,791,913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4,413,710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4,206,989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3,194,151</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854,725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2,701,325</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2,185,026</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408,891,636</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349,250,484</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66,450,117 and 65,514,503</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66,450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65,514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754,568,763</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744,704,825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(Distributions in excess of) Undistributed</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(3,075,320)</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2,804,397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(45,549,961)</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(60,273,037)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investments</w:t>
            </w:r>
          </w:p>
        </w:tc>
        <w:tc>
          <w:tcPr>
            <w:tcW w:w="32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(12,907,275)</w:t>
            </w:r>
          </w:p>
        </w:tc>
        <w:tc>
          <w:tcPr>
            <w:tcW w:w="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(18,132,152)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3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693,102,657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669,717,047</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$1,101,994,293</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$1,018,967,531</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w:t>
            </w:r>
          </w:p>
        </w:tc>
      </w:tr>
      <w:tr>
        <w:trPr>
          <w:trHeight w:val="203"/>
        </w:trPr>
        <w:tc>
          <w:tcPr>
            <w:tcW w:w="454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8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 June</w:t>
            </w:r>
          </w:p>
        </w:tc>
        <w:tc>
          <w:tcPr>
            <w:tcW w:w="2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 June</w:t>
            </w:r>
          </w:p>
        </w:tc>
      </w:tr>
      <w:tr>
        <w:trPr>
          <w:trHeight w:val="203"/>
        </w:trPr>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30,</w:t>
            </w:r>
          </w:p>
        </w:tc>
        <w:tc>
          <w:tcPr>
            <w:tcW w:w="1280" w:type="dxa"/>
            <w:vAlign w:val="bottom"/>
          </w:tcPr>
          <w:p>
            <w:pPr>
              <w:spacing w:after="0"/>
              <w:rPr>
                <w:sz w:val="17"/>
                <w:szCs w:val="17"/>
                <w:color w:val="auto"/>
              </w:rPr>
            </w:pPr>
          </w:p>
        </w:tc>
        <w:tc>
          <w:tcPr>
            <w:tcW w:w="14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86"/>
              </w:rPr>
              <w:t>30,</w:t>
            </w:r>
          </w:p>
        </w:tc>
      </w:tr>
      <w:tr>
        <w:trPr>
          <w:trHeight w:val="203"/>
        </w:trPr>
        <w:tc>
          <w:tcPr>
            <w:tcW w:w="2280" w:type="dxa"/>
            <w:vAlign w:val="bottom"/>
          </w:tcPr>
          <w:p>
            <w:pPr>
              <w:spacing w:after="0"/>
              <w:rPr>
                <w:sz w:val="17"/>
                <w:szCs w:val="17"/>
                <w:color w:val="auto"/>
              </w:rPr>
            </w:pPr>
          </w:p>
        </w:tc>
        <w:tc>
          <w:tcPr>
            <w:tcW w:w="2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2013</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2013</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2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$ 26,693,069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$ 25,860,359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$80,520,256</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$ 74,190,105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3,941,167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2,628,858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9,184,121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5,584,060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2,140,854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458,901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4,471,618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1,581,426</w:t>
            </w:r>
          </w:p>
        </w:tc>
      </w:tr>
      <w:tr>
        <w:trPr>
          <w:trHeight w:val="202"/>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227,800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949,583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437,500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3,336,040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1,230,444</w:t>
            </w:r>
          </w:p>
        </w:tc>
      </w:tr>
      <w:tr>
        <w:trPr>
          <w:trHeight w:val="203"/>
        </w:trPr>
        <w:tc>
          <w:tcPr>
            <w:tcW w:w="2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33,724,673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29,385,618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97,739,835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82,586,035</w:t>
            </w:r>
          </w:p>
        </w:tc>
      </w:tr>
      <w:tr>
        <w:trPr>
          <w:trHeight w:val="203"/>
        </w:trPr>
        <w:tc>
          <w:tcPr>
            <w:tcW w:w="2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Base management fee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5,412,461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4,493,917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15,869,172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12,715,349</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4,413,711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3,892,819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12,518,209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10,016,789</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4,212,450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3,206,771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11,292,224</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8,318,513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1,157,748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1,046,991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3,485,607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2,652,647</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520,970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820,827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2,000,919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2,561,021</w:t>
            </w:r>
          </w:p>
        </w:tc>
      </w:tr>
      <w:tr>
        <w:trPr>
          <w:trHeight w:val="202"/>
        </w:trPr>
        <w:tc>
          <w:tcPr>
            <w:tcW w:w="2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15,717,340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13,461,325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45,166,131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36,264,319</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Tax expense</w:t>
            </w:r>
          </w:p>
        </w:tc>
        <w:tc>
          <w:tcPr>
            <w:tcW w:w="14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32,500</w:t>
            </w:r>
          </w:p>
        </w:tc>
        <w:tc>
          <w:tcPr>
            <w:tcW w:w="16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353,697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(82,396)</w:t>
            </w:r>
          </w:p>
        </w:tc>
        <w:tc>
          <w:tcPr>
            <w:tcW w:w="16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633,697</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Debt issuance costs</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320,000</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2,757,500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5,361,319</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16,069,840</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13,815,022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47,841,235</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42,259,335</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17,654,833</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15,570,596</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49,898,600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40,326,700</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investments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15,682,708</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1,447,084</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14,723,076</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(10,504,926)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(23,484,170)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(16,576,404)</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8,805,377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13,958,935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Controlled and non-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3,504,661</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2,799,956</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(3,580,500)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3,069,531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427,500</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178,500</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(547,500)</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(1,186,875)</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(19,552,009)</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(13,597,948)</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4,677,377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15,841,591</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investments and debt</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(3,869,301)</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(12,150,864)</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19,400,453</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5,336,665</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$ 13,785,532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3,419,732</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$69,299,053</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$ 45,663,365</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 per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investment income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0.78</w:t>
            </w:r>
          </w:p>
        </w:tc>
      </w:tr>
      <w:tr>
        <w:trPr>
          <w:trHeight w:val="202"/>
        </w:trPr>
        <w:tc>
          <w:tcPr>
            <w:tcW w:w="2280" w:type="dxa"/>
            <w:vAlign w:val="bottom"/>
          </w:tcPr>
          <w:p>
            <w:pPr>
              <w:spacing w:after="0"/>
              <w:rPr>
                <w:sz w:val="17"/>
                <w:szCs w:val="17"/>
                <w:color w:val="auto"/>
              </w:rPr>
            </w:pP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ectPr>
          <w:pgSz w:w="11900" w:h="16838" w:orient="portrait"/>
          <w:cols w:equalWidth="0" w:num="1">
            <w:col w:w="11220"/>
          </w:cols>
          <w:pgMar w:left="320" w:top="136" w:right="35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PennantPark Investment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8"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2020-05-05T15:07:05Z</dcterms:created>
  <dcterms:modified xsi:type="dcterms:W3CDTF">2020-05-05T15:07:05Z</dcterms:modified>
</cp:coreProperties>
</file>