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107315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127000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6" w:lineRule="exact"/>
        <w:rPr>
          <w:sz w:val="24"/>
          <w:szCs w:val="24"/>
          <w:color w:val="auto"/>
        </w:rPr>
      </w:pPr>
    </w:p>
    <w:p>
      <w:pPr>
        <w:ind w:left="460" w:right="30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32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113665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60" w:type="dxa"/>
            <w:vAlign w:val="bottom"/>
          </w:tcPr>
          <w:p>
            <w:pPr>
              <w:jc w:val="right"/>
              <w:ind w:right="24"/>
              <w:spacing w:after="0"/>
              <w:rPr>
                <w:sz w:val="20"/>
                <w:szCs w:val="20"/>
                <w:color w:val="auto"/>
              </w:rPr>
            </w:pPr>
            <w:r>
              <w:rPr>
                <w:rFonts w:ascii="Arial" w:cs="Arial" w:eastAsia="Arial" w:hAnsi="Arial"/>
                <w:sz w:val="18"/>
                <w:szCs w:val="18"/>
                <w:b w:val="1"/>
                <w:bCs w:val="1"/>
                <w:color w:val="auto"/>
              </w:rPr>
              <w:t>20-8250744</w:t>
            </w:r>
          </w:p>
        </w:tc>
      </w:tr>
      <w:tr>
        <w:trPr>
          <w:trHeight w:val="149"/>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590 Madison Avenue, 15</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06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380" w:type="dxa"/>
            <w:vAlign w:val="bottom"/>
          </w:tcPr>
          <w:p>
            <w:pPr>
              <w:spacing w:after="0"/>
              <w:rPr>
                <w:sz w:val="24"/>
                <w:szCs w:val="24"/>
                <w:color w:val="auto"/>
              </w:rPr>
            </w:pPr>
          </w:p>
        </w:tc>
        <w:tc>
          <w:tcPr>
            <w:tcW w:w="5060" w:type="dxa"/>
            <w:vAlign w:val="bottom"/>
          </w:tcPr>
          <w:p>
            <w:pPr>
              <w:jc w:val="right"/>
              <w:ind w:right="2824"/>
              <w:spacing w:after="0"/>
              <w:rPr>
                <w:sz w:val="20"/>
                <w:szCs w:val="20"/>
                <w:color w:val="auto"/>
              </w:rPr>
            </w:pPr>
            <w:r>
              <w:rPr>
                <w:rFonts w:ascii="Arial" w:cs="Arial" w:eastAsia="Arial" w:hAnsi="Arial"/>
                <w:sz w:val="18"/>
                <w:szCs w:val="18"/>
                <w:b w:val="1"/>
                <w:bCs w:val="1"/>
                <w:color w:val="auto"/>
              </w:rPr>
              <w:t>(212)-905-1000</w:t>
            </w:r>
          </w:p>
        </w:tc>
      </w:tr>
      <w:tr>
        <w:trPr>
          <w:trHeight w:val="174"/>
        </w:trPr>
        <w:tc>
          <w:tcPr>
            <w:tcW w:w="2380" w:type="dxa"/>
            <w:vAlign w:val="bottom"/>
          </w:tcPr>
          <w:p>
            <w:pPr>
              <w:spacing w:after="0"/>
              <w:rPr>
                <w:sz w:val="15"/>
                <w:szCs w:val="15"/>
                <w:color w:val="auto"/>
              </w:rPr>
            </w:pPr>
          </w:p>
        </w:tc>
        <w:tc>
          <w:tcPr>
            <w:tcW w:w="5060" w:type="dxa"/>
            <w:vAlign w:val="bottom"/>
          </w:tcPr>
          <w:p>
            <w:pPr>
              <w:jc w:val="center"/>
              <w:ind w:right="1764"/>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94615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5" w:lineRule="exact"/>
        <w:rPr>
          <w:sz w:val="24"/>
          <w:szCs w:val="24"/>
          <w:color w:val="auto"/>
        </w:rPr>
      </w:pPr>
    </w:p>
    <w:p>
      <w:pPr>
        <w:ind w:right="120" w:firstLine="449"/>
        <w:spacing w:after="0" w:line="22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ind w:right="360"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40"/>
          </w:cols>
          <w:pgMar w:left="320" w:top="230" w:right="33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20"/>
            <w:col w:w="6100" w:space="720"/>
            <w:col w:w="1640" w:space="720"/>
            <w:col w:w="160"/>
          </w:cols>
          <w:pgMar w:left="320" w:top="230" w:right="3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00"/>
            <w:col w:w="160" w:space="80"/>
            <w:col w:w="5860" w:space="720"/>
            <w:col w:w="1920" w:space="440"/>
            <w:col w:w="160"/>
          </w:cols>
          <w:pgMar w:left="320" w:top="230" w:right="33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00" w:space="180"/>
            <w:col w:w="1960"/>
          </w:cols>
          <w:pgMar w:left="320" w:top="230" w:right="339" w:bottom="1440" w:gutter="0" w:footer="0" w:header="0"/>
          <w:type w:val="continuous"/>
        </w:sectPr>
      </w:pPr>
    </w:p>
    <w:p>
      <w:pPr>
        <w:spacing w:after="0" w:line="2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issuer’s common stock, $0.001 par value, outstanding as of May 2, 2012 was 56,367,339.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MARCH 31, 2012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40" w:type="dxa"/>
            <w:vAlign w:val="bottom"/>
          </w:tcPr>
          <w:p>
            <w:pPr>
              <w:ind w:left="3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CONSOLIDATED FINANCIAL INFORMATION</w:t>
              </w:r>
            </w:hyperlink>
          </w:p>
        </w:tc>
        <w:tc>
          <w:tcPr>
            <w:tcW w:w="1400" w:type="dxa"/>
            <w:vAlign w:val="bottom"/>
          </w:tcPr>
          <w:p>
            <w:pPr>
              <w:spacing w:after="0"/>
              <w:rPr>
                <w:sz w:val="19"/>
                <w:szCs w:val="19"/>
                <w:color w:val="auto"/>
              </w:rPr>
            </w:pP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Consolidated Financial Statements</w:t>
              </w:r>
            </w:hyperlink>
          </w:p>
        </w:tc>
        <w:tc>
          <w:tcPr>
            <w:tcW w:w="1400" w:type="dxa"/>
            <w:vAlign w:val="bottom"/>
          </w:tcPr>
          <w:p>
            <w:pPr>
              <w:spacing w:after="0"/>
              <w:rPr>
                <w:sz w:val="24"/>
                <w:szCs w:val="24"/>
                <w:color w:val="auto"/>
              </w:rPr>
            </w:pP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as of March 31, 2012 (unaudited) and September 30, 2011</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and six months ended March 31, 2012 and 2011 (unaudited)</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Changes in Net Assets for the six months ended March 31, 2012 and 2011 (unaudited)</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for the six months ended March 31, 2012 and 2011 (unaudited)</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as of March 31, 2012 (unaudited) and September 30, 2011</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Notes to Consolidated Financial Statements (unaudited)</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740" w:type="dxa"/>
            <w:vAlign w:val="bottom"/>
          </w:tcPr>
          <w:p>
            <w:pPr>
              <w:ind w:left="4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Report of Independent Registered Public Accounting Firm</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Item 3. Quantitative And Qualitative Disclosures About Market Risk</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Item 4. Controls and Procedures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740" w:type="dxa"/>
            <w:vAlign w:val="bottom"/>
          </w:tcPr>
          <w:p>
            <w:pPr>
              <w:ind w:left="4000"/>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PART II. OTHER INFORMATION</w:t>
              </w:r>
            </w:hyperlink>
          </w:p>
        </w:tc>
        <w:tc>
          <w:tcPr>
            <w:tcW w:w="1400" w:type="dxa"/>
            <w:vAlign w:val="bottom"/>
          </w:tcPr>
          <w:p>
            <w:pPr>
              <w:spacing w:after="0"/>
              <w:rPr>
                <w:sz w:val="24"/>
                <w:szCs w:val="24"/>
                <w:color w:val="auto"/>
              </w:rPr>
            </w:pP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1. Legal Proceedings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1A. Risk Factors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2. Unregistered Sales of Equity Securities and Use of Proceeds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3. Defaults Upon Senior Securities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4. Reserved</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5. Other Information</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Item 6. Exhibits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740" w:type="dxa"/>
            <w:vAlign w:val="bottom"/>
          </w:tcPr>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SIGNATURES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I—CONSOLIDATED FINANCIAL INFORMATION</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filing this Form 10-Q, or the Report, in compliance with Rule 13a-13 promulgated by the Securities and Exchange Commission, or the SEC. In this Report, “we,” “our” or “us” refers to PennantPark Investment Corporation and its consolidated subsidiaries unless the context suggests otherwise. “PennantPark Investment” refers to only PennantPark Investment Corporation; “SBIC LP” or “our SBIC” refers to our wholly owned consolidated small business investment company, or SBIC, subsidiary, PennantPark SBIC LP, and its general partner PennantPark SBIC GP, LLC, or SBIC GP; “PennantPark Investment Advisers” or “Investment Adviser” refers to PennantPark Investment Advisers, LLC; “PennantPark Investment Administration” or “Administrator” refers to PennantPark Investment Administration, LLC. References to our portfolio or investments include investments we make through all our consolidated subsidiaries. References to our Subsidiaries, refers to SBIC LP, SBIC GP and the Taxable Subsidiaries.</w:t>
      </w:r>
    </w:p>
    <w:p>
      <w:pPr>
        <w:sectPr>
          <w:pgSz w:w="11900" w:h="16838" w:orient="portrait"/>
          <w:cols w:equalWidth="0" w:num="1">
            <w:col w:w="11200"/>
          </w:cols>
          <w:pgMar w:left="32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260" w:type="dxa"/>
            <w:vAlign w:val="bottom"/>
          </w:tcPr>
          <w:p>
            <w:pPr>
              <w:ind w:left="400"/>
              <w:spacing w:after="0"/>
              <w:rPr>
                <w:sz w:val="20"/>
                <w:szCs w:val="20"/>
                <w:color w:val="auto"/>
              </w:rPr>
            </w:pPr>
            <w:r>
              <w:rPr>
                <w:rFonts w:ascii="Arial" w:cs="Arial" w:eastAsia="Arial" w:hAnsi="Arial"/>
                <w:sz w:val="18"/>
                <w:szCs w:val="18"/>
                <w:b w:val="1"/>
                <w:bCs w:val="1"/>
                <w:color w:val="auto"/>
              </w:rPr>
              <w:t>Consolidated Financial Statements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600" w:type="dxa"/>
            <w:vAlign w:val="bottom"/>
          </w:tcPr>
          <w:p>
            <w:pPr>
              <w:spacing w:after="0"/>
              <w:rPr>
                <w:sz w:val="24"/>
                <w:szCs w:val="24"/>
                <w:color w:val="auto"/>
              </w:rPr>
            </w:pPr>
          </w:p>
        </w:tc>
        <w:tc>
          <w:tcPr>
            <w:tcW w:w="8260" w:type="dxa"/>
            <w:vAlign w:val="bottom"/>
          </w:tcPr>
          <w:p>
            <w:pPr>
              <w:ind w:left="2200"/>
              <w:spacing w:after="0"/>
              <w:rPr>
                <w:sz w:val="20"/>
                <w:szCs w:val="20"/>
                <w:color w:val="auto"/>
              </w:rPr>
            </w:pPr>
            <w:r>
              <w:rPr>
                <w:rFonts w:ascii="Arial" w:cs="Arial" w:eastAsia="Arial" w:hAnsi="Arial"/>
                <w:sz w:val="18"/>
                <w:szCs w:val="18"/>
                <w:b w:val="1"/>
                <w:bCs w:val="1"/>
                <w:color w:val="auto"/>
              </w:rPr>
              <w:t>PENNANTPARK INVESTMENT CORPORATION AND SUBSIDIARIES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8260" w:type="dxa"/>
            <w:vAlign w:val="bottom"/>
          </w:tcPr>
          <w:p>
            <w:pPr>
              <w:ind w:left="2440"/>
              <w:spacing w:after="0"/>
              <w:rPr>
                <w:sz w:val="20"/>
                <w:szCs w:val="20"/>
                <w:color w:val="auto"/>
              </w:rPr>
            </w:pPr>
            <w:r>
              <w:rPr>
                <w:rFonts w:ascii="Arial" w:cs="Arial" w:eastAsia="Arial" w:hAnsi="Arial"/>
                <w:sz w:val="18"/>
                <w:szCs w:val="18"/>
                <w:b w:val="1"/>
                <w:bCs w:val="1"/>
                <w:color w:val="auto"/>
              </w:rPr>
              <w:t>CONSOLIDATED STATEMENTS OF ASSETS AND LIABILITIES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6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
              <w:spacing w:after="0"/>
              <w:rPr>
                <w:sz w:val="20"/>
                <w:szCs w:val="20"/>
                <w:color w:val="auto"/>
              </w:rPr>
            </w:pPr>
            <w:r>
              <w:rPr>
                <w:rFonts w:ascii="Arial" w:cs="Arial" w:eastAsia="Arial" w:hAnsi="Arial"/>
                <w:sz w:val="13"/>
                <w:szCs w:val="13"/>
                <w:b w:val="1"/>
                <w:bCs w:val="1"/>
                <w:color w:val="auto"/>
                <w:w w:val="89"/>
              </w:rPr>
              <w:t>2012</w:t>
            </w:r>
          </w:p>
        </w:tc>
        <w:tc>
          <w:tcPr>
            <w:tcW w:w="320" w:type="dxa"/>
            <w:vAlign w:val="bottom"/>
          </w:tcPr>
          <w:p>
            <w:pPr>
              <w:spacing w:after="0"/>
              <w:rPr>
                <w:sz w:val="12"/>
                <w:szCs w:val="12"/>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8"/>
              </w:rPr>
              <w:t>September 30,</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(unaudited)</w:t>
            </w:r>
          </w:p>
        </w:tc>
        <w:tc>
          <w:tcPr>
            <w:tcW w:w="10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Assets</w:t>
            </w:r>
          </w:p>
        </w:tc>
        <w:tc>
          <w:tcPr>
            <w:tcW w:w="8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 w:type="dxa"/>
            <w:vAlign w:val="bottom"/>
            <w:shd w:val="clear" w:color="auto" w:fill="CCEEFF"/>
          </w:tcPr>
          <w:p>
            <w:pPr>
              <w:spacing w:after="0"/>
              <w:rPr>
                <w:sz w:val="20"/>
                <w:szCs w:val="20"/>
                <w:color w:val="auto"/>
              </w:rPr>
            </w:pPr>
          </w:p>
        </w:tc>
        <w:tc>
          <w:tcPr>
            <w:tcW w:w="8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(cost—$850,864,770 and $816,078,311,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838,697,179</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773,375,381</w:t>
            </w:r>
          </w:p>
        </w:tc>
        <w:tc>
          <w:tcPr>
            <w:tcW w:w="0" w:type="dxa"/>
            <w:vAlign w:val="bottom"/>
          </w:tcPr>
          <w:p>
            <w:pPr>
              <w:spacing w:after="0"/>
              <w:rPr>
                <w:sz w:val="1"/>
                <w:szCs w:val="1"/>
                <w:color w:val="auto"/>
              </w:rPr>
            </w:pPr>
          </w:p>
        </w:tc>
      </w:tr>
      <w:tr>
        <w:trPr>
          <w:trHeight w:val="208"/>
        </w:trPr>
        <w:tc>
          <w:tcPr>
            <w:tcW w:w="8860" w:type="dxa"/>
            <w:vAlign w:val="bottom"/>
            <w:gridSpan w:val="2"/>
          </w:tcPr>
          <w:p>
            <w:pPr>
              <w:ind w:left="440"/>
              <w:spacing w:after="0"/>
              <w:rPr>
                <w:sz w:val="20"/>
                <w:szCs w:val="20"/>
                <w:color w:val="auto"/>
              </w:rPr>
            </w:pPr>
            <w:r>
              <w:rPr>
                <w:rFonts w:ascii="Arial" w:cs="Arial" w:eastAsia="Arial" w:hAnsi="Arial"/>
                <w:sz w:val="18"/>
                <w:szCs w:val="18"/>
                <w:color w:val="auto"/>
              </w:rPr>
              <w:t>Non-controlled, affiliated investments, at fair value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8260" w:type="dxa"/>
            <w:vAlign w:val="bottom"/>
          </w:tcPr>
          <w:p>
            <w:pPr>
              <w:ind w:left="60"/>
              <w:spacing w:after="0"/>
              <w:rPr>
                <w:sz w:val="20"/>
                <w:szCs w:val="20"/>
                <w:color w:val="auto"/>
              </w:rPr>
            </w:pPr>
            <w:r>
              <w:rPr>
                <w:rFonts w:ascii="Arial" w:cs="Arial" w:eastAsia="Arial" w:hAnsi="Arial"/>
                <w:sz w:val="18"/>
                <w:szCs w:val="18"/>
                <w:color w:val="auto"/>
              </w:rPr>
              <w:t>(cost—$31,457,826 and $36,744,425, respectively)</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35,656,110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40,673,133</w:t>
            </w:r>
          </w:p>
        </w:tc>
        <w:tc>
          <w:tcPr>
            <w:tcW w:w="0" w:type="dxa"/>
            <w:vAlign w:val="bottom"/>
          </w:tcPr>
          <w:p>
            <w:pPr>
              <w:spacing w:after="0"/>
              <w:rPr>
                <w:sz w:val="1"/>
                <w:szCs w:val="1"/>
                <w:color w:val="auto"/>
              </w:rPr>
            </w:pPr>
          </w:p>
        </w:tc>
      </w:tr>
      <w:tr>
        <w:trPr>
          <w:trHeight w:val="209"/>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Controlled, affiliated investments, at fair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 w:type="dxa"/>
            <w:vAlign w:val="bottom"/>
            <w:shd w:val="clear" w:color="auto" w:fill="CCEEFF"/>
          </w:tcPr>
          <w:p>
            <w:pPr>
              <w:spacing w:after="0"/>
              <w:rPr>
                <w:sz w:val="20"/>
                <w:szCs w:val="20"/>
                <w:color w:val="auto"/>
              </w:rPr>
            </w:pPr>
          </w:p>
        </w:tc>
        <w:tc>
          <w:tcPr>
            <w:tcW w:w="8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(cost—$14,500,100 and $13,500,100, respectively)</w:t>
            </w: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14,500,002</w:t>
            </w:r>
          </w:p>
        </w:tc>
        <w:tc>
          <w:tcPr>
            <w:tcW w:w="3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13,500,001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860" w:type="dxa"/>
            <w:vAlign w:val="bottom"/>
            <w:gridSpan w:val="2"/>
          </w:tcPr>
          <w:p>
            <w:pPr>
              <w:ind w:left="440"/>
              <w:spacing w:after="0"/>
              <w:rPr>
                <w:sz w:val="20"/>
                <w:szCs w:val="20"/>
                <w:color w:val="auto"/>
              </w:rPr>
            </w:pPr>
            <w:r>
              <w:rPr>
                <w:rFonts w:ascii="Arial" w:cs="Arial" w:eastAsia="Arial" w:hAnsi="Arial"/>
                <w:sz w:val="18"/>
                <w:szCs w:val="18"/>
                <w:color w:val="auto"/>
              </w:rPr>
              <w:t>Total Investments, at fair value (cost—$896,822,696 and $866,322,836, respectively)</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888,853,291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827,548,515</w:t>
            </w:r>
          </w:p>
        </w:tc>
        <w:tc>
          <w:tcPr>
            <w:tcW w:w="0" w:type="dxa"/>
            <w:vAlign w:val="bottom"/>
          </w:tcPr>
          <w:p>
            <w:pPr>
              <w:spacing w:after="0"/>
              <w:rPr>
                <w:sz w:val="1"/>
                <w:szCs w:val="1"/>
                <w:color w:val="auto"/>
              </w:rPr>
            </w:pPr>
          </w:p>
        </w:tc>
      </w:tr>
      <w:tr>
        <w:trPr>
          <w:trHeight w:val="217"/>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(See Note 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26,964,225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71,604,519</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11,013,869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10,878,236</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4,179,031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13,118,967</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4,895,013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82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935,905,429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928,738,214</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15,737,924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12,336,241</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3,528,707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18,572,499</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16,980,269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37,132,151</w:t>
            </w:r>
          </w:p>
        </w:tc>
        <w:tc>
          <w:tcPr>
            <w:tcW w:w="0" w:type="dxa"/>
            <w:vAlign w:val="bottom"/>
          </w:tcPr>
          <w:p>
            <w:pPr>
              <w:spacing w:after="0"/>
              <w:rPr>
                <w:sz w:val="1"/>
                <w:szCs w:val="1"/>
                <w:color w:val="auto"/>
              </w:rPr>
            </w:pPr>
          </w:p>
        </w:tc>
      </w:tr>
      <w:tr>
        <w:trPr>
          <w:trHeight w:val="208"/>
        </w:trPr>
        <w:tc>
          <w:tcPr>
            <w:tcW w:w="8860" w:type="dxa"/>
            <w:vAlign w:val="bottom"/>
            <w:gridSpan w:val="2"/>
          </w:tcPr>
          <w:p>
            <w:pPr>
              <w:spacing w:after="0"/>
              <w:rPr>
                <w:sz w:val="20"/>
                <w:szCs w:val="20"/>
                <w:color w:val="auto"/>
              </w:rPr>
            </w:pPr>
            <w:r>
              <w:rPr>
                <w:rFonts w:ascii="Arial" w:cs="Arial" w:eastAsia="Arial" w:hAnsi="Arial"/>
                <w:sz w:val="18"/>
                <w:szCs w:val="18"/>
                <w:color w:val="auto"/>
              </w:rPr>
              <w:t>Credit facility payable (cost—$158,500,000 and $240,900,000, respectively)</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60" w:type="dxa"/>
            <w:vAlign w:val="bottom"/>
            <w:gridSpan w:val="2"/>
          </w:tcPr>
          <w:p>
            <w:pPr>
              <w:ind w:left="220"/>
              <w:spacing w:after="0"/>
              <w:rPr>
                <w:sz w:val="20"/>
                <w:szCs w:val="20"/>
                <w:color w:val="auto"/>
              </w:rPr>
            </w:pPr>
            <w:r>
              <w:rPr>
                <w:rFonts w:ascii="Arial" w:cs="Arial" w:eastAsia="Arial" w:hAnsi="Arial"/>
                <w:sz w:val="18"/>
                <w:szCs w:val="18"/>
                <w:color w:val="auto"/>
              </w:rPr>
              <w:t>(See Notes 5 and 10)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157,757,500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238,792,125</w:t>
            </w:r>
          </w:p>
        </w:tc>
        <w:tc>
          <w:tcPr>
            <w:tcW w:w="0" w:type="dxa"/>
            <w:vAlign w:val="bottom"/>
          </w:tcPr>
          <w:p>
            <w:pPr>
              <w:spacing w:after="0"/>
              <w:rPr>
                <w:sz w:val="1"/>
                <w:szCs w:val="1"/>
                <w:color w:val="auto"/>
              </w:rPr>
            </w:pPr>
          </w:p>
        </w:tc>
      </w:tr>
      <w:tr>
        <w:trPr>
          <w:trHeight w:val="217"/>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 debentures payable (cost—$150,000,000) (See Notes 5 and 10)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150,000,000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150,000,000</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937,416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687,362</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4,176,894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4,008,054</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Performance-based incentive fee payable (See Note 3)</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2,374,706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3,773,829</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1,104,368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8260" w:type="dxa"/>
            <w:vAlign w:val="bottom"/>
          </w:tcPr>
          <w:p>
            <w:pPr>
              <w:ind w:left="2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352,597,784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466,081,018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60" w:type="dxa"/>
            <w:vAlign w:val="bottom"/>
            <w:gridSpan w:val="2"/>
          </w:tcPr>
          <w:p>
            <w:pPr>
              <w:spacing w:after="0"/>
              <w:rPr>
                <w:sz w:val="20"/>
                <w:szCs w:val="20"/>
                <w:color w:val="auto"/>
              </w:rPr>
            </w:pPr>
            <w:r>
              <w:rPr>
                <w:rFonts w:ascii="Arial" w:cs="Arial" w:eastAsia="Arial" w:hAnsi="Arial"/>
                <w:sz w:val="18"/>
                <w:szCs w:val="18"/>
                <w:color w:val="auto"/>
              </w:rPr>
              <w:t>Common stock, 56,206,873 and 45,689,781 shares issued and outstanding, respectively.</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60" w:type="dxa"/>
            <w:vAlign w:val="bottom"/>
            <w:gridSpan w:val="2"/>
          </w:tcPr>
          <w:p>
            <w:pPr>
              <w:ind w:left="220"/>
              <w:spacing w:after="0"/>
              <w:rPr>
                <w:sz w:val="20"/>
                <w:szCs w:val="20"/>
                <w:color w:val="auto"/>
              </w:rPr>
            </w:pPr>
            <w:r>
              <w:rPr>
                <w:rFonts w:ascii="Arial" w:cs="Arial" w:eastAsia="Arial" w:hAnsi="Arial"/>
                <w:sz w:val="18"/>
                <w:szCs w:val="18"/>
                <w:color w:val="auto"/>
              </w:rPr>
              <w:t>Par value $0.001 per share and 100,000,000 shares authorized.</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56,207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45,690</w:t>
            </w:r>
          </w:p>
        </w:tc>
        <w:tc>
          <w:tcPr>
            <w:tcW w:w="0" w:type="dxa"/>
            <w:vAlign w:val="bottom"/>
          </w:tcPr>
          <w:p>
            <w:pPr>
              <w:spacing w:after="0"/>
              <w:rPr>
                <w:sz w:val="1"/>
                <w:szCs w:val="1"/>
                <w:color w:val="auto"/>
              </w:rPr>
            </w:pPr>
          </w:p>
        </w:tc>
      </w:tr>
      <w:tr>
        <w:trPr>
          <w:trHeight w:val="217"/>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647,530,381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540,603,020</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4,551,894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8,326,854</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(61,603,932)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(49,651,922)</w:t>
            </w: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(7,969,405)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(38,774,321)</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8260" w:type="dxa"/>
            <w:vAlign w:val="bottom"/>
          </w:tcPr>
          <w:p>
            <w:pPr>
              <w:ind w:left="28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583,307,645</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462,657,196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0" w:type="dxa"/>
            <w:vAlign w:val="bottom"/>
            <w:shd w:val="clear" w:color="auto" w:fill="CCEEFF"/>
          </w:tcPr>
          <w:p>
            <w:pPr>
              <w:spacing w:after="0"/>
              <w:rPr>
                <w:sz w:val="18"/>
                <w:szCs w:val="18"/>
                <w:color w:val="auto"/>
              </w:rPr>
            </w:pPr>
          </w:p>
        </w:tc>
        <w:tc>
          <w:tcPr>
            <w:tcW w:w="82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935,905,429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928,738,214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w w:val="97"/>
              </w:rPr>
              <w:t>Three months ended March 31,</w:t>
            </w:r>
          </w:p>
        </w:tc>
        <w:tc>
          <w:tcPr>
            <w:tcW w:w="100" w:type="dxa"/>
            <w:vAlign w:val="bottom"/>
          </w:tcPr>
          <w:p>
            <w:pPr>
              <w:spacing w:after="0"/>
              <w:rPr>
                <w:sz w:val="14"/>
                <w:szCs w:val="14"/>
                <w:color w:val="auto"/>
              </w:rPr>
            </w:pPr>
          </w:p>
        </w:tc>
        <w:tc>
          <w:tcPr>
            <w:tcW w:w="220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3"/>
                <w:szCs w:val="13"/>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3"/>
                <w:szCs w:val="13"/>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24,310,488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20,836,197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48,330,912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39,395,362</w:t>
            </w:r>
          </w:p>
        </w:tc>
        <w:tc>
          <w:tcPr>
            <w:tcW w:w="0" w:type="dxa"/>
            <w:vAlign w:val="bottom"/>
          </w:tcPr>
          <w:p>
            <w:pPr>
              <w:spacing w:after="0"/>
              <w:rPr>
                <w:sz w:val="1"/>
                <w:szCs w:val="1"/>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1,084,688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1,233,863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2,955,202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2,080,447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549,594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381,222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1,122,525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744,654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tcPr>
          <w:p>
            <w:pPr>
              <w:ind w:left="44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416,889</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260,167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791,778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26,361,659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22,711,449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53,200,417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42,690,630</w:t>
            </w:r>
          </w:p>
        </w:tc>
        <w:tc>
          <w:tcPr>
            <w:tcW w:w="0" w:type="dxa"/>
            <w:vAlign w:val="bottom"/>
          </w:tcPr>
          <w:p>
            <w:pPr>
              <w:spacing w:after="0"/>
              <w:rPr>
                <w:sz w:val="1"/>
                <w:szCs w:val="1"/>
                <w:color w:val="auto"/>
              </w:rPr>
            </w:pPr>
          </w:p>
        </w:tc>
      </w:tr>
      <w:tr>
        <w:trPr>
          <w:trHeight w:val="222"/>
        </w:trPr>
        <w:tc>
          <w:tcPr>
            <w:tcW w:w="64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 management fee (See Note 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4,178,151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3,589,342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8,221,432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7,087,936</w:t>
            </w:r>
          </w:p>
        </w:tc>
        <w:tc>
          <w:tcPr>
            <w:tcW w:w="0" w:type="dxa"/>
            <w:vAlign w:val="bottom"/>
          </w:tcPr>
          <w:p>
            <w:pPr>
              <w:spacing w:after="0"/>
              <w:rPr>
                <w:sz w:val="1"/>
                <w:szCs w:val="1"/>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2,374,842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3,338,434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6,123,970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6,131,428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Interest and expenses on the credit facility and SBA debentures (See Note 10)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2,736,619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1,086,523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5,111,742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2,221,950</w:t>
            </w:r>
          </w:p>
        </w:tc>
        <w:tc>
          <w:tcPr>
            <w:tcW w:w="0" w:type="dxa"/>
            <w:vAlign w:val="bottom"/>
          </w:tcPr>
          <w:p>
            <w:pPr>
              <w:spacing w:after="0"/>
              <w:rPr>
                <w:sz w:val="1"/>
                <w:szCs w:val="1"/>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808,303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650,662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1,605,656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1,229,717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897,849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847,668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1,740,194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440"/>
              <w:spacing w:after="0"/>
              <w:rPr>
                <w:sz w:val="20"/>
                <w:szCs w:val="20"/>
                <w:color w:val="auto"/>
              </w:rPr>
            </w:pPr>
            <w:r>
              <w:rPr>
                <w:rFonts w:ascii="Arial" w:cs="Arial" w:eastAsia="Arial" w:hAnsi="Arial"/>
                <w:sz w:val="18"/>
                <w:szCs w:val="18"/>
                <w:b w:val="1"/>
                <w:bCs w:val="1"/>
                <w:color w:val="auto"/>
              </w:rPr>
              <w:t>Expenses before taxes and debt issuance costs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10,995,764</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9,512,629</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22,802,994</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18,202,058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Excise tax (See Note 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158,824</w:t>
            </w:r>
          </w:p>
        </w:tc>
        <w:tc>
          <w:tcPr>
            <w:tcW w:w="0" w:type="dxa"/>
            <w:vAlign w:val="bottom"/>
          </w:tcPr>
          <w:p>
            <w:pPr>
              <w:spacing w:after="0"/>
              <w:rPr>
                <w:sz w:val="1"/>
                <w:szCs w:val="1"/>
                <w:color w:val="auto"/>
              </w:rPr>
            </w:pPr>
          </w:p>
        </w:tc>
      </w:tr>
      <w:tr>
        <w:trPr>
          <w:trHeight w:val="223"/>
        </w:trPr>
        <w:tc>
          <w:tcPr>
            <w:tcW w:w="6460" w:type="dxa"/>
            <w:vAlign w:val="bottom"/>
          </w:tcPr>
          <w:p>
            <w:pPr>
              <w:ind w:left="440"/>
              <w:spacing w:after="0"/>
              <w:rPr>
                <w:sz w:val="20"/>
                <w:szCs w:val="20"/>
                <w:color w:val="auto"/>
              </w:rPr>
            </w:pPr>
            <w:r>
              <w:rPr>
                <w:rFonts w:ascii="Arial" w:cs="Arial" w:eastAsia="Arial" w:hAnsi="Arial"/>
                <w:sz w:val="18"/>
                <w:szCs w:val="18"/>
                <w:color w:val="auto"/>
              </w:rPr>
              <w:t>Debt issuance costs (See Note 5)</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5,361,319</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5,361,319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16,602,083</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9,552,486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28,444,313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18,360,882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88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9,759,576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13,158,963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24,756,104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24,329,748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(loss) gain on investments and credit facility:</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(3,922,455)</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286,452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(11,952,011)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2,579,813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22,470,558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4,711,487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30,535,339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23,464,360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Controlled &amp; non-controlled, affiliated investments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(1,692,070)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38,735</w:t>
            </w:r>
          </w:p>
        </w:tc>
        <w:tc>
          <w:tcPr>
            <w:tcW w:w="0" w:type="dxa"/>
            <w:vAlign w:val="bottom"/>
          </w:tcPr>
          <w:p>
            <w:pPr>
              <w:spacing w:after="0"/>
              <w:rPr>
                <w:sz w:val="1"/>
                <w:szCs w:val="1"/>
                <w:color w:val="auto"/>
              </w:rPr>
            </w:pPr>
          </w:p>
        </w:tc>
      </w:tr>
      <w:tr>
        <w:trPr>
          <w:trHeight w:val="223"/>
        </w:trPr>
        <w:tc>
          <w:tcPr>
            <w:tcW w:w="6460" w:type="dxa"/>
            <w:vAlign w:val="bottom"/>
          </w:tcPr>
          <w:p>
            <w:pPr>
              <w:ind w:left="440"/>
              <w:spacing w:after="0"/>
              <w:rPr>
                <w:sz w:val="20"/>
                <w:szCs w:val="20"/>
                <w:color w:val="auto"/>
              </w:rPr>
            </w:pPr>
            <w:r>
              <w:rPr>
                <w:rFonts w:ascii="Arial" w:cs="Arial" w:eastAsia="Arial" w:hAnsi="Arial"/>
                <w:sz w:val="18"/>
                <w:szCs w:val="18"/>
                <w:color w:val="auto"/>
              </w:rPr>
              <w:t>Credit facility unrealized (appreciation) (See Notes 5 and 10)</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(217,500)</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(4,698,821)</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(1,365,375)</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(11,303,446)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appreciation</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20,560,988</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141,572</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29,439,540</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12,199,649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Net realized and unrealized gain from investments and credit facility</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16,638,533</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428,024</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17,487,529</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14,779,462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26,398,109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13,586,987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42,243,633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39,109,210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w w:val="95"/>
              </w:rPr>
              <w:t>Net increase in net assets resulting from operations per common share (See Note 7)</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CHANGES IN NET ASSETS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1"/>
        </w:trPr>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94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42"/>
        </w:trPr>
        <w:tc>
          <w:tcPr>
            <w:tcW w:w="8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3"/>
                <w:szCs w:val="13"/>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24,756,104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24,329,748</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gain on investments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(11,952,011)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2,579,813</w:t>
            </w: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Net change in unrealized appreciation on investments</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30,804,915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23,503,095</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appreciation on credit facility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(1,365,375)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(11,303,446)</w:t>
            </w:r>
          </w:p>
        </w:tc>
        <w:tc>
          <w:tcPr>
            <w:tcW w:w="0" w:type="dxa"/>
            <w:vAlign w:val="bottom"/>
          </w:tcPr>
          <w:p>
            <w:pPr>
              <w:spacing w:after="0"/>
              <w:rPr>
                <w:sz w:val="1"/>
                <w:szCs w:val="1"/>
                <w:color w:val="auto"/>
              </w:rPr>
            </w:pPr>
          </w:p>
        </w:tc>
      </w:tr>
      <w:tr>
        <w:trPr>
          <w:trHeight w:val="230"/>
        </w:trPr>
        <w:tc>
          <w:tcPr>
            <w:tcW w:w="886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42,243,633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39,109,210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Distributions from net investment income</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(28,531,062)</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(21,704,559)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Public offering</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109,192,500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114,080,000</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Offering costs relating to public offering</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(3,979,000)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(5,743,800)</w:t>
            </w:r>
          </w:p>
        </w:tc>
        <w:tc>
          <w:tcPr>
            <w:tcW w:w="0" w:type="dxa"/>
            <w:vAlign w:val="bottom"/>
          </w:tcPr>
          <w:p>
            <w:pPr>
              <w:spacing w:after="0"/>
              <w:rPr>
                <w:sz w:val="1"/>
                <w:szCs w:val="1"/>
                <w:color w:val="auto"/>
              </w:rPr>
            </w:pPr>
          </w:p>
        </w:tc>
      </w:tr>
      <w:tr>
        <w:trPr>
          <w:trHeight w:val="223"/>
        </w:trPr>
        <w:tc>
          <w:tcPr>
            <w:tcW w:w="8860" w:type="dxa"/>
            <w:vAlign w:val="bottom"/>
          </w:tcPr>
          <w:p>
            <w:pPr>
              <w:ind w:left="440"/>
              <w:spacing w:after="0"/>
              <w:rPr>
                <w:sz w:val="20"/>
                <w:szCs w:val="20"/>
                <w:color w:val="auto"/>
              </w:rPr>
            </w:pPr>
            <w:r>
              <w:rPr>
                <w:rFonts w:ascii="Arial" w:cs="Arial" w:eastAsia="Arial" w:hAnsi="Arial"/>
                <w:sz w:val="18"/>
                <w:szCs w:val="18"/>
                <w:color w:val="auto"/>
              </w:rPr>
              <w:t>Reinvestment of dividends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1,724,378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120,650,449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127,444,615</w:t>
            </w:r>
          </w:p>
        </w:tc>
        <w:tc>
          <w:tcPr>
            <w:tcW w:w="0" w:type="dxa"/>
            <w:vAlign w:val="bottom"/>
          </w:tcPr>
          <w:p>
            <w:pPr>
              <w:spacing w:after="0"/>
              <w:rPr>
                <w:sz w:val="1"/>
                <w:szCs w:val="1"/>
                <w:color w:val="auto"/>
              </w:rPr>
            </w:pPr>
          </w:p>
        </w:tc>
      </w:tr>
      <w:tr>
        <w:trPr>
          <w:trHeight w:val="330"/>
        </w:trPr>
        <w:tc>
          <w:tcPr>
            <w:tcW w:w="88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period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462,657,196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386,575,223</w:t>
            </w: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583,307,645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514,019,838</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Undistributed net investment income, at period end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4,551,894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4,584,659</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offering</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10,350,000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9,200,000</w:t>
            </w:r>
          </w:p>
        </w:tc>
        <w:tc>
          <w:tcPr>
            <w:tcW w:w="0" w:type="dxa"/>
            <w:vAlign w:val="bottom"/>
          </w:tcPr>
          <w:p>
            <w:pPr>
              <w:spacing w:after="0"/>
              <w:rPr>
                <w:sz w:val="1"/>
                <w:szCs w:val="1"/>
                <w:color w:val="auto"/>
              </w:rPr>
            </w:pPr>
          </w:p>
        </w:tc>
      </w:tr>
      <w:tr>
        <w:trPr>
          <w:trHeight w:val="223"/>
        </w:trPr>
        <w:tc>
          <w:tcPr>
            <w:tcW w:w="8860" w:type="dxa"/>
            <w:vAlign w:val="bottom"/>
          </w:tcPr>
          <w:p>
            <w:pPr>
              <w:ind w:left="440"/>
              <w:spacing w:after="0"/>
              <w:rPr>
                <w:sz w:val="20"/>
                <w:szCs w:val="20"/>
                <w:color w:val="auto"/>
              </w:rPr>
            </w:pPr>
            <w:r>
              <w:rPr>
                <w:rFonts w:ascii="Arial" w:cs="Arial" w:eastAsia="Arial" w:hAnsi="Arial"/>
                <w:sz w:val="18"/>
                <w:szCs w:val="18"/>
                <w:color w:val="auto"/>
              </w:rPr>
              <w:t>Shares issued from reinvestment of dividends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167,092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shares issued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10,517,092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9,346,160</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CASH FLOWS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6"/>
          </w:tcPr>
          <w:p>
            <w:pPr>
              <w:ind w:left="6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1"/>
        </w:trPr>
        <w:tc>
          <w:tcPr>
            <w:tcW w:w="8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3"/>
                <w:szCs w:val="13"/>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42,243,633</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39,109,210</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Adjustments to reconcile net increase in net assets resulting from operations to net cash (used) by operating</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Net change in unrealized appreciation on investments</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(30,804,915)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(23,503,095)</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on credit facility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1,365,375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11,303,446</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Net realized loss (gain) on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11,952,011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(2,579,813)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(5,784,489)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(3,219,842)</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(153,884,038)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(196,549,024)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income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(6,136,921)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(5,181,586)</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Proceeds from dispositions of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118,544,142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137,107,533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interest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(135,633)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1,237,227</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Decrease in receivables for investments sold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8,939,936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30,254,774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502,446</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(Decrease) in payables for investments purchased</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(15,043,792)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(40,410,000)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unfunded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(15,342,447)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(3,569,562)</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Increase in interest payable on credit facility and SBA debentures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250,054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77,379</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302,526</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(Decrease) Increase in performance-based incentive fee payable</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(1,399,124)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1,099,423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accrued other expenses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(452,070)</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1300"/>
              <w:spacing w:after="0"/>
              <w:rPr>
                <w:sz w:val="20"/>
                <w:szCs w:val="20"/>
                <w:color w:val="auto"/>
              </w:rPr>
            </w:pPr>
            <w:r>
              <w:rPr>
                <w:rFonts w:ascii="Arial" w:cs="Arial" w:eastAsia="Arial" w:hAnsi="Arial"/>
                <w:sz w:val="18"/>
                <w:szCs w:val="18"/>
                <w:color w:val="auto"/>
              </w:rPr>
              <w:t>Net cash (used) by operating activities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(44,048,794)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(54,471,028)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Public offering</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109,192,500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114,080,000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 costs related to public offering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(3,979,000)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(5,743,800)</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Distributions paid to stockholders, net of dividends reinvested</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(23,405,000)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(17,115,744)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SBA debentures (See Note 10)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Capitalized borrowing costs</w:t>
            </w:r>
          </w:p>
        </w:tc>
        <w:tc>
          <w:tcPr>
            <w:tcW w:w="100" w:type="dxa"/>
            <w:vAlign w:val="bottom"/>
          </w:tcPr>
          <w:p>
            <w:pPr>
              <w:spacing w:after="0"/>
              <w:rPr>
                <w:sz w:val="18"/>
                <w:szCs w:val="18"/>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(1,756,250)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 10)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695,500,000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200,300,000</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 10)</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(777,900,000)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(280,561,200)</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provided by financing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(591,500)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54,203,006</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(44,640,294)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(268,022)</w:t>
            </w:r>
          </w:p>
        </w:tc>
        <w:tc>
          <w:tcPr>
            <w:tcW w:w="0" w:type="dxa"/>
            <w:vAlign w:val="bottom"/>
          </w:tcPr>
          <w:p>
            <w:pPr>
              <w:spacing w:after="0"/>
              <w:rPr>
                <w:sz w:val="1"/>
                <w:szCs w:val="1"/>
                <w:color w:val="auto"/>
              </w:rPr>
            </w:pPr>
          </w:p>
        </w:tc>
      </w:tr>
      <w:tr>
        <w:trPr>
          <w:trHeight w:val="217"/>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26,964,225</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1,546,429</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4,285,855</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1,826,073</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258,550</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123,824</w:t>
            </w:r>
          </w:p>
        </w:tc>
        <w:tc>
          <w:tcPr>
            <w:tcW w:w="0" w:type="dxa"/>
            <w:vAlign w:val="bottom"/>
          </w:tcPr>
          <w:p>
            <w:pPr>
              <w:spacing w:after="0"/>
              <w:rPr>
                <w:sz w:val="1"/>
                <w:szCs w:val="1"/>
                <w:color w:val="auto"/>
              </w:rPr>
            </w:pPr>
          </w:p>
        </w:tc>
      </w:tr>
      <w:tr>
        <w:trPr>
          <w:trHeight w:val="20"/>
        </w:trPr>
        <w:tc>
          <w:tcPr>
            <w:tcW w:w="8520" w:type="dxa"/>
            <w:vAlign w:val="bottom"/>
            <w:vMerge w:val="restart"/>
          </w:tcPr>
          <w:p>
            <w:pPr>
              <w:ind w:left="440"/>
              <w:spacing w:after="0"/>
              <w:rPr>
                <w:sz w:val="20"/>
                <w:szCs w:val="20"/>
                <w:color w:val="auto"/>
              </w:rPr>
            </w:pPr>
            <w:r>
              <w:rPr>
                <w:rFonts w:ascii="Arial" w:cs="Arial" w:eastAsia="Arial" w:hAnsi="Arial"/>
                <w:sz w:val="18"/>
                <w:szCs w:val="18"/>
                <w:color w:val="auto"/>
              </w:rPr>
              <w:t>Dividends reinvested</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1,724,378</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1,703,764</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720" w:type="dxa"/>
            <w:vAlign w:val="bottom"/>
            <w:vMerge w:val="restart"/>
          </w:tcPr>
          <w:p>
            <w:pPr>
              <w:jc w:val="center"/>
              <w:ind w:left="933"/>
              <w:spacing w:after="0"/>
              <w:rPr>
                <w:sz w:val="20"/>
                <w:szCs w:val="20"/>
                <w:color w:val="auto"/>
              </w:rPr>
            </w:pPr>
            <w:r>
              <w:rPr>
                <w:rFonts w:ascii="Arial" w:cs="Arial" w:eastAsia="Arial" w:hAnsi="Arial"/>
                <w:sz w:val="13"/>
                <w:szCs w:val="13"/>
                <w:b w:val="1"/>
                <w:bCs w:val="1"/>
                <w:color w:val="auto"/>
              </w:rPr>
              <w:t>Maturity</w:t>
            </w:r>
          </w:p>
        </w:tc>
        <w:tc>
          <w:tcPr>
            <w:tcW w:w="14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820" w:type="dxa"/>
            <w:vAlign w:val="bottom"/>
          </w:tcPr>
          <w:p>
            <w:pPr>
              <w:jc w:val="right"/>
              <w:ind w:right="213"/>
              <w:spacing w:after="0"/>
              <w:rPr>
                <w:sz w:val="20"/>
                <w:szCs w:val="20"/>
                <w:color w:val="auto"/>
              </w:rPr>
            </w:pPr>
            <w:r>
              <w:rPr>
                <w:rFonts w:ascii="Arial" w:cs="Arial" w:eastAsia="Arial" w:hAnsi="Arial"/>
                <w:sz w:val="13"/>
                <w:szCs w:val="13"/>
                <w:b w:val="1"/>
                <w:bCs w:val="1"/>
                <w:color w:val="auto"/>
              </w:rPr>
              <w:t>Current</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2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Par/</w:t>
            </w:r>
          </w:p>
        </w:tc>
        <w:tc>
          <w:tcPr>
            <w:tcW w:w="140" w:type="dxa"/>
            <w:vAlign w:val="bottom"/>
          </w:tcPr>
          <w:p>
            <w:pPr>
              <w:spacing w:after="0"/>
              <w:rPr>
                <w:sz w:val="14"/>
                <w:szCs w:val="14"/>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56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820" w:type="dxa"/>
            <w:vAlign w:val="bottom"/>
          </w:tcPr>
          <w:p>
            <w:pPr>
              <w:jc w:val="right"/>
              <w:ind w:right="213"/>
              <w:spacing w:after="0"/>
              <w:rPr>
                <w:sz w:val="20"/>
                <w:szCs w:val="20"/>
                <w:color w:val="auto"/>
              </w:rPr>
            </w:pPr>
            <w:r>
              <w:rPr>
                <w:rFonts w:ascii="Arial" w:cs="Arial" w:eastAsia="Arial" w:hAnsi="Arial"/>
                <w:sz w:val="13"/>
                <w:szCs w:val="13"/>
                <w:b w:val="1"/>
                <w:bCs w:val="1"/>
                <w:color w:val="auto"/>
              </w:rPr>
              <w:t>Coupon</w:t>
            </w:r>
          </w:p>
        </w:tc>
        <w:tc>
          <w:tcPr>
            <w:tcW w:w="74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24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gridSpan w:val="2"/>
            <w:shd w:val="clear" w:color="auto" w:fill="CCEEFF"/>
          </w:tcPr>
          <w:p>
            <w:pPr>
              <w:spacing w:after="0" w:line="209"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Companies—143.8% </w:t>
            </w:r>
            <w:r>
              <w:rPr>
                <w:rFonts w:ascii="Arial" w:cs="Arial" w:eastAsia="Arial" w:hAnsi="Arial"/>
                <w:sz w:val="22"/>
                <w:szCs w:val="22"/>
                <w:b w:val="1"/>
                <w:bCs w:val="1"/>
                <w:color w:val="auto"/>
                <w:vertAlign w:val="superscript"/>
              </w:rPr>
              <w:t>(1),(2)</w:t>
            </w:r>
          </w:p>
        </w:tc>
        <w:tc>
          <w:tcPr>
            <w:tcW w:w="1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3"/>
                <w:szCs w:val="13"/>
                <w:b w:val="1"/>
                <w:bCs w:val="1"/>
                <w:color w:val="auto"/>
              </w:rPr>
              <w:t>First Lien Secured Debt—45.2%</w:t>
            </w:r>
          </w:p>
        </w:tc>
        <w:tc>
          <w:tcPr>
            <w:tcW w:w="1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American Surgical Holdings, Inc.</w:t>
            </w:r>
          </w:p>
        </w:tc>
        <w:tc>
          <w:tcPr>
            <w:tcW w:w="1720" w:type="dxa"/>
            <w:vAlign w:val="bottom"/>
            <w:shd w:val="clear" w:color="auto" w:fill="CCEEFF"/>
          </w:tcPr>
          <w:p>
            <w:pPr>
              <w:jc w:val="center"/>
              <w:ind w:left="933"/>
              <w:spacing w:after="0" w:line="138" w:lineRule="exact"/>
              <w:rPr>
                <w:sz w:val="20"/>
                <w:szCs w:val="20"/>
                <w:color w:val="auto"/>
              </w:rPr>
            </w:pPr>
            <w:r>
              <w:rPr>
                <w:rFonts w:ascii="Arial" w:cs="Arial" w:eastAsia="Arial" w:hAnsi="Arial"/>
                <w:sz w:val="13"/>
                <w:szCs w:val="13"/>
                <w:color w:val="auto"/>
                <w:w w:val="92"/>
              </w:rPr>
              <w:t>03/23/2015</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 Education</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14.00%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L+1,000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(7)</w:t>
            </w: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19,250,000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$ 18,783,191</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7"/>
              </w:rPr>
              <w:t>$ 19,250,000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and Childcare</w:t>
            </w: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20"/>
                <w:szCs w:val="20"/>
                <w:color w:val="auto"/>
              </w:rPr>
            </w:pPr>
            <w:r>
              <w:rPr>
                <w:rFonts w:ascii="Arial" w:cs="Arial" w:eastAsia="Arial" w:hAnsi="Arial"/>
                <w:sz w:val="13"/>
                <w:szCs w:val="13"/>
                <w:color w:val="auto"/>
              </w:rPr>
              <w:t>Brand Energy and Infrastructure Services, Inc.</w:t>
            </w:r>
          </w:p>
        </w:tc>
        <w:tc>
          <w:tcPr>
            <w:tcW w:w="1720" w:type="dxa"/>
            <w:vAlign w:val="bottom"/>
          </w:tcPr>
          <w:p>
            <w:pPr>
              <w:jc w:val="center"/>
              <w:ind w:left="933"/>
              <w:spacing w:after="0"/>
              <w:rPr>
                <w:sz w:val="20"/>
                <w:szCs w:val="20"/>
                <w:color w:val="auto"/>
              </w:rPr>
            </w:pPr>
            <w:r>
              <w:rPr>
                <w:rFonts w:ascii="Arial" w:cs="Arial" w:eastAsia="Arial" w:hAnsi="Arial"/>
                <w:sz w:val="13"/>
                <w:szCs w:val="13"/>
                <w:color w:val="auto"/>
                <w:w w:val="92"/>
              </w:rPr>
              <w:t>02/07/2014</w:t>
            </w:r>
          </w:p>
        </w:tc>
        <w:tc>
          <w:tcPr>
            <w:tcW w:w="1420" w:type="dxa"/>
            <w:vAlign w:val="bottom"/>
          </w:tcPr>
          <w:p>
            <w:pPr>
              <w:jc w:val="center"/>
              <w:spacing w:after="0"/>
              <w:rPr>
                <w:sz w:val="20"/>
                <w:szCs w:val="20"/>
                <w:color w:val="auto"/>
              </w:rPr>
            </w:pPr>
            <w:r>
              <w:rPr>
                <w:rFonts w:ascii="Arial" w:cs="Arial" w:eastAsia="Arial" w:hAnsi="Arial"/>
                <w:sz w:val="13"/>
                <w:szCs w:val="13"/>
                <w:color w:val="auto"/>
                <w:w w:val="97"/>
              </w:rPr>
              <w:t>Energy / Utilities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3.76%</w:t>
            </w:r>
          </w:p>
        </w:tc>
        <w:tc>
          <w:tcPr>
            <w:tcW w:w="740" w:type="dxa"/>
            <w:vAlign w:val="bottom"/>
          </w:tcPr>
          <w:p>
            <w:pPr>
              <w:jc w:val="right"/>
              <w:spacing w:after="0"/>
              <w:rPr>
                <w:sz w:val="20"/>
                <w:szCs w:val="20"/>
                <w:color w:val="auto"/>
              </w:rPr>
            </w:pPr>
            <w:r>
              <w:rPr>
                <w:rFonts w:ascii="Arial" w:cs="Arial" w:eastAsia="Arial" w:hAnsi="Arial"/>
                <w:sz w:val="13"/>
                <w:szCs w:val="13"/>
                <w:color w:val="auto"/>
              </w:rPr>
              <w:t>L+325</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2,000,000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1,677,320</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1,851,000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(5),(9)</w:t>
            </w:r>
          </w:p>
        </w:tc>
        <w:tc>
          <w:tcPr>
            <w:tcW w:w="1720" w:type="dxa"/>
            <w:vAlign w:val="bottom"/>
            <w:shd w:val="clear" w:color="auto" w:fill="CCEEFF"/>
          </w:tcPr>
          <w:p>
            <w:pPr>
              <w:jc w:val="center"/>
              <w:ind w:left="933"/>
              <w:spacing w:after="0"/>
              <w:rPr>
                <w:sz w:val="20"/>
                <w:szCs w:val="20"/>
                <w:color w:val="auto"/>
              </w:rPr>
            </w:pPr>
            <w:r>
              <w:rPr>
                <w:rFonts w:ascii="Arial" w:cs="Arial" w:eastAsia="Arial" w:hAnsi="Arial"/>
                <w:sz w:val="13"/>
                <w:szCs w:val="13"/>
                <w:color w:val="auto"/>
                <w:w w:val="92"/>
              </w:rPr>
              <w:t>10/01/2016</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Logistics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11.63%</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7,500,000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7,341,591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(5),(9)</w:t>
            </w:r>
          </w:p>
        </w:tc>
        <w:tc>
          <w:tcPr>
            <w:tcW w:w="1720" w:type="dxa"/>
            <w:vAlign w:val="bottom"/>
          </w:tcPr>
          <w:p>
            <w:pPr>
              <w:jc w:val="center"/>
              <w:ind w:left="933"/>
              <w:spacing w:after="0"/>
              <w:rPr>
                <w:sz w:val="20"/>
                <w:szCs w:val="20"/>
                <w:color w:val="auto"/>
              </w:rPr>
            </w:pPr>
            <w:r>
              <w:rPr>
                <w:rFonts w:ascii="Arial" w:cs="Arial" w:eastAsia="Arial" w:hAnsi="Arial"/>
                <w:sz w:val="13"/>
                <w:szCs w:val="13"/>
                <w:color w:val="auto"/>
                <w:w w:val="92"/>
              </w:rPr>
              <w:t>04/01/2018</w:t>
            </w:r>
          </w:p>
        </w:tc>
        <w:tc>
          <w:tcPr>
            <w:tcW w:w="1420" w:type="dxa"/>
            <w:vAlign w:val="bottom"/>
          </w:tcPr>
          <w:p>
            <w:pPr>
              <w:jc w:val="center"/>
              <w:spacing w:after="0"/>
              <w:rPr>
                <w:sz w:val="20"/>
                <w:szCs w:val="20"/>
                <w:color w:val="auto"/>
              </w:rPr>
            </w:pPr>
            <w:r>
              <w:rPr>
                <w:rFonts w:ascii="Arial" w:cs="Arial" w:eastAsia="Arial" w:hAnsi="Arial"/>
                <w:sz w:val="13"/>
                <w:szCs w:val="13"/>
                <w:color w:val="auto"/>
                <w:w w:val="98"/>
              </w:rPr>
              <w:t>Logistics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11.50%</w:t>
            </w: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1,000,000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989,464</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Columbus International, Inc. </w:t>
            </w:r>
            <w:r>
              <w:rPr>
                <w:rFonts w:ascii="Arial" w:cs="Arial" w:eastAsia="Arial" w:hAnsi="Arial"/>
                <w:sz w:val="17"/>
                <w:szCs w:val="17"/>
                <w:color w:val="auto"/>
                <w:vertAlign w:val="superscript"/>
              </w:rPr>
              <w:t>(5), (9)</w:t>
            </w:r>
          </w:p>
        </w:tc>
        <w:tc>
          <w:tcPr>
            <w:tcW w:w="1720" w:type="dxa"/>
            <w:vAlign w:val="bottom"/>
            <w:shd w:val="clear" w:color="auto" w:fill="CCEEFF"/>
          </w:tcPr>
          <w:p>
            <w:pPr>
              <w:jc w:val="center"/>
              <w:ind w:left="933"/>
              <w:spacing w:after="0"/>
              <w:rPr>
                <w:sz w:val="20"/>
                <w:szCs w:val="20"/>
                <w:color w:val="auto"/>
              </w:rPr>
            </w:pPr>
            <w:r>
              <w:rPr>
                <w:rFonts w:ascii="Arial" w:cs="Arial" w:eastAsia="Arial" w:hAnsi="Arial"/>
                <w:sz w:val="13"/>
                <w:szCs w:val="13"/>
                <w:color w:val="auto"/>
                <w:w w:val="92"/>
              </w:rPr>
              <w:t>11/20/2014</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Communications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11.50%</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11,095,000</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Good Sam Enterprises, LLC </w:t>
            </w:r>
            <w:r>
              <w:rPr>
                <w:rFonts w:ascii="Arial" w:cs="Arial" w:eastAsia="Arial" w:hAnsi="Arial"/>
                <w:sz w:val="17"/>
                <w:szCs w:val="17"/>
                <w:color w:val="auto"/>
                <w:vertAlign w:val="superscript"/>
              </w:rPr>
              <w:t>(5)</w:t>
            </w:r>
          </w:p>
        </w:tc>
        <w:tc>
          <w:tcPr>
            <w:tcW w:w="1720" w:type="dxa"/>
            <w:vAlign w:val="bottom"/>
          </w:tcPr>
          <w:p>
            <w:pPr>
              <w:jc w:val="center"/>
              <w:ind w:left="933"/>
              <w:spacing w:after="0"/>
              <w:rPr>
                <w:sz w:val="20"/>
                <w:szCs w:val="20"/>
                <w:color w:val="auto"/>
              </w:rPr>
            </w:pPr>
            <w:r>
              <w:rPr>
                <w:rFonts w:ascii="Arial" w:cs="Arial" w:eastAsia="Arial" w:hAnsi="Arial"/>
                <w:sz w:val="13"/>
                <w:szCs w:val="13"/>
                <w:color w:val="auto"/>
                <w:w w:val="92"/>
              </w:rPr>
              <w:t>12/01/2016</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11.50%</w:t>
            </w: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12,000,000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11,777,014</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12,360,000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Hanley-Wood, L.L.C.</w:t>
            </w:r>
          </w:p>
        </w:tc>
        <w:tc>
          <w:tcPr>
            <w:tcW w:w="1720" w:type="dxa"/>
            <w:vAlign w:val="bottom"/>
            <w:shd w:val="clear" w:color="auto" w:fill="CCEEFF"/>
          </w:tcPr>
          <w:p>
            <w:pPr>
              <w:jc w:val="center"/>
              <w:ind w:left="933"/>
              <w:spacing w:after="0"/>
              <w:rPr>
                <w:sz w:val="20"/>
                <w:szCs w:val="20"/>
                <w:color w:val="auto"/>
              </w:rPr>
            </w:pPr>
            <w:r>
              <w:rPr>
                <w:rFonts w:ascii="Arial" w:cs="Arial" w:eastAsia="Arial" w:hAnsi="Arial"/>
                <w:sz w:val="13"/>
                <w:szCs w:val="13"/>
                <w:color w:val="auto"/>
                <w:w w:val="92"/>
              </w:rPr>
              <w:t>01/13/2017</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L+650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1,761,727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1,761,727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1,761,727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w:t>
            </w:r>
          </w:p>
        </w:tc>
        <w:tc>
          <w:tcPr>
            <w:tcW w:w="1720" w:type="dxa"/>
            <w:vAlign w:val="bottom"/>
          </w:tcPr>
          <w:p>
            <w:pPr>
              <w:jc w:val="center"/>
              <w:ind w:left="933"/>
              <w:spacing w:after="0"/>
              <w:rPr>
                <w:sz w:val="20"/>
                <w:szCs w:val="20"/>
                <w:color w:val="auto"/>
              </w:rPr>
            </w:pPr>
            <w:r>
              <w:rPr>
                <w:rFonts w:ascii="Arial" w:cs="Arial" w:eastAsia="Arial" w:hAnsi="Arial"/>
                <w:sz w:val="13"/>
                <w:szCs w:val="13"/>
                <w:color w:val="auto"/>
                <w:w w:val="92"/>
              </w:rPr>
              <w:t>04/01/2017</w:t>
            </w:r>
          </w:p>
        </w:tc>
        <w:tc>
          <w:tcPr>
            <w:tcW w:w="1420" w:type="dxa"/>
            <w:vAlign w:val="bottom"/>
          </w:tcPr>
          <w:p>
            <w:pPr>
              <w:jc w:val="center"/>
              <w:spacing w:after="0"/>
              <w:rPr>
                <w:sz w:val="20"/>
                <w:szCs w:val="20"/>
                <w:color w:val="auto"/>
              </w:rPr>
            </w:pPr>
            <w:r>
              <w:rPr>
                <w:rFonts w:ascii="Arial" w:cs="Arial" w:eastAsia="Arial" w:hAnsi="Arial"/>
                <w:sz w:val="13"/>
                <w:szCs w:val="13"/>
                <w:color w:val="auto"/>
                <w:w w:val="94"/>
              </w:rPr>
              <w:t>Auto Sector</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11.50%</w:t>
            </w: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11,500,000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11,270,580</w:t>
            </w:r>
          </w:p>
        </w:tc>
        <w:tc>
          <w:tcPr>
            <w:tcW w:w="16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11,787,500</w:t>
            </w: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Instant Web, Inc.</w:t>
            </w:r>
          </w:p>
        </w:tc>
        <w:tc>
          <w:tcPr>
            <w:tcW w:w="1720" w:type="dxa"/>
            <w:vAlign w:val="bottom"/>
            <w:shd w:val="clear" w:color="auto" w:fill="CCEEFF"/>
          </w:tcPr>
          <w:p>
            <w:pPr>
              <w:jc w:val="center"/>
              <w:ind w:left="933"/>
              <w:spacing w:after="0"/>
              <w:rPr>
                <w:sz w:val="20"/>
                <w:szCs w:val="20"/>
                <w:color w:val="auto"/>
              </w:rPr>
            </w:pPr>
            <w:r>
              <w:rPr>
                <w:rFonts w:ascii="Arial" w:cs="Arial" w:eastAsia="Arial" w:hAnsi="Arial"/>
                <w:sz w:val="13"/>
                <w:szCs w:val="13"/>
                <w:color w:val="auto"/>
                <w:w w:val="92"/>
              </w:rPr>
              <w:t>08/07/2014</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Printing and Publishing</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14.50%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L+950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24,500,000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24,015,996</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24,990,000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56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line="138" w:lineRule="exact"/>
              <w:rPr>
                <w:sz w:val="20"/>
                <w:szCs w:val="20"/>
                <w:color w:val="auto"/>
              </w:rPr>
            </w:pPr>
            <w:r>
              <w:rPr>
                <w:rFonts w:ascii="Arial" w:cs="Arial" w:eastAsia="Arial" w:hAnsi="Arial"/>
                <w:sz w:val="13"/>
                <w:szCs w:val="13"/>
                <w:color w:val="auto"/>
              </w:rPr>
              <w:t>Interactive Health Solutions, Inc.</w:t>
            </w:r>
          </w:p>
        </w:tc>
        <w:tc>
          <w:tcPr>
            <w:tcW w:w="1720" w:type="dxa"/>
            <w:vAlign w:val="bottom"/>
          </w:tcPr>
          <w:p>
            <w:pPr>
              <w:jc w:val="center"/>
              <w:ind w:left="933"/>
              <w:spacing w:after="0" w:line="138" w:lineRule="exact"/>
              <w:rPr>
                <w:sz w:val="20"/>
                <w:szCs w:val="20"/>
                <w:color w:val="auto"/>
              </w:rPr>
            </w:pPr>
            <w:r>
              <w:rPr>
                <w:rFonts w:ascii="Arial" w:cs="Arial" w:eastAsia="Arial" w:hAnsi="Arial"/>
                <w:sz w:val="13"/>
                <w:szCs w:val="13"/>
                <w:color w:val="auto"/>
                <w:w w:val="92"/>
              </w:rPr>
              <w:t>10/04/2016</w:t>
            </w:r>
          </w:p>
        </w:tc>
        <w:tc>
          <w:tcPr>
            <w:tcW w:w="142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 Education</w:t>
            </w:r>
          </w:p>
        </w:tc>
        <w:tc>
          <w:tcPr>
            <w:tcW w:w="820" w:type="dxa"/>
            <w:vAlign w:val="bottom"/>
          </w:tcPr>
          <w:p>
            <w:pPr>
              <w:jc w:val="right"/>
              <w:ind w:right="33"/>
              <w:spacing w:after="0" w:line="138" w:lineRule="exact"/>
              <w:rPr>
                <w:sz w:val="20"/>
                <w:szCs w:val="20"/>
                <w:color w:val="auto"/>
              </w:rPr>
            </w:pPr>
            <w:r>
              <w:rPr>
                <w:rFonts w:ascii="Arial" w:cs="Arial" w:eastAsia="Arial" w:hAnsi="Arial"/>
                <w:sz w:val="13"/>
                <w:szCs w:val="13"/>
                <w:color w:val="auto"/>
              </w:rPr>
              <w:t>11.50%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L+950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(7)</w:t>
            </w:r>
          </w:p>
        </w:tc>
        <w:tc>
          <w:tcPr>
            <w:tcW w:w="8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18,762,500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18,353,870</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18,921,981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4"/>
              </w:rPr>
              <w:t>and Childcare</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Jacuzzi Brands Corp.</w:t>
            </w:r>
          </w:p>
        </w:tc>
        <w:tc>
          <w:tcPr>
            <w:tcW w:w="1720" w:type="dxa"/>
            <w:vAlign w:val="bottom"/>
            <w:shd w:val="clear" w:color="auto" w:fill="CCEEFF"/>
          </w:tcPr>
          <w:p>
            <w:pPr>
              <w:jc w:val="center"/>
              <w:ind w:left="933"/>
              <w:spacing w:after="0" w:line="138" w:lineRule="exact"/>
              <w:rPr>
                <w:sz w:val="20"/>
                <w:szCs w:val="20"/>
                <w:color w:val="auto"/>
              </w:rPr>
            </w:pPr>
            <w:r>
              <w:rPr>
                <w:rFonts w:ascii="Arial" w:cs="Arial" w:eastAsia="Arial" w:hAnsi="Arial"/>
                <w:sz w:val="13"/>
                <w:szCs w:val="13"/>
                <w:color w:val="auto"/>
                <w:w w:val="92"/>
              </w:rPr>
              <w:t>02/07/2014</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2.61%</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L+225</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9,635,135</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9,635,135</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5,331,438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Furnishings,</w:t>
            </w: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Housewares and</w:t>
            </w: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Durable Consumer</w:t>
            </w: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Products</w:t>
            </w: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line="138" w:lineRule="exact"/>
              <w:rPr>
                <w:sz w:val="20"/>
                <w:szCs w:val="20"/>
                <w:color w:val="auto"/>
              </w:rPr>
            </w:pPr>
            <w:r>
              <w:rPr>
                <w:rFonts w:ascii="Arial" w:cs="Arial" w:eastAsia="Arial" w:hAnsi="Arial"/>
                <w:sz w:val="13"/>
                <w:szCs w:val="13"/>
                <w:color w:val="auto"/>
              </w:rPr>
              <w:t>K2 Pure Solutions NoCal, L.P.</w:t>
            </w:r>
          </w:p>
        </w:tc>
        <w:tc>
          <w:tcPr>
            <w:tcW w:w="1720" w:type="dxa"/>
            <w:vAlign w:val="bottom"/>
          </w:tcPr>
          <w:p>
            <w:pPr>
              <w:jc w:val="center"/>
              <w:ind w:left="933"/>
              <w:spacing w:after="0" w:line="138" w:lineRule="exact"/>
              <w:rPr>
                <w:sz w:val="20"/>
                <w:szCs w:val="20"/>
                <w:color w:val="auto"/>
              </w:rPr>
            </w:pPr>
            <w:r>
              <w:rPr>
                <w:rFonts w:ascii="Arial" w:cs="Arial" w:eastAsia="Arial" w:hAnsi="Arial"/>
                <w:sz w:val="13"/>
                <w:szCs w:val="13"/>
                <w:color w:val="auto"/>
                <w:w w:val="92"/>
              </w:rPr>
              <w:t>09/10/2015</w:t>
            </w:r>
          </w:p>
        </w:tc>
        <w:tc>
          <w:tcPr>
            <w:tcW w:w="1420" w:type="dxa"/>
            <w:vAlign w:val="bottom"/>
          </w:tcPr>
          <w:p>
            <w:pPr>
              <w:jc w:val="center"/>
              <w:spacing w:after="0" w:line="138" w:lineRule="exact"/>
              <w:rPr>
                <w:sz w:val="20"/>
                <w:szCs w:val="20"/>
                <w:color w:val="auto"/>
              </w:rPr>
            </w:pPr>
            <w:r>
              <w:rPr>
                <w:rFonts w:ascii="Arial" w:cs="Arial" w:eastAsia="Arial" w:hAnsi="Arial"/>
                <w:sz w:val="13"/>
                <w:szCs w:val="13"/>
                <w:color w:val="auto"/>
                <w:w w:val="92"/>
              </w:rPr>
              <w:t>Chemicals, Plastics and</w:t>
            </w:r>
          </w:p>
        </w:tc>
        <w:tc>
          <w:tcPr>
            <w:tcW w:w="820" w:type="dxa"/>
            <w:vAlign w:val="bottom"/>
          </w:tcPr>
          <w:p>
            <w:pPr>
              <w:jc w:val="right"/>
              <w:ind w:right="33"/>
              <w:spacing w:after="0" w:line="138" w:lineRule="exact"/>
              <w:rPr>
                <w:sz w:val="20"/>
                <w:szCs w:val="20"/>
                <w:color w:val="auto"/>
              </w:rPr>
            </w:pPr>
            <w:r>
              <w:rPr>
                <w:rFonts w:ascii="Arial" w:cs="Arial" w:eastAsia="Arial" w:hAnsi="Arial"/>
                <w:sz w:val="13"/>
                <w:szCs w:val="13"/>
                <w:color w:val="auto"/>
              </w:rPr>
              <w:t>10.00%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P+675</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(7)</w:t>
            </w:r>
          </w:p>
        </w:tc>
        <w:tc>
          <w:tcPr>
            <w:tcW w:w="8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18,952,500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18,097,866</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18,762,975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Rubber</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Kadmon Pharmaceuticals, LLC</w:t>
            </w:r>
          </w:p>
        </w:tc>
        <w:tc>
          <w:tcPr>
            <w:tcW w:w="1720" w:type="dxa"/>
            <w:vAlign w:val="bottom"/>
            <w:shd w:val="clear" w:color="auto" w:fill="CCEEFF"/>
          </w:tcPr>
          <w:p>
            <w:pPr>
              <w:jc w:val="center"/>
              <w:ind w:left="933"/>
              <w:spacing w:after="0" w:line="138" w:lineRule="exact"/>
              <w:rPr>
                <w:sz w:val="20"/>
                <w:szCs w:val="20"/>
                <w:color w:val="auto"/>
              </w:rPr>
            </w:pPr>
            <w:r>
              <w:rPr>
                <w:rFonts w:ascii="Arial" w:cs="Arial" w:eastAsia="Arial" w:hAnsi="Arial"/>
                <w:sz w:val="13"/>
                <w:szCs w:val="13"/>
                <w:color w:val="auto"/>
                <w:w w:val="92"/>
              </w:rPr>
              <w:t>10/31/2012</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 Education</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15.00%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L+1,300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(7)</w:t>
            </w: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4,981,188</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4,965,097</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5,055,906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and Childcare</w:t>
            </w: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Learning Care Group, Inc.</w:t>
            </w:r>
          </w:p>
        </w:tc>
        <w:tc>
          <w:tcPr>
            <w:tcW w:w="1720" w:type="dxa"/>
            <w:vAlign w:val="bottom"/>
          </w:tcPr>
          <w:p>
            <w:pPr>
              <w:jc w:val="center"/>
              <w:ind w:left="933"/>
              <w:spacing w:after="0"/>
              <w:rPr>
                <w:sz w:val="20"/>
                <w:szCs w:val="20"/>
                <w:color w:val="auto"/>
              </w:rPr>
            </w:pPr>
            <w:r>
              <w:rPr>
                <w:rFonts w:ascii="Arial" w:cs="Arial" w:eastAsia="Arial" w:hAnsi="Arial"/>
                <w:sz w:val="13"/>
                <w:szCs w:val="13"/>
                <w:color w:val="auto"/>
                <w:w w:val="92"/>
              </w:rPr>
              <w:t>04/27/2016</w:t>
            </w: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Education</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12.00%</w:t>
            </w: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26,052,632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25,600,462</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25,466,448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Penton Media, Inc.</w:t>
            </w:r>
          </w:p>
        </w:tc>
        <w:tc>
          <w:tcPr>
            <w:tcW w:w="1720" w:type="dxa"/>
            <w:vAlign w:val="bottom"/>
            <w:shd w:val="clear" w:color="auto" w:fill="CCEEFF"/>
          </w:tcPr>
          <w:p>
            <w:pPr>
              <w:jc w:val="center"/>
              <w:ind w:left="933"/>
              <w:spacing w:after="0" w:line="138" w:lineRule="exact"/>
              <w:rPr>
                <w:sz w:val="20"/>
                <w:szCs w:val="20"/>
                <w:color w:val="auto"/>
              </w:rPr>
            </w:pPr>
            <w:r>
              <w:rPr>
                <w:rFonts w:ascii="Arial" w:cs="Arial" w:eastAsia="Arial" w:hAnsi="Arial"/>
                <w:sz w:val="13"/>
                <w:szCs w:val="13"/>
                <w:color w:val="auto"/>
                <w:w w:val="92"/>
              </w:rPr>
              <w:t>08/01/2014</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5.00%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L+400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(7)</w:t>
            </w: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37,772,126</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33,106,023</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29,950,160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(PIK 1.00%)</w:t>
            </w: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line="138" w:lineRule="exact"/>
              <w:rPr>
                <w:sz w:val="20"/>
                <w:szCs w:val="20"/>
                <w:color w:val="auto"/>
              </w:rPr>
            </w:pPr>
            <w:r>
              <w:rPr>
                <w:rFonts w:ascii="Arial" w:cs="Arial" w:eastAsia="Arial" w:hAnsi="Arial"/>
                <w:sz w:val="13"/>
                <w:szCs w:val="13"/>
                <w:color w:val="auto"/>
              </w:rPr>
              <w:t>Pre-Paid Legal Services, Inc., Tranche A</w:t>
            </w:r>
          </w:p>
        </w:tc>
        <w:tc>
          <w:tcPr>
            <w:tcW w:w="1720" w:type="dxa"/>
            <w:vAlign w:val="bottom"/>
          </w:tcPr>
          <w:p>
            <w:pPr>
              <w:jc w:val="center"/>
              <w:ind w:left="933"/>
              <w:spacing w:after="0" w:line="138" w:lineRule="exact"/>
              <w:rPr>
                <w:sz w:val="20"/>
                <w:szCs w:val="20"/>
                <w:color w:val="auto"/>
              </w:rPr>
            </w:pPr>
            <w:r>
              <w:rPr>
                <w:rFonts w:ascii="Arial" w:cs="Arial" w:eastAsia="Arial" w:hAnsi="Arial"/>
                <w:sz w:val="13"/>
                <w:szCs w:val="13"/>
                <w:color w:val="auto"/>
                <w:w w:val="92"/>
              </w:rPr>
              <w:t>12/30/2016</w:t>
            </w:r>
          </w:p>
        </w:tc>
        <w:tc>
          <w:tcPr>
            <w:tcW w:w="1420" w:type="dxa"/>
            <w:vAlign w:val="bottom"/>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820" w:type="dxa"/>
            <w:vAlign w:val="bottom"/>
          </w:tcPr>
          <w:p>
            <w:pPr>
              <w:jc w:val="right"/>
              <w:ind w:right="33"/>
              <w:spacing w:after="0" w:line="138" w:lineRule="exact"/>
              <w:rPr>
                <w:sz w:val="20"/>
                <w:szCs w:val="20"/>
                <w:color w:val="auto"/>
              </w:rPr>
            </w:pPr>
            <w:r>
              <w:rPr>
                <w:rFonts w:ascii="Arial" w:cs="Arial" w:eastAsia="Arial" w:hAnsi="Arial"/>
                <w:sz w:val="13"/>
                <w:szCs w:val="13"/>
                <w:color w:val="auto"/>
              </w:rPr>
              <w:t>7.50%</w:t>
            </w: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L+600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(7)</w:t>
            </w:r>
          </w:p>
        </w:tc>
        <w:tc>
          <w:tcPr>
            <w:tcW w:w="8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1,796,748</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1,771,633</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1,733,862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4"/>
              </w:rPr>
              <w:t>Miscellaneous Services</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Pre-Paid Legal Services, Inc., Tranche B</w:t>
            </w:r>
          </w:p>
        </w:tc>
        <w:tc>
          <w:tcPr>
            <w:tcW w:w="1720" w:type="dxa"/>
            <w:vAlign w:val="bottom"/>
            <w:shd w:val="clear" w:color="auto" w:fill="CCEEFF"/>
          </w:tcPr>
          <w:p>
            <w:pPr>
              <w:jc w:val="center"/>
              <w:ind w:left="933"/>
              <w:spacing w:after="0" w:line="138" w:lineRule="exact"/>
              <w:rPr>
                <w:sz w:val="20"/>
                <w:szCs w:val="20"/>
                <w:color w:val="auto"/>
              </w:rPr>
            </w:pPr>
            <w:r>
              <w:rPr>
                <w:rFonts w:ascii="Arial" w:cs="Arial" w:eastAsia="Arial" w:hAnsi="Arial"/>
                <w:sz w:val="13"/>
                <w:szCs w:val="13"/>
                <w:color w:val="auto"/>
                <w:w w:val="92"/>
              </w:rPr>
              <w:t>12/30/2016</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11.00%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L+950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(7)</w:t>
            </w: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35,000,000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34,053,237</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33,950,000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Miscellaneous Services</w:t>
            </w: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Questex Media Group LLC </w:t>
            </w:r>
            <w:r>
              <w:rPr>
                <w:rFonts w:ascii="Arial" w:cs="Arial" w:eastAsia="Arial" w:hAnsi="Arial"/>
                <w:sz w:val="17"/>
                <w:szCs w:val="17"/>
                <w:color w:val="auto"/>
                <w:vertAlign w:val="superscript"/>
              </w:rPr>
              <w:t>(8)</w:t>
            </w:r>
          </w:p>
        </w:tc>
        <w:tc>
          <w:tcPr>
            <w:tcW w:w="1720" w:type="dxa"/>
            <w:vAlign w:val="bottom"/>
          </w:tcPr>
          <w:p>
            <w:pPr>
              <w:jc w:val="center"/>
              <w:ind w:left="933"/>
              <w:spacing w:after="0"/>
              <w:rPr>
                <w:sz w:val="20"/>
                <w:szCs w:val="20"/>
                <w:color w:val="auto"/>
              </w:rPr>
            </w:pPr>
            <w:r>
              <w:rPr>
                <w:rFonts w:ascii="Arial" w:cs="Arial" w:eastAsia="Arial" w:hAnsi="Arial"/>
                <w:sz w:val="13"/>
                <w:szCs w:val="13"/>
                <w:color w:val="auto"/>
                <w:w w:val="92"/>
              </w:rPr>
              <w:t>12/16/2012</w:t>
            </w:r>
          </w:p>
        </w:tc>
        <w:tc>
          <w:tcPr>
            <w:tcW w:w="142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82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133,603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133,603</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133,603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Tekelec Global Inc. (First Out)</w:t>
            </w:r>
          </w:p>
        </w:tc>
        <w:tc>
          <w:tcPr>
            <w:tcW w:w="1720" w:type="dxa"/>
            <w:vAlign w:val="bottom"/>
            <w:shd w:val="clear" w:color="auto" w:fill="CCEEFF"/>
          </w:tcPr>
          <w:p>
            <w:pPr>
              <w:jc w:val="center"/>
              <w:ind w:left="933"/>
              <w:spacing w:after="0"/>
              <w:rPr>
                <w:sz w:val="20"/>
                <w:szCs w:val="20"/>
                <w:color w:val="auto"/>
              </w:rPr>
            </w:pPr>
            <w:r>
              <w:rPr>
                <w:rFonts w:ascii="Arial" w:cs="Arial" w:eastAsia="Arial" w:hAnsi="Arial"/>
                <w:sz w:val="13"/>
                <w:szCs w:val="13"/>
                <w:color w:val="auto"/>
                <w:w w:val="92"/>
              </w:rPr>
              <w:t>01/29/2018</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9.00%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L+750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4,250,000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4,187,709</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Tekelec Global Inc. (Second Out)</w:t>
            </w:r>
          </w:p>
        </w:tc>
        <w:tc>
          <w:tcPr>
            <w:tcW w:w="1720" w:type="dxa"/>
            <w:vAlign w:val="bottom"/>
          </w:tcPr>
          <w:p>
            <w:pPr>
              <w:jc w:val="center"/>
              <w:ind w:left="933"/>
              <w:spacing w:after="0"/>
              <w:rPr>
                <w:sz w:val="20"/>
                <w:szCs w:val="20"/>
                <w:color w:val="auto"/>
              </w:rPr>
            </w:pPr>
            <w:r>
              <w:rPr>
                <w:rFonts w:ascii="Arial" w:cs="Arial" w:eastAsia="Arial" w:hAnsi="Arial"/>
                <w:sz w:val="13"/>
                <w:szCs w:val="13"/>
                <w:color w:val="auto"/>
                <w:w w:val="92"/>
              </w:rPr>
              <w:t>01/29/2018</w:t>
            </w: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13.50%</w:t>
            </w:r>
          </w:p>
        </w:tc>
        <w:tc>
          <w:tcPr>
            <w:tcW w:w="740" w:type="dxa"/>
            <w:vAlign w:val="bottom"/>
          </w:tcPr>
          <w:p>
            <w:pPr>
              <w:jc w:val="right"/>
              <w:spacing w:after="0"/>
              <w:rPr>
                <w:sz w:val="20"/>
                <w:szCs w:val="20"/>
                <w:color w:val="auto"/>
              </w:rPr>
            </w:pPr>
            <w:r>
              <w:rPr>
                <w:rFonts w:ascii="Arial" w:cs="Arial" w:eastAsia="Arial" w:hAnsi="Arial"/>
                <w:sz w:val="13"/>
                <w:szCs w:val="13"/>
                <w:color w:val="auto"/>
              </w:rPr>
              <w:t>L+1,200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(7)</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10,625,000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10,320,982</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10,625,000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UP Support Servives, Inc.</w:t>
            </w:r>
          </w:p>
        </w:tc>
        <w:tc>
          <w:tcPr>
            <w:tcW w:w="1720" w:type="dxa"/>
            <w:vAlign w:val="bottom"/>
            <w:shd w:val="clear" w:color="auto" w:fill="CCEEFF"/>
          </w:tcPr>
          <w:p>
            <w:pPr>
              <w:jc w:val="center"/>
              <w:ind w:left="933"/>
              <w:spacing w:after="0" w:line="138" w:lineRule="exact"/>
              <w:rPr>
                <w:sz w:val="20"/>
                <w:szCs w:val="20"/>
                <w:color w:val="auto"/>
              </w:rPr>
            </w:pPr>
            <w:r>
              <w:rPr>
                <w:rFonts w:ascii="Arial" w:cs="Arial" w:eastAsia="Arial" w:hAnsi="Arial"/>
                <w:sz w:val="13"/>
                <w:szCs w:val="13"/>
                <w:color w:val="auto"/>
                <w:w w:val="92"/>
              </w:rPr>
              <w:t>02/08/2013</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Oil and Gas</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9.50%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L+800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(7)</w:t>
            </w: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14,319,391</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11,201,685</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11,127,896</w:t>
            </w:r>
          </w:p>
        </w:tc>
        <w:tc>
          <w:tcPr>
            <w:tcW w:w="0" w:type="dxa"/>
            <w:vAlign w:val="bottom"/>
          </w:tcPr>
          <w:p>
            <w:pPr>
              <w:spacing w:after="0"/>
              <w:rPr>
                <w:sz w:val="1"/>
                <w:szCs w:val="1"/>
                <w:color w:val="auto"/>
              </w:rPr>
            </w:pPr>
          </w:p>
        </w:tc>
      </w:tr>
      <w:tr>
        <w:trPr>
          <w:trHeight w:val="173"/>
        </w:trPr>
        <w:tc>
          <w:tcPr>
            <w:tcW w:w="35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(PIK 0.75%)</w:t>
            </w: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UP Support Services, Inc. </w:t>
            </w:r>
            <w:r>
              <w:rPr>
                <w:rFonts w:ascii="Arial" w:cs="Arial" w:eastAsia="Arial" w:hAnsi="Arial"/>
                <w:sz w:val="17"/>
                <w:szCs w:val="17"/>
                <w:color w:val="auto"/>
                <w:vertAlign w:val="superscript"/>
              </w:rPr>
              <w:t>(8)</w:t>
            </w:r>
          </w:p>
        </w:tc>
        <w:tc>
          <w:tcPr>
            <w:tcW w:w="1720" w:type="dxa"/>
            <w:vAlign w:val="bottom"/>
          </w:tcPr>
          <w:p>
            <w:pPr>
              <w:jc w:val="center"/>
              <w:ind w:left="933"/>
              <w:spacing w:after="0"/>
              <w:rPr>
                <w:sz w:val="20"/>
                <w:szCs w:val="20"/>
                <w:color w:val="auto"/>
              </w:rPr>
            </w:pPr>
            <w:r>
              <w:rPr>
                <w:rFonts w:ascii="Arial" w:cs="Arial" w:eastAsia="Arial" w:hAnsi="Arial"/>
                <w:sz w:val="13"/>
                <w:szCs w:val="13"/>
                <w:color w:val="auto"/>
                <w:w w:val="92"/>
              </w:rPr>
              <w:t>02/08/2013</w:t>
            </w: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82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64"/>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1,916,666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1,532,977</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1,489,481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1720" w:type="dxa"/>
            <w:vAlign w:val="bottom"/>
            <w:shd w:val="clear" w:color="auto" w:fill="CCEEFF"/>
          </w:tcPr>
          <w:p>
            <w:pPr>
              <w:jc w:val="center"/>
              <w:ind w:left="933"/>
              <w:spacing w:after="0" w:line="138" w:lineRule="exact"/>
              <w:rPr>
                <w:sz w:val="20"/>
                <w:szCs w:val="20"/>
                <w:color w:val="auto"/>
              </w:rPr>
            </w:pPr>
            <w:r>
              <w:rPr>
                <w:rFonts w:ascii="Arial" w:cs="Arial" w:eastAsia="Arial" w:hAnsi="Arial"/>
                <w:sz w:val="13"/>
                <w:szCs w:val="13"/>
                <w:color w:val="auto"/>
                <w:w w:val="92"/>
              </w:rPr>
              <w:t>07/15/2016</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Hotels, Motels,</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3"/>
                <w:szCs w:val="13"/>
                <w:color w:val="auto"/>
              </w:rPr>
              <w:t>11.38%</w:t>
            </w:r>
          </w:p>
        </w:tc>
        <w:tc>
          <w:tcPr>
            <w:tcW w:w="74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4,500,000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4,396,222</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4,826,250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Inns and Gaming</w:t>
            </w: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rPr>
                <w:sz w:val="20"/>
                <w:szCs w:val="20"/>
                <w:color w:val="auto"/>
              </w:rPr>
            </w:pPr>
            <w:r>
              <w:rPr>
                <w:rFonts w:ascii="Arial" w:cs="Arial" w:eastAsia="Arial" w:hAnsi="Arial"/>
                <w:sz w:val="13"/>
                <w:szCs w:val="13"/>
                <w:b w:val="1"/>
                <w:bCs w:val="1"/>
                <w:color w:val="auto"/>
              </w:rPr>
              <w:t>Total First Lien Secured Debt</w:t>
            </w:r>
          </w:p>
        </w:tc>
        <w:tc>
          <w:tcPr>
            <w:tcW w:w="17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264,973,384</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263,660,227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Basis</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Point</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Spread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9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Maturity</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Industry</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Current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Above</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Par/</w:t>
            </w: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49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Coupon</w:t>
            </w: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Shares</w:t>
            </w:r>
          </w:p>
        </w:tc>
        <w:tc>
          <w:tcPr>
            <w:tcW w:w="900" w:type="dxa"/>
            <w:vAlign w:val="bottom"/>
            <w:gridSpan w:val="2"/>
            <w:vMerge w:val="continue"/>
          </w:tcPr>
          <w:p>
            <w:pPr>
              <w:spacing w:after="0"/>
              <w:rPr>
                <w:sz w:val="12"/>
                <w:szCs w:val="12"/>
                <w:color w:val="auto"/>
              </w:rPr>
            </w:pPr>
          </w:p>
        </w:tc>
        <w:tc>
          <w:tcPr>
            <w:tcW w:w="76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Second Lien Secured Debt—26.8%</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gridSpan w:val="2"/>
          </w:tcPr>
          <w:p>
            <w:pPr>
              <w:spacing w:after="0"/>
              <w:rPr>
                <w:sz w:val="20"/>
                <w:szCs w:val="20"/>
                <w:color w:val="auto"/>
              </w:rPr>
            </w:pPr>
            <w:r>
              <w:rPr>
                <w:rFonts w:ascii="Arial" w:cs="Arial" w:eastAsia="Arial" w:hAnsi="Arial"/>
                <w:sz w:val="13"/>
                <w:szCs w:val="13"/>
                <w:color w:val="auto"/>
              </w:rPr>
              <w:t>Brand Energy and Infrastructure Services,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02/07/2015</w:t>
            </w:r>
          </w:p>
        </w:tc>
        <w:tc>
          <w:tcPr>
            <w:tcW w:w="100" w:type="dxa"/>
            <w:vAlign w:val="bottom"/>
          </w:tcPr>
          <w:p>
            <w:pPr>
              <w:spacing w:after="0"/>
              <w:rPr>
                <w:sz w:val="12"/>
                <w:szCs w:val="12"/>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Energy/Utilities</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6.58 %</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L+600</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13,600,000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4"/>
              </w:rPr>
              <w:t>$ 13,333,203</w:t>
            </w:r>
          </w:p>
        </w:tc>
        <w:tc>
          <w:tcPr>
            <w:tcW w:w="16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w w:val="97"/>
              </w:rPr>
              <w:t>$ 11,356,000</w:t>
            </w:r>
          </w:p>
        </w:tc>
        <w:tc>
          <w:tcPr>
            <w:tcW w:w="0" w:type="dxa"/>
            <w:vAlign w:val="bottom"/>
          </w:tcPr>
          <w:p>
            <w:pPr>
              <w:spacing w:after="0"/>
              <w:rPr>
                <w:sz w:val="1"/>
                <w:szCs w:val="1"/>
                <w:color w:val="auto"/>
              </w:rPr>
            </w:pPr>
          </w:p>
        </w:tc>
      </w:tr>
      <w:tr>
        <w:trPr>
          <w:trHeight w:val="149"/>
        </w:trPr>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02/07/2015</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Energy/Utilities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7.55 %</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L+700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12,000,000</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11,837,896</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10,392,000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gridSpan w:val="2"/>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 (6)</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02/01/2017</w:t>
            </w:r>
          </w:p>
        </w:tc>
        <w:tc>
          <w:tcPr>
            <w:tcW w:w="100" w:type="dxa"/>
            <w:vAlign w:val="bottom"/>
          </w:tcPr>
          <w:p>
            <w:pPr>
              <w:spacing w:after="0"/>
              <w:rPr>
                <w:sz w:val="12"/>
                <w:szCs w:val="12"/>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Consumer Products</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12.00 %</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34,000,000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31,964,124</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6,460,000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Eureka Hunter Pipeline, LLC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08/16/2018</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9"/>
              </w:rPr>
              <w:t>Energy/Utilities</w:t>
            </w: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12.50%</w:t>
            </w:r>
          </w:p>
        </w:tc>
        <w:tc>
          <w:tcPr>
            <w:tcW w:w="84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46,000,000</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45,629,410</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47,495,000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(PIK 2.75%)</w:t>
            </w: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Eureka Hunter Pipeline, LLC </w:t>
            </w:r>
            <w:r>
              <w:rPr>
                <w:rFonts w:ascii="Arial" w:cs="Arial" w:eastAsia="Arial" w:hAnsi="Arial"/>
                <w:sz w:val="17"/>
                <w:szCs w:val="17"/>
                <w:color w:val="auto"/>
                <w:vertAlign w:val="superscript"/>
              </w:rPr>
              <w:t>(8)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08/16/2012</w:t>
            </w:r>
          </w:p>
        </w:tc>
        <w:tc>
          <w:tcPr>
            <w:tcW w:w="100" w:type="dxa"/>
            <w:vAlign w:val="bottom"/>
          </w:tcPr>
          <w:p>
            <w:pPr>
              <w:spacing w:after="0"/>
              <w:rPr>
                <w:sz w:val="12"/>
                <w:szCs w:val="12"/>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Energy/Utilities</w:t>
            </w:r>
          </w:p>
        </w:tc>
        <w:tc>
          <w:tcPr>
            <w:tcW w:w="9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4,000,000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3,900,000</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Greatwide Logistics Services, L.L.C.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03/01/2014</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2"/>
              </w:rPr>
              <w:t>Cargo Transport</w:t>
            </w: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11.00%</w:t>
            </w: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0"/>
                <w:szCs w:val="10"/>
                <w:color w:val="auto"/>
              </w:rPr>
              <w:t xml:space="preserve">L+700 </w:t>
            </w:r>
            <w:r>
              <w:rPr>
                <w:rFonts w:ascii="Arial" w:cs="Arial" w:eastAsia="Arial" w:hAnsi="Arial"/>
                <w:sz w:val="15"/>
                <w:szCs w:val="15"/>
                <w:color w:val="auto"/>
                <w:vertAlign w:val="superscript"/>
              </w:rPr>
              <w:t>(7)</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3,018,217</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3,018,220</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2,822,033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(PIK 11.00%)</w:t>
            </w: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900" w:type="dxa"/>
            <w:vAlign w:val="bottom"/>
            <w:gridSpan w:val="2"/>
          </w:tcPr>
          <w:p>
            <w:pPr>
              <w:spacing w:after="0" w:line="138" w:lineRule="exact"/>
              <w:rPr>
                <w:sz w:val="20"/>
                <w:szCs w:val="20"/>
                <w:color w:val="auto"/>
              </w:rPr>
            </w:pPr>
            <w:r>
              <w:rPr>
                <w:rFonts w:ascii="Arial" w:cs="Arial" w:eastAsia="Arial" w:hAnsi="Arial"/>
                <w:sz w:val="13"/>
                <w:szCs w:val="13"/>
                <w:color w:val="auto"/>
              </w:rPr>
              <w:t>Paradigm Management Services, LLC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07/31/2017</w:t>
            </w:r>
          </w:p>
        </w:tc>
        <w:tc>
          <w:tcPr>
            <w:tcW w:w="100" w:type="dxa"/>
            <w:vAlign w:val="bottom"/>
          </w:tcPr>
          <w:p>
            <w:pPr>
              <w:spacing w:after="0"/>
              <w:rPr>
                <w:sz w:val="11"/>
                <w:szCs w:val="11"/>
                <w:color w:val="auto"/>
              </w:rPr>
            </w:pPr>
          </w:p>
        </w:tc>
        <w:tc>
          <w:tcPr>
            <w:tcW w:w="126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3"/>
              </w:rPr>
              <w:t>Healthcare,</w:t>
            </w:r>
          </w:p>
        </w:tc>
        <w:tc>
          <w:tcPr>
            <w:tcW w:w="96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12.50%</w:t>
            </w: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0"/>
                <w:szCs w:val="10"/>
                <w:color w:val="auto"/>
              </w:rPr>
              <w:t xml:space="preserve">L+1,000 </w:t>
            </w:r>
            <w:r>
              <w:rPr>
                <w:rFonts w:ascii="Arial" w:cs="Arial" w:eastAsia="Arial" w:hAnsi="Arial"/>
                <w:sz w:val="15"/>
                <w:szCs w:val="15"/>
                <w:color w:val="auto"/>
                <w:vertAlign w:val="superscript"/>
              </w:rPr>
              <w:t>(7)</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20,512,821</w:t>
            </w:r>
          </w:p>
        </w:tc>
        <w:tc>
          <w:tcPr>
            <w:tcW w:w="1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20,013,680</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20,512,821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Education and</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Childcare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Questex Media Group LLC, Term Loan A</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12/15/2014</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Other Media</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 xml:space="preserve">L+650 </w:t>
            </w:r>
            <w:r>
              <w:rPr>
                <w:rFonts w:ascii="Arial" w:cs="Arial" w:eastAsia="Arial" w:hAnsi="Arial"/>
                <w:sz w:val="17"/>
                <w:szCs w:val="17"/>
                <w:color w:val="auto"/>
                <w:vertAlign w:val="superscript"/>
              </w:rPr>
              <w:t>(7)</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2,955,232</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2,955,232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2,742,455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00" w:type="dxa"/>
            <w:vAlign w:val="bottom"/>
            <w:gridSpan w:val="2"/>
          </w:tcPr>
          <w:p>
            <w:pPr>
              <w:spacing w:after="0" w:line="138" w:lineRule="exact"/>
              <w:rPr>
                <w:sz w:val="20"/>
                <w:szCs w:val="20"/>
                <w:color w:val="auto"/>
              </w:rPr>
            </w:pPr>
            <w:r>
              <w:rPr>
                <w:rFonts w:ascii="Arial" w:cs="Arial" w:eastAsia="Arial" w:hAnsi="Arial"/>
                <w:sz w:val="13"/>
                <w:szCs w:val="13"/>
                <w:color w:val="auto"/>
              </w:rPr>
              <w:t>Questex Media Group LLC, Term Loan B</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12/15/2015</w:t>
            </w: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5"/>
              </w:rPr>
              <w:t>Other Media</w:t>
            </w:r>
          </w:p>
        </w:tc>
        <w:tc>
          <w:tcPr>
            <w:tcW w:w="96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11.50 %</w:t>
            </w: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0"/>
                <w:szCs w:val="10"/>
                <w:color w:val="auto"/>
              </w:rPr>
              <w:t xml:space="preserve">L+750 </w:t>
            </w:r>
            <w:r>
              <w:rPr>
                <w:rFonts w:ascii="Arial" w:cs="Arial" w:eastAsia="Arial" w:hAnsi="Arial"/>
                <w:sz w:val="15"/>
                <w:szCs w:val="15"/>
                <w:color w:val="auto"/>
                <w:vertAlign w:val="superscript"/>
              </w:rPr>
              <w:t>(7)</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2,107,105</w:t>
            </w:r>
          </w:p>
        </w:tc>
        <w:tc>
          <w:tcPr>
            <w:tcW w:w="1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2,107,105</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1,860,574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(PIK 11.50%)</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Realogy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10/15/2017</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5"/>
              </w:rPr>
              <w:t>Buildings and Real</w:t>
            </w: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13.50%</w:t>
            </w:r>
          </w:p>
        </w:tc>
        <w:tc>
          <w:tcPr>
            <w:tcW w:w="84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10,000,000</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10,000,000</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10,260,710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Estate</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900" w:type="dxa"/>
            <w:vAlign w:val="bottom"/>
            <w:gridSpan w:val="2"/>
          </w:tcPr>
          <w:p>
            <w:pPr>
              <w:spacing w:after="0" w:line="138" w:lineRule="exact"/>
              <w:rPr>
                <w:sz w:val="20"/>
                <w:szCs w:val="20"/>
                <w:color w:val="auto"/>
              </w:rPr>
            </w:pPr>
            <w:r>
              <w:rPr>
                <w:rFonts w:ascii="Arial" w:cs="Arial" w:eastAsia="Arial" w:hAnsi="Arial"/>
                <w:sz w:val="13"/>
                <w:szCs w:val="13"/>
                <w:color w:val="auto"/>
              </w:rPr>
              <w:t>ROC Finance LLC and ROC Finance 1 Corp.</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09/01/2018</w:t>
            </w: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7"/>
              </w:rPr>
              <w:t>Hotels, Motels,</w:t>
            </w:r>
          </w:p>
        </w:tc>
        <w:tc>
          <w:tcPr>
            <w:tcW w:w="96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12.13%</w:t>
            </w:r>
          </w:p>
        </w:tc>
        <w:tc>
          <w:tcPr>
            <w:tcW w:w="84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16,000,000</w:t>
            </w:r>
          </w:p>
        </w:tc>
        <w:tc>
          <w:tcPr>
            <w:tcW w:w="1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15,741,814</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17,840,000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Inns and Gaming</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Sheridan Holdings,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06/15/2015</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3"/>
              </w:rPr>
              <w:t>Healthcare,</w:t>
            </w: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5.99%</w:t>
            </w:r>
          </w:p>
        </w:tc>
        <w:tc>
          <w:tcPr>
            <w:tcW w:w="84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L+575</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13,500,000</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12,046,148</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13,083,755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Education and</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Childcare</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00" w:type="dxa"/>
            <w:vAlign w:val="bottom"/>
            <w:gridSpan w:val="2"/>
          </w:tcPr>
          <w:p>
            <w:pPr>
              <w:spacing w:after="0"/>
              <w:rPr>
                <w:sz w:val="20"/>
                <w:szCs w:val="20"/>
                <w:color w:val="auto"/>
              </w:rPr>
            </w:pPr>
            <w:r>
              <w:rPr>
                <w:rFonts w:ascii="Arial" w:cs="Arial" w:eastAsia="Arial" w:hAnsi="Arial"/>
                <w:sz w:val="13"/>
                <w:szCs w:val="13"/>
                <w:color w:val="auto"/>
              </w:rPr>
              <w:t>TransFirst Holdings,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06/15/2015</w:t>
            </w:r>
          </w:p>
        </w:tc>
        <w:tc>
          <w:tcPr>
            <w:tcW w:w="10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Financial Services</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6.25%</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L+600</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7,811,488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7,468,552</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7,303,741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180,015,384</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156,259,089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0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Notes—60.6%</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Acentia,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10/02/2017</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Electronics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13.75%</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19,000,000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18,525,557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gridSpan w:val="2"/>
          </w:tcPr>
          <w:p>
            <w:pPr>
              <w:spacing w:after="0"/>
              <w:rPr>
                <w:sz w:val="20"/>
                <w:szCs w:val="20"/>
                <w:color w:val="auto"/>
              </w:rPr>
            </w:pPr>
            <w:r>
              <w:rPr>
                <w:rFonts w:ascii="Arial" w:cs="Arial" w:eastAsia="Arial" w:hAnsi="Arial"/>
                <w:sz w:val="13"/>
                <w:szCs w:val="13"/>
                <w:color w:val="auto"/>
              </w:rPr>
              <w:t>Affinion Group Holdings,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11/15/2015</w:t>
            </w:r>
          </w:p>
        </w:tc>
        <w:tc>
          <w:tcPr>
            <w:tcW w:w="100" w:type="dxa"/>
            <w:vAlign w:val="bottom"/>
          </w:tcPr>
          <w:p>
            <w:pPr>
              <w:spacing w:after="0"/>
              <w:rPr>
                <w:sz w:val="12"/>
                <w:szCs w:val="12"/>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Consumer Products</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11.63%</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35,552,000</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34,084,352</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32,174,560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Diversitech Corporation</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01/29/2017</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6"/>
              </w:rPr>
              <w:t>Manufacturing/Basic</w:t>
            </w: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13.50 %</w:t>
            </w:r>
          </w:p>
        </w:tc>
        <w:tc>
          <w:tcPr>
            <w:tcW w:w="84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w w:val="98"/>
              </w:rPr>
              <w:t>11,000,000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10,792,285</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11,192,500</w:t>
            </w:r>
          </w:p>
        </w:tc>
        <w:tc>
          <w:tcPr>
            <w:tcW w:w="0" w:type="dxa"/>
            <w:vAlign w:val="bottom"/>
          </w:tcPr>
          <w:p>
            <w:pPr>
              <w:spacing w:after="0"/>
              <w:rPr>
                <w:sz w:val="1"/>
                <w:szCs w:val="1"/>
                <w:color w:val="auto"/>
              </w:rPr>
            </w:pPr>
          </w:p>
        </w:tc>
      </w:tr>
      <w:tr>
        <w:trPr>
          <w:trHeight w:val="173"/>
        </w:trPr>
        <w:tc>
          <w:tcPr>
            <w:tcW w:w="4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Industry</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(PIK 2.00%)</w:t>
            </w: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900" w:type="dxa"/>
            <w:vAlign w:val="bottom"/>
            <w:gridSpan w:val="2"/>
          </w:tcPr>
          <w:p>
            <w:pPr>
              <w:spacing w:after="0" w:line="138" w:lineRule="exact"/>
              <w:rPr>
                <w:sz w:val="20"/>
                <w:szCs w:val="20"/>
                <w:color w:val="auto"/>
              </w:rPr>
            </w:pPr>
            <w:r>
              <w:rPr>
                <w:rFonts w:ascii="Arial" w:cs="Arial" w:eastAsia="Arial" w:hAnsi="Arial"/>
                <w:sz w:val="13"/>
                <w:szCs w:val="13"/>
                <w:color w:val="auto"/>
              </w:rPr>
              <w:t>Escort, Inc.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06/01/2016</w:t>
            </w: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4"/>
              </w:rPr>
              <w:t>Electronics</w:t>
            </w:r>
          </w:p>
        </w:tc>
        <w:tc>
          <w:tcPr>
            <w:tcW w:w="96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14.75 %</w:t>
            </w:r>
          </w:p>
        </w:tc>
        <w:tc>
          <w:tcPr>
            <w:tcW w:w="84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24,904,672</w:t>
            </w:r>
          </w:p>
        </w:tc>
        <w:tc>
          <w:tcPr>
            <w:tcW w:w="1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24,350,195</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24,904,672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(PIK 2.75%)</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Galls, LLC; Quartermaster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03/31/2017</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Distribution</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13.00%</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21,580,914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21,152,375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21,580,914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00" w:type="dxa"/>
            <w:vAlign w:val="bottom"/>
            <w:gridSpan w:val="2"/>
          </w:tcPr>
          <w:p>
            <w:pPr>
              <w:spacing w:after="0" w:line="138" w:lineRule="exact"/>
              <w:rPr>
                <w:sz w:val="20"/>
                <w:szCs w:val="20"/>
                <w:color w:val="auto"/>
              </w:rPr>
            </w:pPr>
            <w:r>
              <w:rPr>
                <w:rFonts w:ascii="Arial" w:cs="Arial" w:eastAsia="Arial" w:hAnsi="Arial"/>
                <w:sz w:val="13"/>
                <w:szCs w:val="13"/>
                <w:color w:val="auto"/>
              </w:rPr>
              <w:t>JF Acquisition, LLC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12/30/2017</w:t>
            </w: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8"/>
              </w:rPr>
              <w:t>Distribution</w:t>
            </w:r>
          </w:p>
        </w:tc>
        <w:tc>
          <w:tcPr>
            <w:tcW w:w="96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14.00 %</w:t>
            </w:r>
          </w:p>
        </w:tc>
        <w:tc>
          <w:tcPr>
            <w:tcW w:w="84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17,000,000</w:t>
            </w:r>
          </w:p>
        </w:tc>
        <w:tc>
          <w:tcPr>
            <w:tcW w:w="1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16,545,371</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16,575,000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(PIK 2.00%)</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Last Mile Funding,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06/30/2016</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2"/>
              </w:rPr>
              <w:t>Cargo Transport</w:t>
            </w: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14.50%</w:t>
            </w:r>
          </w:p>
        </w:tc>
        <w:tc>
          <w:tcPr>
            <w:tcW w:w="84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45,023,152</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44,045,590</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44,482,874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(PIK 2.50%)</w:t>
            </w: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900" w:type="dxa"/>
            <w:vAlign w:val="bottom"/>
            <w:gridSpan w:val="2"/>
          </w:tcPr>
          <w:p>
            <w:pPr>
              <w:spacing w:after="0" w:line="138" w:lineRule="exact"/>
              <w:rPr>
                <w:sz w:val="20"/>
                <w:szCs w:val="20"/>
                <w:color w:val="auto"/>
              </w:rPr>
            </w:pPr>
            <w:r>
              <w:rPr>
                <w:rFonts w:ascii="Arial" w:cs="Arial" w:eastAsia="Arial" w:hAnsi="Arial"/>
                <w:sz w:val="13"/>
                <w:szCs w:val="13"/>
                <w:color w:val="auto"/>
              </w:rPr>
              <w:t>Learning Care Group (US) Inc.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06/30/2016</w:t>
            </w: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6"/>
              </w:rPr>
              <w:t>Education</w:t>
            </w:r>
          </w:p>
        </w:tc>
        <w:tc>
          <w:tcPr>
            <w:tcW w:w="96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15.00%</w:t>
            </w:r>
          </w:p>
        </w:tc>
        <w:tc>
          <w:tcPr>
            <w:tcW w:w="84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4,909,506</w:t>
            </w:r>
          </w:p>
        </w:tc>
        <w:tc>
          <w:tcPr>
            <w:tcW w:w="1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4,278,793</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4,455,377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(PIK 15.00%)</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LTI Flexible Products,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01/26/2017</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6"/>
              </w:rPr>
              <w:t>Chemical, Plastic</w:t>
            </w: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13.88%</w:t>
            </w:r>
          </w:p>
        </w:tc>
        <w:tc>
          <w:tcPr>
            <w:tcW w:w="84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34,262,227</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33,469,743</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34,947,472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and Rubber</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(PIK 1.88%)</w:t>
            </w: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900" w:type="dxa"/>
            <w:vAlign w:val="bottom"/>
            <w:gridSpan w:val="2"/>
          </w:tcPr>
          <w:p>
            <w:pPr>
              <w:spacing w:after="0" w:line="138" w:lineRule="exact"/>
              <w:rPr>
                <w:sz w:val="20"/>
                <w:szCs w:val="20"/>
                <w:color w:val="auto"/>
              </w:rPr>
            </w:pPr>
            <w:r>
              <w:rPr>
                <w:rFonts w:ascii="Arial" w:cs="Arial" w:eastAsia="Arial" w:hAnsi="Arial"/>
                <w:sz w:val="13"/>
                <w:szCs w:val="13"/>
                <w:color w:val="auto"/>
              </w:rPr>
              <w:t>Mailsouth, Inc.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06/15/2017</w:t>
            </w:r>
          </w:p>
        </w:tc>
        <w:tc>
          <w:tcPr>
            <w:tcW w:w="100" w:type="dxa"/>
            <w:vAlign w:val="bottom"/>
          </w:tcPr>
          <w:p>
            <w:pPr>
              <w:spacing w:after="0"/>
              <w:rPr>
                <w:sz w:val="11"/>
                <w:szCs w:val="11"/>
                <w:color w:val="auto"/>
              </w:rPr>
            </w:pPr>
          </w:p>
        </w:tc>
        <w:tc>
          <w:tcPr>
            <w:tcW w:w="126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5"/>
              </w:rPr>
              <w:t>Printing and</w:t>
            </w:r>
          </w:p>
        </w:tc>
        <w:tc>
          <w:tcPr>
            <w:tcW w:w="96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14.50%</w:t>
            </w:r>
          </w:p>
        </w:tc>
        <w:tc>
          <w:tcPr>
            <w:tcW w:w="84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15,000,000</w:t>
            </w:r>
          </w:p>
        </w:tc>
        <w:tc>
          <w:tcPr>
            <w:tcW w:w="1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14,609,296</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15,000,000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Publishing</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(PIK 2.00%)</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MedQuist,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10/14/2016</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0"/>
              </w:rPr>
              <w:t>Business Services</w:t>
            </w: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13.00%</w:t>
            </w:r>
          </w:p>
        </w:tc>
        <w:tc>
          <w:tcPr>
            <w:tcW w:w="84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19,000,000</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18,526,226</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19,997,500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(PIK 2.00%)</w:t>
            </w: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900" w:type="dxa"/>
            <w:vAlign w:val="bottom"/>
            <w:gridSpan w:val="2"/>
          </w:tcPr>
          <w:p>
            <w:pPr>
              <w:spacing w:after="0" w:line="138" w:lineRule="exact"/>
              <w:rPr>
                <w:sz w:val="20"/>
                <w:szCs w:val="20"/>
                <w:color w:val="auto"/>
              </w:rPr>
            </w:pPr>
            <w:r>
              <w:rPr>
                <w:rFonts w:ascii="Arial" w:cs="Arial" w:eastAsia="Arial" w:hAnsi="Arial"/>
                <w:sz w:val="13"/>
                <w:szCs w:val="13"/>
                <w:color w:val="auto"/>
              </w:rPr>
              <w:t>PAS Technologies, Inc.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05/12/2017</w:t>
            </w: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1"/>
              </w:rPr>
              <w:t>Aerospace and</w:t>
            </w:r>
          </w:p>
        </w:tc>
        <w:tc>
          <w:tcPr>
            <w:tcW w:w="96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15.02 %</w:t>
            </w:r>
          </w:p>
        </w:tc>
        <w:tc>
          <w:tcPr>
            <w:tcW w:w="84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17,123,218</w:t>
            </w:r>
          </w:p>
        </w:tc>
        <w:tc>
          <w:tcPr>
            <w:tcW w:w="1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16,758,032</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16,849,247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Defense</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(PIK 2.02%)</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Prince Mineral Holdings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12/03/2016</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9"/>
              </w:rPr>
              <w:t>Mining, Steel, Iron</w:t>
            </w: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13.50%</w:t>
            </w:r>
          </w:p>
        </w:tc>
        <w:tc>
          <w:tcPr>
            <w:tcW w:w="84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26,431,541</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25,961,026</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26,431,541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and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(PIK 2.00%)</w:t>
            </w: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Non-Precious Metals</w:t>
            </w: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900" w:type="dxa"/>
            <w:vAlign w:val="bottom"/>
            <w:gridSpan w:val="2"/>
          </w:tcPr>
          <w:p>
            <w:pPr>
              <w:spacing w:after="0" w:line="138" w:lineRule="exact"/>
              <w:rPr>
                <w:sz w:val="20"/>
                <w:szCs w:val="20"/>
                <w:color w:val="auto"/>
              </w:rPr>
            </w:pPr>
            <w:r>
              <w:rPr>
                <w:rFonts w:ascii="Arial" w:cs="Arial" w:eastAsia="Arial" w:hAnsi="Arial"/>
                <w:sz w:val="13"/>
                <w:szCs w:val="13"/>
                <w:color w:val="auto"/>
              </w:rPr>
              <w:t>Realogy Corp.</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04/15/2018</w:t>
            </w: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5"/>
              </w:rPr>
              <w:t>Buildings and Real</w:t>
            </w:r>
          </w:p>
        </w:tc>
        <w:tc>
          <w:tcPr>
            <w:tcW w:w="96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11.00%</w:t>
            </w:r>
          </w:p>
        </w:tc>
        <w:tc>
          <w:tcPr>
            <w:tcW w:w="84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10,000,000</w:t>
            </w:r>
          </w:p>
        </w:tc>
        <w:tc>
          <w:tcPr>
            <w:tcW w:w="1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3"/>
                <w:szCs w:val="13"/>
                <w:color w:val="auto"/>
              </w:rPr>
              <w:t>9,201,906</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8,000,000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Estate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TRAK Acquisition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12/29/2015</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0"/>
              </w:rPr>
              <w:t>Business Services</w:t>
            </w: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15.00%</w:t>
            </w:r>
          </w:p>
        </w:tc>
        <w:tc>
          <w:tcPr>
            <w:tcW w:w="84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12,020,950</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11,685,601</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12,020,950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(PIK 2.50%)</w:t>
            </w: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900" w:type="dxa"/>
            <w:vAlign w:val="bottom"/>
            <w:gridSpan w:val="2"/>
          </w:tcPr>
          <w:p>
            <w:pPr>
              <w:spacing w:after="0" w:line="138" w:lineRule="exact"/>
              <w:rPr>
                <w:sz w:val="20"/>
                <w:szCs w:val="20"/>
                <w:color w:val="auto"/>
              </w:rPr>
            </w:pPr>
            <w:r>
              <w:rPr>
                <w:rFonts w:ascii="Arial" w:cs="Arial" w:eastAsia="Arial" w:hAnsi="Arial"/>
                <w:sz w:val="13"/>
                <w:szCs w:val="13"/>
                <w:color w:val="auto"/>
              </w:rPr>
              <w:t>UP Support Services Inc.</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02/08/2015</w:t>
            </w: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3"/>
              </w:rPr>
              <w:t>Oil and Gas</w:t>
            </w:r>
          </w:p>
        </w:tc>
        <w:tc>
          <w:tcPr>
            <w:tcW w:w="96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19.50 %</w:t>
            </w:r>
          </w:p>
        </w:tc>
        <w:tc>
          <w:tcPr>
            <w:tcW w:w="84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29,152,826</w:t>
            </w:r>
          </w:p>
        </w:tc>
        <w:tc>
          <w:tcPr>
            <w:tcW w:w="180" w:type="dxa"/>
            <w:vAlign w:val="bottom"/>
          </w:tcPr>
          <w:p>
            <w:pPr>
              <w:spacing w:after="0"/>
              <w:rPr>
                <w:sz w:val="11"/>
                <w:szCs w:val="11"/>
                <w:color w:val="auto"/>
              </w:rPr>
            </w:pPr>
          </w:p>
        </w:tc>
        <w:tc>
          <w:tcPr>
            <w:tcW w:w="9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29,114,234</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19,532,393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(PIK 19.50%)</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9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Veritext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12/31/2015</w:t>
            </w: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0"/>
              </w:rPr>
              <w:t>Business Services</w:t>
            </w: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14.00 %</w:t>
            </w:r>
          </w:p>
        </w:tc>
        <w:tc>
          <w:tcPr>
            <w:tcW w:w="840" w:type="dxa"/>
            <w:vAlign w:val="bottom"/>
            <w:gridSpan w:val="2"/>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16,200,000</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15,883,636</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16,200,000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(PIK 3.00%)</w:t>
            </w: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Veritext Corp. </w:t>
            </w:r>
            <w:r>
              <w:rPr>
                <w:rFonts w:ascii="Arial" w:cs="Arial" w:eastAsia="Arial" w:hAnsi="Arial"/>
                <w:sz w:val="17"/>
                <w:szCs w:val="17"/>
                <w:color w:val="auto"/>
                <w:vertAlign w:val="superscript"/>
              </w:rPr>
              <w:t>(8)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12/31/2012</w:t>
            </w:r>
          </w:p>
        </w:tc>
        <w:tc>
          <w:tcPr>
            <w:tcW w:w="10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9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10,800,000</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10,530,000</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359,514,218</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353,670,000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b w:val="1"/>
                <w:bCs w:val="1"/>
                <w:color w:val="auto"/>
              </w:rPr>
              <w:t>Basis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Point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Spread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97"/>
              </w:rPr>
              <w:t>Current</w:t>
            </w: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Above</w:t>
            </w: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Par/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640" w:type="dxa"/>
            <w:vAlign w:val="bottom"/>
            <w:vMerge w:val="restart"/>
          </w:tcPr>
          <w:p>
            <w:pPr>
              <w:ind w:left="960"/>
              <w:spacing w:after="0"/>
              <w:rPr>
                <w:sz w:val="20"/>
                <w:szCs w:val="20"/>
                <w:color w:val="auto"/>
              </w:rPr>
            </w:pPr>
            <w:r>
              <w:rPr>
                <w:rFonts w:ascii="Arial" w:cs="Arial" w:eastAsia="Arial" w:hAnsi="Arial"/>
                <w:sz w:val="13"/>
                <w:szCs w:val="13"/>
                <w:b w:val="1"/>
                <w:bCs w:val="1"/>
                <w:color w:val="auto"/>
              </w:rPr>
              <w:t>Maturity</w:t>
            </w: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Industry</w:t>
            </w:r>
          </w:p>
        </w:tc>
        <w:tc>
          <w:tcPr>
            <w:tcW w:w="800" w:type="dxa"/>
            <w:vAlign w:val="bottom"/>
            <w:gridSpan w:val="2"/>
            <w:vMerge w:val="continue"/>
          </w:tcPr>
          <w:p>
            <w:pPr>
              <w:spacing w:after="0"/>
              <w:rPr>
                <w:sz w:val="11"/>
                <w:szCs w:val="11"/>
                <w:color w:val="auto"/>
              </w:rPr>
            </w:pPr>
          </w:p>
        </w:tc>
        <w:tc>
          <w:tcPr>
            <w:tcW w:w="66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9"/>
              </w:rPr>
              <w:t>Index</w:t>
            </w: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60"/>
              <w:spacing w:after="0" w:line="134"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8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9"/>
              </w:rPr>
              <w:t>Coupon</w:t>
            </w: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rPr>
              <w:t>(4)</w:t>
            </w:r>
          </w:p>
        </w:tc>
        <w:tc>
          <w:tcPr>
            <w:tcW w:w="24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254"/>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13"/>
                <w:szCs w:val="13"/>
                <w:b w:val="1"/>
                <w:bCs w:val="1"/>
                <w:color w:val="auto"/>
              </w:rPr>
              <w:t xml:space="preserve">Preferred Equity/Partnership Interests —1.3% </w:t>
            </w:r>
            <w:r>
              <w:rPr>
                <w:rFonts w:ascii="Arial" w:cs="Arial" w:eastAsia="Arial" w:hAnsi="Arial"/>
                <w:sz w:val="22"/>
                <w:szCs w:val="22"/>
                <w:b w:val="1"/>
                <w:bCs w:val="1"/>
                <w:color w:val="auto"/>
                <w:vertAlign w:val="superscript"/>
              </w:rPr>
              <w:t>(7)</w:t>
            </w:r>
          </w:p>
        </w:tc>
        <w:tc>
          <w:tcPr>
            <w:tcW w:w="16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3860" w:type="dxa"/>
            <w:vAlign w:val="bottom"/>
          </w:tcPr>
          <w:p>
            <w:pPr>
              <w:spacing w:after="0" w:line="138" w:lineRule="exact"/>
              <w:rPr>
                <w:sz w:val="20"/>
                <w:szCs w:val="20"/>
                <w:color w:val="auto"/>
              </w:rPr>
            </w:pPr>
            <w:r>
              <w:rPr>
                <w:rFonts w:ascii="Arial" w:cs="Arial" w:eastAsia="Arial" w:hAnsi="Arial"/>
                <w:sz w:val="13"/>
                <w:szCs w:val="13"/>
                <w:color w:val="auto"/>
              </w:rPr>
              <w:t>AH Holdings, Inc.</w:t>
            </w:r>
          </w:p>
        </w:tc>
        <w:tc>
          <w:tcPr>
            <w:tcW w:w="1640" w:type="dxa"/>
            <w:vAlign w:val="bottom"/>
          </w:tcPr>
          <w:p>
            <w:pPr>
              <w:ind w:left="1120"/>
              <w:spacing w:after="0" w:line="138"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3"/>
              </w:rPr>
              <w:t>Healthcare, Education</w:t>
            </w: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6.00%</w:t>
            </w:r>
          </w:p>
        </w:tc>
        <w:tc>
          <w:tcPr>
            <w:tcW w:w="66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211</w:t>
            </w:r>
          </w:p>
        </w:tc>
        <w:tc>
          <w:tcPr>
            <w:tcW w:w="26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500,000</w:t>
            </w:r>
          </w:p>
        </w:tc>
        <w:tc>
          <w:tcPr>
            <w:tcW w:w="14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623,379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60" w:type="dxa"/>
            <w:vAlign w:val="bottom"/>
          </w:tcPr>
          <w:p>
            <w:pPr>
              <w:ind w:left="220"/>
              <w:spacing w:after="0"/>
              <w:rPr>
                <w:sz w:val="20"/>
                <w:szCs w:val="20"/>
                <w:color w:val="auto"/>
              </w:rPr>
            </w:pPr>
            <w:r>
              <w:rPr>
                <w:rFonts w:ascii="Arial" w:cs="Arial" w:eastAsia="Arial" w:hAnsi="Arial"/>
                <w:sz w:val="13"/>
                <w:szCs w:val="13"/>
                <w:color w:val="auto"/>
              </w:rPr>
              <w:t>(American Surgical Holdings, Inc.)</w:t>
            </w:r>
          </w:p>
        </w:tc>
        <w:tc>
          <w:tcPr>
            <w:tcW w:w="164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and Childcare</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AHC Mezzanine, LLC (Advanstar, Inc.)</w:t>
            </w:r>
          </w:p>
        </w:tc>
        <w:tc>
          <w:tcPr>
            <w:tcW w:w="1640" w:type="dxa"/>
            <w:vAlign w:val="bottom"/>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Other Media</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318,896</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20"/>
                <w:szCs w:val="20"/>
                <w:color w:val="auto"/>
              </w:rPr>
            </w:pPr>
            <w:r>
              <w:rPr>
                <w:rFonts w:ascii="Arial" w:cs="Arial" w:eastAsia="Arial" w:hAnsi="Arial"/>
                <w:sz w:val="13"/>
                <w:szCs w:val="13"/>
                <w:color w:val="auto"/>
              </w:rPr>
              <w:t>HW Topco, Inc. (Hanley-Wood, LLC)</w:t>
            </w:r>
          </w:p>
        </w:tc>
        <w:tc>
          <w:tcPr>
            <w:tcW w:w="1640" w:type="dxa"/>
            <w:vAlign w:val="bottom"/>
          </w:tcPr>
          <w:p>
            <w:pPr>
              <w:ind w:left="1120"/>
              <w:spacing w:after="0"/>
              <w:rPr>
                <w:sz w:val="20"/>
                <w:szCs w:val="20"/>
                <w:color w:val="auto"/>
              </w:rPr>
            </w:pPr>
            <w:r>
              <w:rPr>
                <w:rFonts w:ascii="Arial" w:cs="Arial" w:eastAsia="Arial" w:hAnsi="Arial"/>
                <w:sz w:val="13"/>
                <w:szCs w:val="13"/>
                <w:color w:val="auto"/>
              </w:rPr>
              <w:t>—</w:t>
            </w: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Other Media</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8.00%</w:t>
            </w:r>
          </w:p>
        </w:tc>
        <w:tc>
          <w:tcPr>
            <w:tcW w:w="6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3,591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24,177</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25,868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CI (IHS) Investment Holdings, LLC</w:t>
            </w:r>
          </w:p>
        </w:tc>
        <w:tc>
          <w:tcPr>
            <w:tcW w:w="1640" w:type="dxa"/>
            <w:vAlign w:val="bottom"/>
            <w:shd w:val="clear" w:color="auto" w:fill="CCEEFF"/>
          </w:tcPr>
          <w:p>
            <w:pPr>
              <w:ind w:left="1120"/>
              <w:spacing w:after="0" w:line="138" w:lineRule="exact"/>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3"/>
              </w:rPr>
              <w:t>Healthcare, Education</w:t>
            </w:r>
          </w:p>
        </w:tc>
        <w:tc>
          <w:tcPr>
            <w:tcW w:w="8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8.00%</w:t>
            </w:r>
          </w:p>
        </w:tc>
        <w:tc>
          <w:tcPr>
            <w:tcW w:w="66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76,357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765,307</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980,762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and Childcare</w:t>
            </w: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60" w:type="dxa"/>
            <w:vAlign w:val="bottom"/>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(8)</w:t>
            </w:r>
          </w:p>
        </w:tc>
        <w:tc>
          <w:tcPr>
            <w:tcW w:w="1640" w:type="dxa"/>
            <w:vAlign w:val="bottom"/>
          </w:tcPr>
          <w:p>
            <w:pPr>
              <w:ind w:left="1120"/>
              <w:spacing w:after="0" w:line="138"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3"/>
              </w:rPr>
              <w:t>Healthcare, Education</w:t>
            </w:r>
          </w:p>
        </w:tc>
        <w:tc>
          <w:tcPr>
            <w:tcW w:w="80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38,179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382,654</w:t>
            </w:r>
          </w:p>
        </w:tc>
        <w:tc>
          <w:tcPr>
            <w:tcW w:w="140" w:type="dxa"/>
            <w:vAlign w:val="bottom"/>
          </w:tcPr>
          <w:p>
            <w:pPr>
              <w:spacing w:after="0"/>
              <w:rPr>
                <w:sz w:val="11"/>
                <w:szCs w:val="11"/>
                <w:color w:val="auto"/>
              </w:rPr>
            </w:pPr>
          </w:p>
        </w:tc>
        <w:tc>
          <w:tcPr>
            <w:tcW w:w="680" w:type="dxa"/>
            <w:vAlign w:val="bottom"/>
            <w:gridSpan w:val="2"/>
          </w:tcPr>
          <w:p>
            <w:pPr>
              <w:ind w:left="42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3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and Childcare</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PAS Tech Holdings, Inc., Series A-1</w:t>
            </w:r>
          </w:p>
        </w:tc>
        <w:tc>
          <w:tcPr>
            <w:tcW w:w="1640" w:type="dxa"/>
            <w:vAlign w:val="bottom"/>
            <w:shd w:val="clear" w:color="auto" w:fill="CCEEFF"/>
          </w:tcPr>
          <w:p>
            <w:pPr>
              <w:ind w:left="1120"/>
              <w:spacing w:after="0" w:line="138" w:lineRule="exact"/>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1"/>
              </w:rPr>
              <w:t>Aerospace and Defense</w:t>
            </w:r>
          </w:p>
        </w:tc>
        <w:tc>
          <w:tcPr>
            <w:tcW w:w="8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8.00%</w:t>
            </w:r>
          </w:p>
        </w:tc>
        <w:tc>
          <w:tcPr>
            <w:tcW w:w="66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1,980,000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1,421,407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(PAS Technologies, Inc.)</w:t>
            </w:r>
          </w:p>
        </w:tc>
        <w:tc>
          <w:tcPr>
            <w:tcW w:w="1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60" w:type="dxa"/>
            <w:vAlign w:val="bottom"/>
          </w:tcPr>
          <w:p>
            <w:pPr>
              <w:spacing w:after="0" w:line="138" w:lineRule="exact"/>
              <w:rPr>
                <w:sz w:val="20"/>
                <w:szCs w:val="20"/>
                <w:color w:val="auto"/>
              </w:rPr>
            </w:pPr>
            <w:r>
              <w:rPr>
                <w:rFonts w:ascii="Arial" w:cs="Arial" w:eastAsia="Arial" w:hAnsi="Arial"/>
                <w:sz w:val="13"/>
                <w:szCs w:val="13"/>
                <w:color w:val="auto"/>
              </w:rPr>
              <w:t>TZ Holdings, L.P., Series A</w:t>
            </w:r>
          </w:p>
        </w:tc>
        <w:tc>
          <w:tcPr>
            <w:tcW w:w="1640" w:type="dxa"/>
            <w:vAlign w:val="bottom"/>
          </w:tcPr>
          <w:p>
            <w:pPr>
              <w:ind w:left="1120"/>
              <w:spacing w:after="0" w:line="138"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1"/>
              </w:rPr>
              <w:t>Insurance</w:t>
            </w:r>
          </w:p>
        </w:tc>
        <w:tc>
          <w:tcPr>
            <w:tcW w:w="800" w:type="dxa"/>
            <w:vAlign w:val="bottom"/>
            <w:gridSpan w:val="2"/>
          </w:tcPr>
          <w:p>
            <w:pPr>
              <w:jc w:val="right"/>
              <w:ind w:right="400"/>
              <w:spacing w:after="0" w:line="138" w:lineRule="exact"/>
              <w:rPr>
                <w:sz w:val="20"/>
                <w:szCs w:val="20"/>
                <w:color w:val="auto"/>
              </w:rPr>
            </w:pPr>
            <w:r>
              <w:rPr>
                <w:rFonts w:ascii="Arial" w:cs="Arial" w:eastAsia="Arial" w:hAnsi="Arial"/>
                <w:sz w:val="13"/>
                <w:szCs w:val="13"/>
                <w:color w:val="auto"/>
              </w:rPr>
              <w:t>—</w:t>
            </w:r>
          </w:p>
        </w:tc>
        <w:tc>
          <w:tcPr>
            <w:tcW w:w="66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686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685,820</w:t>
            </w: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685,820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60" w:type="dxa"/>
            <w:vAlign w:val="bottom"/>
          </w:tcPr>
          <w:p>
            <w:pPr>
              <w:ind w:left="220"/>
              <w:spacing w:after="0"/>
              <w:rPr>
                <w:sz w:val="20"/>
                <w:szCs w:val="20"/>
                <w:color w:val="auto"/>
              </w:rPr>
            </w:pPr>
            <w:r>
              <w:rPr>
                <w:rFonts w:ascii="Arial" w:cs="Arial" w:eastAsia="Arial" w:hAnsi="Arial"/>
                <w:sz w:val="13"/>
                <w:szCs w:val="13"/>
                <w:color w:val="auto"/>
              </w:rPr>
              <w:t>(Trizetto Group, Inc.)</w:t>
            </w:r>
          </w:p>
        </w:tc>
        <w:tc>
          <w:tcPr>
            <w:tcW w:w="1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TZ Holdings, L.P., Series B</w:t>
            </w:r>
          </w:p>
        </w:tc>
        <w:tc>
          <w:tcPr>
            <w:tcW w:w="1640" w:type="dxa"/>
            <w:vAlign w:val="bottom"/>
            <w:shd w:val="clear" w:color="auto" w:fill="CCEEFF"/>
          </w:tcPr>
          <w:p>
            <w:pPr>
              <w:ind w:left="1120"/>
              <w:spacing w:after="0" w:line="138" w:lineRule="exact"/>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1"/>
              </w:rPr>
              <w:t>Insurance</w:t>
            </w:r>
          </w:p>
        </w:tc>
        <w:tc>
          <w:tcPr>
            <w:tcW w:w="8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6.50%</w:t>
            </w:r>
          </w:p>
        </w:tc>
        <w:tc>
          <w:tcPr>
            <w:tcW w:w="66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1,312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1,312,006</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1,623,922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(Trizetto Group, Inc.)</w:t>
            </w:r>
          </w:p>
        </w:tc>
        <w:tc>
          <w:tcPr>
            <w:tcW w:w="1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60" w:type="dxa"/>
            <w:vAlign w:val="bottom"/>
          </w:tcPr>
          <w:p>
            <w:pPr>
              <w:spacing w:after="0" w:line="138" w:lineRule="exact"/>
              <w:rPr>
                <w:sz w:val="20"/>
                <w:szCs w:val="20"/>
                <w:color w:val="auto"/>
              </w:rPr>
            </w:pPr>
            <w:r>
              <w:rPr>
                <w:rFonts w:ascii="Arial" w:cs="Arial" w:eastAsia="Arial" w:hAnsi="Arial"/>
                <w:sz w:val="13"/>
                <w:szCs w:val="13"/>
                <w:color w:val="auto"/>
              </w:rPr>
              <w:t>Universal Pegasus International, Inc.</w:t>
            </w:r>
          </w:p>
        </w:tc>
        <w:tc>
          <w:tcPr>
            <w:tcW w:w="1640" w:type="dxa"/>
            <w:vAlign w:val="bottom"/>
          </w:tcPr>
          <w:p>
            <w:pPr>
              <w:ind w:left="1120"/>
              <w:spacing w:after="0" w:line="138"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3"/>
              </w:rPr>
              <w:t>Oil and Gas</w:t>
            </w: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8.00%</w:t>
            </w:r>
          </w:p>
        </w:tc>
        <w:tc>
          <w:tcPr>
            <w:tcW w:w="66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101,175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2,738,050</w:t>
            </w:r>
          </w:p>
        </w:tc>
        <w:tc>
          <w:tcPr>
            <w:tcW w:w="140" w:type="dxa"/>
            <w:vAlign w:val="bottom"/>
          </w:tcPr>
          <w:p>
            <w:pPr>
              <w:spacing w:after="0"/>
              <w:rPr>
                <w:sz w:val="11"/>
                <w:szCs w:val="11"/>
                <w:color w:val="auto"/>
              </w:rPr>
            </w:pPr>
          </w:p>
        </w:tc>
        <w:tc>
          <w:tcPr>
            <w:tcW w:w="680" w:type="dxa"/>
            <w:vAlign w:val="bottom"/>
            <w:gridSpan w:val="2"/>
          </w:tcPr>
          <w:p>
            <w:pPr>
              <w:ind w:left="42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3860" w:type="dxa"/>
            <w:vAlign w:val="bottom"/>
          </w:tcPr>
          <w:p>
            <w:pPr>
              <w:ind w:left="220"/>
              <w:spacing w:after="0"/>
              <w:rPr>
                <w:sz w:val="20"/>
                <w:szCs w:val="20"/>
                <w:color w:val="auto"/>
              </w:rPr>
            </w:pPr>
            <w:r>
              <w:rPr>
                <w:rFonts w:ascii="Arial" w:cs="Arial" w:eastAsia="Arial" w:hAnsi="Arial"/>
                <w:sz w:val="13"/>
                <w:szCs w:val="13"/>
                <w:color w:val="auto"/>
              </w:rPr>
              <w:t>(UP Support Services, Inc.)</w:t>
            </w:r>
          </w:p>
        </w:tc>
        <w:tc>
          <w:tcPr>
            <w:tcW w:w="1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Verde Parent Holdings, Inc.</w:t>
            </w:r>
          </w:p>
        </w:tc>
        <w:tc>
          <w:tcPr>
            <w:tcW w:w="1640" w:type="dxa"/>
            <w:vAlign w:val="bottom"/>
            <w:shd w:val="clear" w:color="auto" w:fill="CCEEFF"/>
          </w:tcPr>
          <w:p>
            <w:pPr>
              <w:ind w:left="1120"/>
              <w:spacing w:after="0" w:line="138" w:lineRule="exact"/>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2"/>
              </w:rPr>
              <w:t>Personal Transportation</w:t>
            </w:r>
          </w:p>
        </w:tc>
        <w:tc>
          <w:tcPr>
            <w:tcW w:w="8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8.00%</w:t>
            </w:r>
          </w:p>
        </w:tc>
        <w:tc>
          <w:tcPr>
            <w:tcW w:w="66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6"/>
              </w:rPr>
              <w:t>1,824,167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1,824,167</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2,061,678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(VPSI, Inc.)</w:t>
            </w:r>
          </w:p>
        </w:tc>
        <w:tc>
          <w:tcPr>
            <w:tcW w:w="16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459" w:right="339" w:bottom="1440" w:gutter="0" w:footer="0" w:header="0"/>
        </w:sectPr>
      </w:pPr>
    </w:p>
    <w:tbl>
      <w:tblPr>
        <w:tblLayout w:type="fixed"/>
        <w:tblInd w:w="0" w:type="dxa"/>
        <w:tblCellMar>
          <w:top w:w="0" w:type="dxa"/>
          <w:left w:w="0" w:type="dxa"/>
          <w:bottom w:w="0" w:type="dxa"/>
          <w:right w:w="0" w:type="dxa"/>
        </w:tblCellMar>
      </w:tblPr>
      <w:tr>
        <w:trPr>
          <w:trHeight w:val="157"/>
        </w:trPr>
        <w:tc>
          <w:tcPr>
            <w:tcW w:w="4500" w:type="dxa"/>
            <w:vAlign w:val="bottom"/>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880" w:type="dxa"/>
            <w:vAlign w:val="bottom"/>
          </w:tcPr>
          <w:p>
            <w:pPr>
              <w:spacing w:after="0"/>
              <w:rPr>
                <w:sz w:val="13"/>
                <w:szCs w:val="13"/>
                <w:color w:val="auto"/>
              </w:rPr>
            </w:pPr>
          </w:p>
        </w:tc>
      </w:tr>
      <w:tr>
        <w:trPr>
          <w:trHeight w:val="153"/>
        </w:trPr>
        <w:tc>
          <w:tcPr>
            <w:tcW w:w="4500" w:type="dxa"/>
            <w:vAlign w:val="bottom"/>
          </w:tcPr>
          <w:p>
            <w:pPr>
              <w:spacing w:after="0" w:line="153" w:lineRule="exact"/>
              <w:rPr>
                <w:sz w:val="20"/>
                <w:szCs w:val="20"/>
                <w:color w:val="auto"/>
              </w:rPr>
            </w:pPr>
            <w:r>
              <w:rPr>
                <w:rFonts w:ascii="Arial" w:cs="Arial" w:eastAsia="Arial" w:hAnsi="Arial"/>
                <w:sz w:val="11"/>
                <w:szCs w:val="11"/>
                <w:b w:val="1"/>
                <w:bCs w:val="1"/>
                <w:color w:val="auto"/>
              </w:rPr>
              <w:t>Common Equity/Warrants/Partnership Interests—9.9%</w:t>
            </w:r>
            <w:r>
              <w:rPr>
                <w:rFonts w:ascii="Arial" w:cs="Arial" w:eastAsia="Arial" w:hAnsi="Arial"/>
                <w:sz w:val="17"/>
                <w:szCs w:val="17"/>
                <w:b w:val="1"/>
                <w:bCs w:val="1"/>
                <w:color w:val="auto"/>
                <w:vertAlign w:val="superscript"/>
              </w:rPr>
              <w:t>(7)</w:t>
            </w:r>
          </w:p>
        </w:tc>
        <w:tc>
          <w:tcPr>
            <w:tcW w:w="880" w:type="dxa"/>
            <w:vAlign w:val="bottom"/>
          </w:tcPr>
          <w:p>
            <w:pPr>
              <w:spacing w:after="0"/>
              <w:rPr>
                <w:sz w:val="13"/>
                <w:szCs w:val="13"/>
                <w:color w:val="auto"/>
              </w:rPr>
            </w:pPr>
          </w:p>
        </w:tc>
      </w:tr>
      <w:tr>
        <w:trPr>
          <w:trHeight w:val="165"/>
        </w:trPr>
        <w:tc>
          <w:tcPr>
            <w:tcW w:w="4500" w:type="dxa"/>
            <w:vAlign w:val="bottom"/>
          </w:tcPr>
          <w:p>
            <w:pPr>
              <w:spacing w:after="0" w:line="164" w:lineRule="exact"/>
              <w:rPr>
                <w:sz w:val="20"/>
                <w:szCs w:val="20"/>
                <w:color w:val="auto"/>
              </w:rPr>
            </w:pPr>
            <w:r>
              <w:rPr>
                <w:rFonts w:ascii="Arial" w:cs="Arial" w:eastAsia="Arial" w:hAnsi="Arial"/>
                <w:sz w:val="12"/>
                <w:szCs w:val="12"/>
                <w:color w:val="auto"/>
              </w:rPr>
              <w:t xml:space="preserve">Acentia, LLC, Class A Units </w:t>
            </w:r>
            <w:r>
              <w:rPr>
                <w:rFonts w:ascii="Arial" w:cs="Arial" w:eastAsia="Arial" w:hAnsi="Arial"/>
                <w:sz w:val="19"/>
                <w:szCs w:val="19"/>
                <w:color w:val="auto"/>
                <w:vertAlign w:val="superscript"/>
              </w:rPr>
              <w:t>(12)</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48"/>
        </w:trPr>
        <w:tc>
          <w:tcPr>
            <w:tcW w:w="4500" w:type="dxa"/>
            <w:vAlign w:val="bottom"/>
          </w:tcPr>
          <w:p>
            <w:pPr>
              <w:spacing w:after="0"/>
              <w:rPr>
                <w:sz w:val="20"/>
                <w:szCs w:val="20"/>
                <w:color w:val="auto"/>
              </w:rPr>
            </w:pPr>
            <w:r>
              <w:rPr>
                <w:rFonts w:ascii="Arial" w:cs="Arial" w:eastAsia="Arial" w:hAnsi="Arial"/>
                <w:sz w:val="13"/>
                <w:szCs w:val="13"/>
                <w:color w:val="auto"/>
              </w:rPr>
              <w:t>AH Holdings, Inc.</w:t>
            </w:r>
          </w:p>
        </w:tc>
        <w:tc>
          <w:tcPr>
            <w:tcW w:w="880" w:type="dxa"/>
            <w:vAlign w:val="bottom"/>
          </w:tcPr>
          <w:p>
            <w:pPr>
              <w:ind w:left="260"/>
              <w:spacing w:after="0"/>
              <w:rPr>
                <w:sz w:val="20"/>
                <w:szCs w:val="20"/>
                <w:color w:val="auto"/>
              </w:rPr>
            </w:pPr>
            <w:r>
              <w:rPr>
                <w:rFonts w:ascii="Arial" w:cs="Arial" w:eastAsia="Arial" w:hAnsi="Arial"/>
                <w:sz w:val="13"/>
                <w:szCs w:val="13"/>
                <w:color w:val="auto"/>
                <w:w w:val="92"/>
              </w:rPr>
              <w:t>03/23/2021</w:t>
            </w:r>
          </w:p>
        </w:tc>
      </w:tr>
      <w:tr>
        <w:trPr>
          <w:trHeight w:val="149"/>
        </w:trPr>
        <w:tc>
          <w:tcPr>
            <w:tcW w:w="4500" w:type="dxa"/>
            <w:vAlign w:val="bottom"/>
          </w:tcPr>
          <w:p>
            <w:pPr>
              <w:ind w:left="220"/>
              <w:spacing w:after="0"/>
              <w:rPr>
                <w:sz w:val="20"/>
                <w:szCs w:val="20"/>
                <w:color w:val="auto"/>
              </w:rPr>
            </w:pPr>
            <w:r>
              <w:rPr>
                <w:rFonts w:ascii="Arial" w:cs="Arial" w:eastAsia="Arial" w:hAnsi="Arial"/>
                <w:sz w:val="13"/>
                <w:szCs w:val="13"/>
                <w:color w:val="auto"/>
              </w:rPr>
              <w:t>(American Surgical Holdings, Inc.) (Warrants)</w:t>
            </w:r>
          </w:p>
        </w:tc>
        <w:tc>
          <w:tcPr>
            <w:tcW w:w="880" w:type="dxa"/>
            <w:vAlign w:val="bottom"/>
          </w:tcPr>
          <w:p>
            <w:pPr>
              <w:spacing w:after="0"/>
              <w:rPr>
                <w:sz w:val="12"/>
                <w:szCs w:val="12"/>
                <w:color w:val="auto"/>
              </w:rPr>
            </w:pPr>
          </w:p>
        </w:tc>
      </w:tr>
      <w:tr>
        <w:trPr>
          <w:trHeight w:val="172"/>
        </w:trPr>
        <w:tc>
          <w:tcPr>
            <w:tcW w:w="4500" w:type="dxa"/>
            <w:vAlign w:val="bottom"/>
          </w:tcPr>
          <w:p>
            <w:pPr>
              <w:spacing w:after="0"/>
              <w:rPr>
                <w:sz w:val="20"/>
                <w:szCs w:val="20"/>
                <w:color w:val="auto"/>
              </w:rPr>
            </w:pPr>
            <w:r>
              <w:rPr>
                <w:rFonts w:ascii="Arial" w:cs="Arial" w:eastAsia="Arial" w:hAnsi="Arial"/>
                <w:sz w:val="13"/>
                <w:szCs w:val="13"/>
                <w:color w:val="auto"/>
              </w:rPr>
              <w:t>CEA Autumn Management, L.L.C.</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257"/>
        </w:trPr>
        <w:tc>
          <w:tcPr>
            <w:tcW w:w="4500" w:type="dxa"/>
            <w:vAlign w:val="bottom"/>
          </w:tcPr>
          <w:p>
            <w:pPr>
              <w:spacing w:after="0"/>
              <w:rPr>
                <w:sz w:val="20"/>
                <w:szCs w:val="20"/>
                <w:color w:val="auto"/>
              </w:rPr>
            </w:pPr>
            <w:r>
              <w:rPr>
                <w:rFonts w:ascii="Arial" w:cs="Arial" w:eastAsia="Arial" w:hAnsi="Arial"/>
                <w:sz w:val="13"/>
                <w:szCs w:val="13"/>
                <w:color w:val="auto"/>
              </w:rPr>
              <w:t>CI (Galls) Prime Investment Holdings, LLC</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65"/>
        </w:trPr>
        <w:tc>
          <w:tcPr>
            <w:tcW w:w="4500" w:type="dxa"/>
            <w:vAlign w:val="bottom"/>
          </w:tcPr>
          <w:p>
            <w:pPr>
              <w:ind w:left="220"/>
              <w:spacing w:after="0" w:line="164" w:lineRule="exact"/>
              <w:rPr>
                <w:sz w:val="20"/>
                <w:szCs w:val="20"/>
                <w:color w:val="auto"/>
              </w:rPr>
            </w:pPr>
            <w:r>
              <w:rPr>
                <w:rFonts w:ascii="Arial" w:cs="Arial" w:eastAsia="Arial" w:hAnsi="Arial"/>
                <w:sz w:val="12"/>
                <w:szCs w:val="12"/>
                <w:color w:val="auto"/>
              </w:rPr>
              <w:t xml:space="preserve">(Galls, LLC; Quartermaster Inc.) </w:t>
            </w:r>
            <w:r>
              <w:rPr>
                <w:rFonts w:ascii="Arial" w:cs="Arial" w:eastAsia="Arial" w:hAnsi="Arial"/>
                <w:sz w:val="19"/>
                <w:szCs w:val="19"/>
                <w:color w:val="auto"/>
                <w:vertAlign w:val="superscript"/>
              </w:rPr>
              <w:t>(11)</w:t>
            </w:r>
          </w:p>
        </w:tc>
        <w:tc>
          <w:tcPr>
            <w:tcW w:w="880" w:type="dxa"/>
            <w:vAlign w:val="bottom"/>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Arial" w:cs="Arial" w:eastAsia="Arial" w:hAnsi="Arial"/>
                <w:sz w:val="13"/>
                <w:szCs w:val="13"/>
                <w:color w:val="auto"/>
              </w:rPr>
              <w:t>CI (IHS) Investment Holdings, LLC</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399"/>
        </w:trPr>
        <w:tc>
          <w:tcPr>
            <w:tcW w:w="4500" w:type="dxa"/>
            <w:vAlign w:val="bottom"/>
          </w:tcPr>
          <w:p>
            <w:pPr>
              <w:spacing w:after="0"/>
              <w:rPr>
                <w:sz w:val="20"/>
                <w:szCs w:val="20"/>
                <w:color w:val="auto"/>
              </w:rPr>
            </w:pPr>
            <w:r>
              <w:rPr>
                <w:rFonts w:ascii="Arial" w:cs="Arial" w:eastAsia="Arial" w:hAnsi="Arial"/>
                <w:sz w:val="13"/>
                <w:szCs w:val="13"/>
                <w:color w:val="auto"/>
              </w:rPr>
              <w:t xml:space="preserve">CI (IHS) Investment Holdings, LLC </w:t>
            </w:r>
            <w:r>
              <w:rPr>
                <w:rFonts w:ascii="Arial" w:cs="Arial" w:eastAsia="Arial" w:hAnsi="Arial"/>
                <w:sz w:val="22"/>
                <w:szCs w:val="22"/>
                <w:color w:val="auto"/>
                <w:vertAlign w:val="superscript"/>
              </w:rPr>
              <w:t>(8)</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71"/>
        </w:trPr>
        <w:tc>
          <w:tcPr>
            <w:tcW w:w="4500" w:type="dxa"/>
            <w:vAlign w:val="bottom"/>
          </w:tcPr>
          <w:p>
            <w:pPr>
              <w:spacing w:after="0"/>
              <w:rPr>
                <w:sz w:val="20"/>
                <w:szCs w:val="20"/>
                <w:color w:val="auto"/>
              </w:rPr>
            </w:pPr>
            <w:r>
              <w:rPr>
                <w:rFonts w:ascii="Arial" w:cs="Arial" w:eastAsia="Arial" w:hAnsi="Arial"/>
                <w:sz w:val="13"/>
                <w:szCs w:val="13"/>
                <w:color w:val="auto"/>
              </w:rPr>
              <w:t>CT Technologies Holdings, LLC</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49"/>
        </w:trPr>
        <w:tc>
          <w:tcPr>
            <w:tcW w:w="4500" w:type="dxa"/>
            <w:vAlign w:val="bottom"/>
          </w:tcPr>
          <w:p>
            <w:pPr>
              <w:spacing w:after="0"/>
              <w:rPr>
                <w:sz w:val="20"/>
                <w:szCs w:val="20"/>
                <w:color w:val="auto"/>
              </w:rPr>
            </w:pPr>
            <w:r>
              <w:rPr>
                <w:rFonts w:ascii="Arial" w:cs="Arial" w:eastAsia="Arial" w:hAnsi="Arial"/>
                <w:sz w:val="13"/>
                <w:szCs w:val="13"/>
                <w:color w:val="auto"/>
              </w:rPr>
              <w:t>DirectBuy Investors, L.P.</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48"/>
        </w:trPr>
        <w:tc>
          <w:tcPr>
            <w:tcW w:w="4500" w:type="dxa"/>
            <w:vAlign w:val="bottom"/>
          </w:tcPr>
          <w:p>
            <w:pPr>
              <w:spacing w:after="0"/>
              <w:rPr>
                <w:sz w:val="20"/>
                <w:szCs w:val="20"/>
                <w:color w:val="auto"/>
              </w:rPr>
            </w:pPr>
            <w:r>
              <w:rPr>
                <w:rFonts w:ascii="Arial" w:cs="Arial" w:eastAsia="Arial" w:hAnsi="Arial"/>
                <w:sz w:val="13"/>
                <w:szCs w:val="13"/>
                <w:color w:val="auto"/>
              </w:rPr>
              <w:t>HW Topco, Inc. (Hanley-Wood, LLC)</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72"/>
        </w:trPr>
        <w:tc>
          <w:tcPr>
            <w:tcW w:w="4500" w:type="dxa"/>
            <w:vAlign w:val="bottom"/>
          </w:tcPr>
          <w:p>
            <w:pPr>
              <w:spacing w:after="0"/>
              <w:rPr>
                <w:sz w:val="20"/>
                <w:szCs w:val="20"/>
                <w:color w:val="auto"/>
              </w:rPr>
            </w:pPr>
            <w:r>
              <w:rPr>
                <w:rFonts w:ascii="Arial" w:cs="Arial" w:eastAsia="Arial" w:hAnsi="Arial"/>
                <w:sz w:val="13"/>
                <w:szCs w:val="13"/>
                <w:color w:val="auto"/>
              </w:rPr>
              <w:t>Kadmon Holdings, LLC, Class A</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297"/>
        </w:trPr>
        <w:tc>
          <w:tcPr>
            <w:tcW w:w="4500" w:type="dxa"/>
            <w:vAlign w:val="bottom"/>
          </w:tcPr>
          <w:p>
            <w:pPr>
              <w:spacing w:after="0"/>
              <w:rPr>
                <w:sz w:val="20"/>
                <w:szCs w:val="20"/>
                <w:color w:val="auto"/>
              </w:rPr>
            </w:pPr>
            <w:r>
              <w:rPr>
                <w:rFonts w:ascii="Arial" w:cs="Arial" w:eastAsia="Arial" w:hAnsi="Arial"/>
                <w:sz w:val="13"/>
                <w:szCs w:val="13"/>
                <w:color w:val="auto"/>
              </w:rPr>
              <w:t>Kadmon Holdings, LLC, Class D</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273"/>
        </w:trPr>
        <w:tc>
          <w:tcPr>
            <w:tcW w:w="4500" w:type="dxa"/>
            <w:vAlign w:val="bottom"/>
          </w:tcPr>
          <w:p>
            <w:pPr>
              <w:spacing w:after="0"/>
              <w:rPr>
                <w:sz w:val="20"/>
                <w:szCs w:val="20"/>
                <w:color w:val="auto"/>
              </w:rPr>
            </w:pPr>
            <w:r>
              <w:rPr>
                <w:rFonts w:ascii="Arial" w:cs="Arial" w:eastAsia="Arial" w:hAnsi="Arial"/>
                <w:sz w:val="13"/>
                <w:szCs w:val="13"/>
                <w:color w:val="auto"/>
              </w:rPr>
              <w:t>Learning Care Group (US) Inc. (Warrants)</w:t>
            </w:r>
          </w:p>
        </w:tc>
        <w:tc>
          <w:tcPr>
            <w:tcW w:w="880" w:type="dxa"/>
            <w:vAlign w:val="bottom"/>
          </w:tcPr>
          <w:p>
            <w:pPr>
              <w:ind w:left="260"/>
              <w:spacing w:after="0"/>
              <w:rPr>
                <w:sz w:val="20"/>
                <w:szCs w:val="20"/>
                <w:color w:val="auto"/>
              </w:rPr>
            </w:pPr>
            <w:r>
              <w:rPr>
                <w:rFonts w:ascii="Arial" w:cs="Arial" w:eastAsia="Arial" w:hAnsi="Arial"/>
                <w:sz w:val="13"/>
                <w:szCs w:val="13"/>
                <w:color w:val="auto"/>
                <w:w w:val="92"/>
              </w:rPr>
              <w:t>04/27/2020</w:t>
            </w:r>
          </w:p>
        </w:tc>
      </w:tr>
      <w:tr>
        <w:trPr>
          <w:trHeight w:val="148"/>
        </w:trPr>
        <w:tc>
          <w:tcPr>
            <w:tcW w:w="4500" w:type="dxa"/>
            <w:vAlign w:val="bottom"/>
          </w:tcPr>
          <w:p>
            <w:pPr>
              <w:spacing w:after="0"/>
              <w:rPr>
                <w:sz w:val="20"/>
                <w:szCs w:val="20"/>
                <w:color w:val="auto"/>
              </w:rPr>
            </w:pPr>
            <w:r>
              <w:rPr>
                <w:rFonts w:ascii="Arial" w:cs="Arial" w:eastAsia="Arial" w:hAnsi="Arial"/>
                <w:sz w:val="13"/>
                <w:szCs w:val="13"/>
                <w:color w:val="auto"/>
              </w:rPr>
              <w:t>Magnum Hunter Resources Corporation</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49"/>
        </w:trPr>
        <w:tc>
          <w:tcPr>
            <w:tcW w:w="4500" w:type="dxa"/>
            <w:vAlign w:val="bottom"/>
          </w:tcPr>
          <w:p>
            <w:pPr>
              <w:ind w:left="220"/>
              <w:spacing w:after="0"/>
              <w:rPr>
                <w:sz w:val="20"/>
                <w:szCs w:val="20"/>
                <w:color w:val="auto"/>
              </w:rPr>
            </w:pPr>
            <w:r>
              <w:rPr>
                <w:rFonts w:ascii="Arial" w:cs="Arial" w:eastAsia="Arial" w:hAnsi="Arial"/>
                <w:sz w:val="13"/>
                <w:szCs w:val="13"/>
                <w:color w:val="auto"/>
              </w:rPr>
              <w:t>(Eureka Hunter Pipeline, LLC)</w:t>
            </w:r>
          </w:p>
        </w:tc>
        <w:tc>
          <w:tcPr>
            <w:tcW w:w="880" w:type="dxa"/>
            <w:vAlign w:val="bottom"/>
          </w:tcPr>
          <w:p>
            <w:pPr>
              <w:spacing w:after="0"/>
              <w:rPr>
                <w:sz w:val="12"/>
                <w:szCs w:val="12"/>
                <w:color w:val="auto"/>
              </w:rPr>
            </w:pPr>
          </w:p>
        </w:tc>
      </w:tr>
      <w:tr>
        <w:trPr>
          <w:trHeight w:val="148"/>
        </w:trPr>
        <w:tc>
          <w:tcPr>
            <w:tcW w:w="4500" w:type="dxa"/>
            <w:vAlign w:val="bottom"/>
          </w:tcPr>
          <w:p>
            <w:pPr>
              <w:spacing w:after="0"/>
              <w:rPr>
                <w:sz w:val="20"/>
                <w:szCs w:val="20"/>
                <w:color w:val="auto"/>
              </w:rPr>
            </w:pPr>
            <w:r>
              <w:rPr>
                <w:rFonts w:ascii="Arial" w:cs="Arial" w:eastAsia="Arial" w:hAnsi="Arial"/>
                <w:sz w:val="13"/>
                <w:szCs w:val="13"/>
                <w:color w:val="auto"/>
              </w:rPr>
              <w:t>Magnum Hunter Resources Corporation (Warrants)</w:t>
            </w:r>
          </w:p>
        </w:tc>
        <w:tc>
          <w:tcPr>
            <w:tcW w:w="880" w:type="dxa"/>
            <w:vAlign w:val="bottom"/>
          </w:tcPr>
          <w:p>
            <w:pPr>
              <w:ind w:left="260"/>
              <w:spacing w:after="0"/>
              <w:rPr>
                <w:sz w:val="20"/>
                <w:szCs w:val="20"/>
                <w:color w:val="auto"/>
              </w:rPr>
            </w:pPr>
            <w:r>
              <w:rPr>
                <w:rFonts w:ascii="Arial" w:cs="Arial" w:eastAsia="Arial" w:hAnsi="Arial"/>
                <w:sz w:val="13"/>
                <w:szCs w:val="13"/>
                <w:color w:val="auto"/>
                <w:w w:val="92"/>
              </w:rPr>
              <w:t>10/14/2013</w:t>
            </w:r>
          </w:p>
        </w:tc>
      </w:tr>
      <w:tr>
        <w:trPr>
          <w:trHeight w:val="149"/>
        </w:trPr>
        <w:tc>
          <w:tcPr>
            <w:tcW w:w="4500" w:type="dxa"/>
            <w:vAlign w:val="bottom"/>
          </w:tcPr>
          <w:p>
            <w:pPr>
              <w:ind w:left="220"/>
              <w:spacing w:after="0"/>
              <w:rPr>
                <w:sz w:val="20"/>
                <w:szCs w:val="20"/>
                <w:color w:val="auto"/>
              </w:rPr>
            </w:pPr>
            <w:r>
              <w:rPr>
                <w:rFonts w:ascii="Arial" w:cs="Arial" w:eastAsia="Arial" w:hAnsi="Arial"/>
                <w:sz w:val="13"/>
                <w:szCs w:val="13"/>
                <w:color w:val="auto"/>
              </w:rPr>
              <w:t>(Eureka Hunter Pipeline, LLC)</w:t>
            </w:r>
          </w:p>
        </w:tc>
        <w:tc>
          <w:tcPr>
            <w:tcW w:w="880" w:type="dxa"/>
            <w:vAlign w:val="bottom"/>
          </w:tcPr>
          <w:p>
            <w:pPr>
              <w:spacing w:after="0"/>
              <w:rPr>
                <w:sz w:val="12"/>
                <w:szCs w:val="12"/>
                <w:color w:val="auto"/>
              </w:rPr>
            </w:pPr>
          </w:p>
        </w:tc>
      </w:tr>
      <w:tr>
        <w:trPr>
          <w:trHeight w:val="148"/>
        </w:trPr>
        <w:tc>
          <w:tcPr>
            <w:tcW w:w="4500" w:type="dxa"/>
            <w:vAlign w:val="bottom"/>
          </w:tcPr>
          <w:p>
            <w:pPr>
              <w:spacing w:after="0"/>
              <w:rPr>
                <w:sz w:val="20"/>
                <w:szCs w:val="20"/>
                <w:color w:val="auto"/>
              </w:rPr>
            </w:pPr>
            <w:r>
              <w:rPr>
                <w:rFonts w:ascii="Arial" w:cs="Arial" w:eastAsia="Arial" w:hAnsi="Arial"/>
                <w:sz w:val="13"/>
                <w:szCs w:val="13"/>
                <w:color w:val="auto"/>
              </w:rPr>
              <w:t>MidOcean JF Holdings Corp.</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48"/>
        </w:trPr>
        <w:tc>
          <w:tcPr>
            <w:tcW w:w="4500" w:type="dxa"/>
            <w:vAlign w:val="bottom"/>
          </w:tcPr>
          <w:p>
            <w:pPr>
              <w:ind w:left="220"/>
              <w:spacing w:after="0"/>
              <w:rPr>
                <w:sz w:val="20"/>
                <w:szCs w:val="20"/>
                <w:color w:val="auto"/>
              </w:rPr>
            </w:pPr>
            <w:r>
              <w:rPr>
                <w:rFonts w:ascii="Arial" w:cs="Arial" w:eastAsia="Arial" w:hAnsi="Arial"/>
                <w:sz w:val="13"/>
                <w:szCs w:val="13"/>
                <w:color w:val="auto"/>
              </w:rPr>
              <w:t>(JF Acquisition, LLC)</w:t>
            </w:r>
          </w:p>
        </w:tc>
        <w:tc>
          <w:tcPr>
            <w:tcW w:w="880" w:type="dxa"/>
            <w:vAlign w:val="bottom"/>
          </w:tcPr>
          <w:p>
            <w:pPr>
              <w:spacing w:after="0"/>
              <w:rPr>
                <w:sz w:val="12"/>
                <w:szCs w:val="12"/>
                <w:color w:val="auto"/>
              </w:rPr>
            </w:pPr>
          </w:p>
        </w:tc>
      </w:tr>
      <w:tr>
        <w:trPr>
          <w:trHeight w:val="149"/>
        </w:trPr>
        <w:tc>
          <w:tcPr>
            <w:tcW w:w="4500" w:type="dxa"/>
            <w:vAlign w:val="bottom"/>
          </w:tcPr>
          <w:p>
            <w:pPr>
              <w:spacing w:after="0"/>
              <w:rPr>
                <w:sz w:val="20"/>
                <w:szCs w:val="20"/>
                <w:color w:val="auto"/>
              </w:rPr>
            </w:pPr>
            <w:r>
              <w:rPr>
                <w:rFonts w:ascii="Arial" w:cs="Arial" w:eastAsia="Arial" w:hAnsi="Arial"/>
                <w:sz w:val="13"/>
                <w:szCs w:val="13"/>
                <w:color w:val="auto"/>
              </w:rPr>
              <w:t>MidOcean PPL Holdings, Inc.</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48"/>
        </w:trPr>
        <w:tc>
          <w:tcPr>
            <w:tcW w:w="4500" w:type="dxa"/>
            <w:vAlign w:val="bottom"/>
          </w:tcPr>
          <w:p>
            <w:pPr>
              <w:ind w:left="220"/>
              <w:spacing w:after="0"/>
              <w:rPr>
                <w:sz w:val="20"/>
                <w:szCs w:val="20"/>
                <w:color w:val="auto"/>
              </w:rPr>
            </w:pPr>
            <w:r>
              <w:rPr>
                <w:rFonts w:ascii="Arial" w:cs="Arial" w:eastAsia="Arial" w:hAnsi="Arial"/>
                <w:sz w:val="13"/>
                <w:szCs w:val="13"/>
                <w:color w:val="auto"/>
              </w:rPr>
              <w:t>(Pre-Paid Legal Services, Inc.)</w:t>
            </w:r>
          </w:p>
        </w:tc>
        <w:tc>
          <w:tcPr>
            <w:tcW w:w="880" w:type="dxa"/>
            <w:vAlign w:val="bottom"/>
          </w:tcPr>
          <w:p>
            <w:pPr>
              <w:spacing w:after="0"/>
              <w:rPr>
                <w:sz w:val="12"/>
                <w:szCs w:val="12"/>
                <w:color w:val="auto"/>
              </w:rPr>
            </w:pPr>
          </w:p>
        </w:tc>
      </w:tr>
      <w:tr>
        <w:trPr>
          <w:trHeight w:val="148"/>
        </w:trPr>
        <w:tc>
          <w:tcPr>
            <w:tcW w:w="4500" w:type="dxa"/>
            <w:vAlign w:val="bottom"/>
          </w:tcPr>
          <w:p>
            <w:pPr>
              <w:spacing w:after="0"/>
              <w:rPr>
                <w:sz w:val="20"/>
                <w:szCs w:val="20"/>
                <w:color w:val="auto"/>
              </w:rPr>
            </w:pPr>
            <w:r>
              <w:rPr>
                <w:rFonts w:ascii="Arial" w:cs="Arial" w:eastAsia="Arial" w:hAnsi="Arial"/>
                <w:sz w:val="13"/>
                <w:szCs w:val="13"/>
                <w:color w:val="auto"/>
              </w:rPr>
              <w:t>Paradigm Acquisition Corp.</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49"/>
        </w:trPr>
        <w:tc>
          <w:tcPr>
            <w:tcW w:w="4500" w:type="dxa"/>
            <w:vAlign w:val="bottom"/>
          </w:tcPr>
          <w:p>
            <w:pPr>
              <w:ind w:left="220"/>
              <w:spacing w:after="0"/>
              <w:rPr>
                <w:sz w:val="20"/>
                <w:szCs w:val="20"/>
                <w:color w:val="auto"/>
              </w:rPr>
            </w:pPr>
            <w:r>
              <w:rPr>
                <w:rFonts w:ascii="Arial" w:cs="Arial" w:eastAsia="Arial" w:hAnsi="Arial"/>
                <w:sz w:val="13"/>
                <w:szCs w:val="13"/>
                <w:color w:val="auto"/>
              </w:rPr>
              <w:t>(Paradigm Management Services, LLC)</w:t>
            </w:r>
          </w:p>
        </w:tc>
        <w:tc>
          <w:tcPr>
            <w:tcW w:w="880" w:type="dxa"/>
            <w:vAlign w:val="bottom"/>
          </w:tcPr>
          <w:p>
            <w:pPr>
              <w:spacing w:after="0"/>
              <w:rPr>
                <w:sz w:val="12"/>
                <w:szCs w:val="12"/>
                <w:color w:val="auto"/>
              </w:rPr>
            </w:pPr>
          </w:p>
        </w:tc>
      </w:tr>
      <w:tr>
        <w:trPr>
          <w:trHeight w:val="148"/>
        </w:trPr>
        <w:tc>
          <w:tcPr>
            <w:tcW w:w="4500" w:type="dxa"/>
            <w:vAlign w:val="bottom"/>
          </w:tcPr>
          <w:p>
            <w:pPr>
              <w:spacing w:after="0"/>
              <w:rPr>
                <w:sz w:val="20"/>
                <w:szCs w:val="20"/>
                <w:color w:val="auto"/>
              </w:rPr>
            </w:pPr>
            <w:r>
              <w:rPr>
                <w:rFonts w:ascii="Arial" w:cs="Arial" w:eastAsia="Arial" w:hAnsi="Arial"/>
                <w:sz w:val="13"/>
                <w:szCs w:val="13"/>
                <w:color w:val="auto"/>
              </w:rPr>
              <w:t>PAS Tech Holdings, Inc.</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48"/>
        </w:trPr>
        <w:tc>
          <w:tcPr>
            <w:tcW w:w="4500" w:type="dxa"/>
            <w:vAlign w:val="bottom"/>
          </w:tcPr>
          <w:p>
            <w:pPr>
              <w:ind w:left="220"/>
              <w:spacing w:after="0"/>
              <w:rPr>
                <w:sz w:val="20"/>
                <w:szCs w:val="20"/>
                <w:color w:val="auto"/>
              </w:rPr>
            </w:pPr>
            <w:r>
              <w:rPr>
                <w:rFonts w:ascii="Arial" w:cs="Arial" w:eastAsia="Arial" w:hAnsi="Arial"/>
                <w:sz w:val="13"/>
                <w:szCs w:val="13"/>
                <w:color w:val="auto"/>
              </w:rPr>
              <w:t>(PAS Technologies, Inc.)</w:t>
            </w:r>
          </w:p>
        </w:tc>
        <w:tc>
          <w:tcPr>
            <w:tcW w:w="880" w:type="dxa"/>
            <w:vAlign w:val="bottom"/>
          </w:tcPr>
          <w:p>
            <w:pPr>
              <w:spacing w:after="0"/>
              <w:rPr>
                <w:sz w:val="12"/>
                <w:szCs w:val="12"/>
                <w:color w:val="auto"/>
              </w:rPr>
            </w:pPr>
          </w:p>
        </w:tc>
      </w:tr>
      <w:tr>
        <w:trPr>
          <w:trHeight w:val="149"/>
        </w:trPr>
        <w:tc>
          <w:tcPr>
            <w:tcW w:w="4500" w:type="dxa"/>
            <w:vAlign w:val="bottom"/>
          </w:tcPr>
          <w:p>
            <w:pPr>
              <w:spacing w:after="0"/>
              <w:rPr>
                <w:sz w:val="20"/>
                <w:szCs w:val="20"/>
                <w:color w:val="auto"/>
              </w:rPr>
            </w:pPr>
            <w:r>
              <w:rPr>
                <w:rFonts w:ascii="Arial" w:cs="Arial" w:eastAsia="Arial" w:hAnsi="Arial"/>
                <w:sz w:val="13"/>
                <w:szCs w:val="13"/>
                <w:color w:val="auto"/>
              </w:rPr>
              <w:t>QMG HoldCo, LLC, Class A</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48"/>
        </w:trPr>
        <w:tc>
          <w:tcPr>
            <w:tcW w:w="4500" w:type="dxa"/>
            <w:vAlign w:val="bottom"/>
          </w:tcPr>
          <w:p>
            <w:pPr>
              <w:ind w:left="220"/>
              <w:spacing w:after="0"/>
              <w:rPr>
                <w:sz w:val="20"/>
                <w:szCs w:val="20"/>
                <w:color w:val="auto"/>
              </w:rPr>
            </w:pPr>
            <w:r>
              <w:rPr>
                <w:rFonts w:ascii="Arial" w:cs="Arial" w:eastAsia="Arial" w:hAnsi="Arial"/>
                <w:sz w:val="13"/>
                <w:szCs w:val="13"/>
                <w:color w:val="auto"/>
              </w:rPr>
              <w:t>(Questex Media Group, Inc.)</w:t>
            </w:r>
          </w:p>
        </w:tc>
        <w:tc>
          <w:tcPr>
            <w:tcW w:w="880" w:type="dxa"/>
            <w:vAlign w:val="bottom"/>
          </w:tcPr>
          <w:p>
            <w:pPr>
              <w:spacing w:after="0"/>
              <w:rPr>
                <w:sz w:val="12"/>
                <w:szCs w:val="12"/>
                <w:color w:val="auto"/>
              </w:rPr>
            </w:pPr>
          </w:p>
        </w:tc>
      </w:tr>
      <w:tr>
        <w:trPr>
          <w:trHeight w:val="149"/>
        </w:trPr>
        <w:tc>
          <w:tcPr>
            <w:tcW w:w="4500" w:type="dxa"/>
            <w:vAlign w:val="bottom"/>
          </w:tcPr>
          <w:p>
            <w:pPr>
              <w:spacing w:after="0"/>
              <w:rPr>
                <w:sz w:val="20"/>
                <w:szCs w:val="20"/>
                <w:color w:val="auto"/>
              </w:rPr>
            </w:pPr>
            <w:r>
              <w:rPr>
                <w:rFonts w:ascii="Arial" w:cs="Arial" w:eastAsia="Arial" w:hAnsi="Arial"/>
                <w:sz w:val="13"/>
                <w:szCs w:val="13"/>
                <w:color w:val="auto"/>
              </w:rPr>
              <w:t>QMG HoldCo, LLC, Class B</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48"/>
        </w:trPr>
        <w:tc>
          <w:tcPr>
            <w:tcW w:w="4500" w:type="dxa"/>
            <w:vAlign w:val="bottom"/>
          </w:tcPr>
          <w:p>
            <w:pPr>
              <w:ind w:left="220"/>
              <w:spacing w:after="0"/>
              <w:rPr>
                <w:sz w:val="20"/>
                <w:szCs w:val="20"/>
                <w:color w:val="auto"/>
              </w:rPr>
            </w:pPr>
            <w:r>
              <w:rPr>
                <w:rFonts w:ascii="Arial" w:cs="Arial" w:eastAsia="Arial" w:hAnsi="Arial"/>
                <w:sz w:val="13"/>
                <w:szCs w:val="13"/>
                <w:color w:val="auto"/>
              </w:rPr>
              <w:t>(Questex Media Group, Inc.)</w:t>
            </w:r>
          </w:p>
        </w:tc>
        <w:tc>
          <w:tcPr>
            <w:tcW w:w="880" w:type="dxa"/>
            <w:vAlign w:val="bottom"/>
          </w:tcPr>
          <w:p>
            <w:pPr>
              <w:spacing w:after="0"/>
              <w:rPr>
                <w:sz w:val="12"/>
                <w:szCs w:val="12"/>
                <w:color w:val="auto"/>
              </w:rPr>
            </w:pPr>
          </w:p>
        </w:tc>
      </w:tr>
      <w:tr>
        <w:trPr>
          <w:trHeight w:val="148"/>
        </w:trPr>
        <w:tc>
          <w:tcPr>
            <w:tcW w:w="4500" w:type="dxa"/>
            <w:vAlign w:val="bottom"/>
          </w:tcPr>
          <w:p>
            <w:pPr>
              <w:spacing w:after="0"/>
              <w:rPr>
                <w:sz w:val="20"/>
                <w:szCs w:val="20"/>
                <w:color w:val="auto"/>
              </w:rPr>
            </w:pPr>
            <w:r>
              <w:rPr>
                <w:rFonts w:ascii="Arial" w:cs="Arial" w:eastAsia="Arial" w:hAnsi="Arial"/>
                <w:sz w:val="13"/>
                <w:szCs w:val="13"/>
                <w:color w:val="auto"/>
              </w:rPr>
              <w:t>Titan Private Holdings I, LLC – Class A</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49"/>
        </w:trPr>
        <w:tc>
          <w:tcPr>
            <w:tcW w:w="4500" w:type="dxa"/>
            <w:vAlign w:val="bottom"/>
          </w:tcPr>
          <w:p>
            <w:pPr>
              <w:ind w:left="220"/>
              <w:spacing w:after="0"/>
              <w:rPr>
                <w:sz w:val="20"/>
                <w:szCs w:val="20"/>
                <w:color w:val="auto"/>
              </w:rPr>
            </w:pPr>
            <w:r>
              <w:rPr>
                <w:rFonts w:ascii="Arial" w:cs="Arial" w:eastAsia="Arial" w:hAnsi="Arial"/>
                <w:sz w:val="13"/>
                <w:szCs w:val="13"/>
                <w:color w:val="auto"/>
              </w:rPr>
              <w:t>(Tekelec Global, Inc.)</w:t>
            </w:r>
          </w:p>
        </w:tc>
        <w:tc>
          <w:tcPr>
            <w:tcW w:w="880" w:type="dxa"/>
            <w:vAlign w:val="bottom"/>
          </w:tcPr>
          <w:p>
            <w:pPr>
              <w:spacing w:after="0"/>
              <w:rPr>
                <w:sz w:val="12"/>
                <w:szCs w:val="12"/>
                <w:color w:val="auto"/>
              </w:rPr>
            </w:pPr>
          </w:p>
        </w:tc>
      </w:tr>
      <w:tr>
        <w:trPr>
          <w:trHeight w:val="132"/>
        </w:trPr>
        <w:tc>
          <w:tcPr>
            <w:tcW w:w="4500" w:type="dxa"/>
            <w:vAlign w:val="bottom"/>
          </w:tcPr>
          <w:p>
            <w:pPr>
              <w:spacing w:after="0" w:line="133" w:lineRule="exact"/>
              <w:rPr>
                <w:sz w:val="20"/>
                <w:szCs w:val="20"/>
                <w:color w:val="auto"/>
              </w:rPr>
            </w:pPr>
            <w:r>
              <w:rPr>
                <w:rFonts w:ascii="Arial" w:cs="Arial" w:eastAsia="Arial" w:hAnsi="Arial"/>
                <w:sz w:val="13"/>
                <w:szCs w:val="13"/>
                <w:color w:val="auto"/>
              </w:rPr>
              <w:t>TRAK Acquisition Corp. (Warrants)</w:t>
            </w:r>
          </w:p>
        </w:tc>
        <w:tc>
          <w:tcPr>
            <w:tcW w:w="880" w:type="dxa"/>
            <w:vAlign w:val="bottom"/>
          </w:tcPr>
          <w:p>
            <w:pPr>
              <w:ind w:left="260"/>
              <w:spacing w:after="0" w:line="133" w:lineRule="exact"/>
              <w:rPr>
                <w:sz w:val="20"/>
                <w:szCs w:val="20"/>
                <w:color w:val="auto"/>
              </w:rPr>
            </w:pPr>
            <w:r>
              <w:rPr>
                <w:rFonts w:ascii="Arial" w:cs="Arial" w:eastAsia="Arial" w:hAnsi="Arial"/>
                <w:sz w:val="13"/>
                <w:szCs w:val="13"/>
                <w:color w:val="auto"/>
                <w:w w:val="92"/>
              </w:rPr>
              <w:t>12/29/2019</w:t>
            </w:r>
          </w:p>
        </w:tc>
      </w:tr>
      <w:tr>
        <w:trPr>
          <w:trHeight w:val="165"/>
        </w:trPr>
        <w:tc>
          <w:tcPr>
            <w:tcW w:w="4500" w:type="dxa"/>
            <w:vAlign w:val="bottom"/>
          </w:tcPr>
          <w:p>
            <w:pPr>
              <w:spacing w:after="0" w:line="164" w:lineRule="exact"/>
              <w:rPr>
                <w:sz w:val="20"/>
                <w:szCs w:val="20"/>
                <w:color w:val="auto"/>
              </w:rPr>
            </w:pPr>
            <w:r>
              <w:rPr>
                <w:rFonts w:ascii="Arial" w:cs="Arial" w:eastAsia="Arial" w:hAnsi="Arial"/>
                <w:sz w:val="12"/>
                <w:szCs w:val="12"/>
                <w:color w:val="auto"/>
              </w:rPr>
              <w:t xml:space="preserve">Transportation 100 Holdco, L.L.C. </w:t>
            </w:r>
            <w:r>
              <w:rPr>
                <w:rFonts w:ascii="Arial" w:cs="Arial" w:eastAsia="Arial" w:hAnsi="Arial"/>
                <w:sz w:val="19"/>
                <w:szCs w:val="19"/>
                <w:color w:val="auto"/>
                <w:vertAlign w:val="superscript"/>
              </w:rPr>
              <w:t>(10)</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49"/>
        </w:trPr>
        <w:tc>
          <w:tcPr>
            <w:tcW w:w="4500" w:type="dxa"/>
            <w:vAlign w:val="bottom"/>
          </w:tcPr>
          <w:p>
            <w:pPr>
              <w:ind w:left="220"/>
              <w:spacing w:after="0"/>
              <w:rPr>
                <w:sz w:val="20"/>
                <w:szCs w:val="20"/>
                <w:color w:val="auto"/>
              </w:rPr>
            </w:pPr>
            <w:r>
              <w:rPr>
                <w:rFonts w:ascii="Arial" w:cs="Arial" w:eastAsia="Arial" w:hAnsi="Arial"/>
                <w:sz w:val="13"/>
                <w:szCs w:val="13"/>
                <w:color w:val="auto"/>
              </w:rPr>
              <w:t>(Greatwide Logistics Services, L.L.C.)</w:t>
            </w:r>
          </w:p>
        </w:tc>
        <w:tc>
          <w:tcPr>
            <w:tcW w:w="880" w:type="dxa"/>
            <w:vAlign w:val="bottom"/>
          </w:tcPr>
          <w:p>
            <w:pPr>
              <w:spacing w:after="0"/>
              <w:rPr>
                <w:sz w:val="12"/>
                <w:szCs w:val="12"/>
                <w:color w:val="auto"/>
              </w:rPr>
            </w:pPr>
          </w:p>
        </w:tc>
      </w:tr>
      <w:tr>
        <w:trPr>
          <w:trHeight w:val="148"/>
        </w:trPr>
        <w:tc>
          <w:tcPr>
            <w:tcW w:w="4500" w:type="dxa"/>
            <w:vAlign w:val="bottom"/>
          </w:tcPr>
          <w:p>
            <w:pPr>
              <w:spacing w:after="0"/>
              <w:rPr>
                <w:sz w:val="20"/>
                <w:szCs w:val="20"/>
                <w:color w:val="auto"/>
              </w:rPr>
            </w:pPr>
            <w:r>
              <w:rPr>
                <w:rFonts w:ascii="Arial" w:cs="Arial" w:eastAsia="Arial" w:hAnsi="Arial"/>
                <w:sz w:val="13"/>
                <w:szCs w:val="13"/>
                <w:color w:val="auto"/>
              </w:rPr>
              <w:t>TZ Holdings, L.P.</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49"/>
        </w:trPr>
        <w:tc>
          <w:tcPr>
            <w:tcW w:w="4500" w:type="dxa"/>
            <w:vAlign w:val="bottom"/>
          </w:tcPr>
          <w:p>
            <w:pPr>
              <w:ind w:left="220"/>
              <w:spacing w:after="0"/>
              <w:rPr>
                <w:sz w:val="20"/>
                <w:szCs w:val="20"/>
                <w:color w:val="auto"/>
              </w:rPr>
            </w:pPr>
            <w:r>
              <w:rPr>
                <w:rFonts w:ascii="Arial" w:cs="Arial" w:eastAsia="Arial" w:hAnsi="Arial"/>
                <w:sz w:val="13"/>
                <w:szCs w:val="13"/>
                <w:color w:val="auto"/>
              </w:rPr>
              <w:t>(Trizetto Group, Inc.)</w:t>
            </w:r>
          </w:p>
        </w:tc>
        <w:tc>
          <w:tcPr>
            <w:tcW w:w="880" w:type="dxa"/>
            <w:vAlign w:val="bottom"/>
          </w:tcPr>
          <w:p>
            <w:pPr>
              <w:spacing w:after="0"/>
              <w:rPr>
                <w:sz w:val="12"/>
                <w:szCs w:val="12"/>
                <w:color w:val="auto"/>
              </w:rPr>
            </w:pPr>
          </w:p>
        </w:tc>
      </w:tr>
      <w:tr>
        <w:trPr>
          <w:trHeight w:val="149"/>
        </w:trPr>
        <w:tc>
          <w:tcPr>
            <w:tcW w:w="4500" w:type="dxa"/>
            <w:vAlign w:val="bottom"/>
          </w:tcPr>
          <w:p>
            <w:pPr>
              <w:spacing w:after="0"/>
              <w:rPr>
                <w:sz w:val="20"/>
                <w:szCs w:val="20"/>
                <w:color w:val="auto"/>
              </w:rPr>
            </w:pPr>
            <w:r>
              <w:rPr>
                <w:rFonts w:ascii="Arial" w:cs="Arial" w:eastAsia="Arial" w:hAnsi="Arial"/>
                <w:sz w:val="13"/>
                <w:szCs w:val="13"/>
                <w:color w:val="auto"/>
              </w:rPr>
              <w:t>Universal Pegasus International, Inc.</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49"/>
        </w:trPr>
        <w:tc>
          <w:tcPr>
            <w:tcW w:w="4500" w:type="dxa"/>
            <w:vAlign w:val="bottom"/>
          </w:tcPr>
          <w:p>
            <w:pPr>
              <w:ind w:left="220"/>
              <w:spacing w:after="0"/>
              <w:rPr>
                <w:sz w:val="20"/>
                <w:szCs w:val="20"/>
                <w:color w:val="auto"/>
              </w:rPr>
            </w:pPr>
            <w:r>
              <w:rPr>
                <w:rFonts w:ascii="Arial" w:cs="Arial" w:eastAsia="Arial" w:hAnsi="Arial"/>
                <w:sz w:val="13"/>
                <w:szCs w:val="13"/>
                <w:color w:val="auto"/>
              </w:rPr>
              <w:t>(UP Support Services, Inc.)</w:t>
            </w:r>
          </w:p>
        </w:tc>
        <w:tc>
          <w:tcPr>
            <w:tcW w:w="880" w:type="dxa"/>
            <w:vAlign w:val="bottom"/>
          </w:tcPr>
          <w:p>
            <w:pPr>
              <w:spacing w:after="0"/>
              <w:rPr>
                <w:sz w:val="12"/>
                <w:szCs w:val="12"/>
                <w:color w:val="auto"/>
              </w:rPr>
            </w:pPr>
          </w:p>
        </w:tc>
      </w:tr>
      <w:tr>
        <w:trPr>
          <w:trHeight w:val="148"/>
        </w:trPr>
        <w:tc>
          <w:tcPr>
            <w:tcW w:w="4500" w:type="dxa"/>
            <w:vAlign w:val="bottom"/>
          </w:tcPr>
          <w:p>
            <w:pPr>
              <w:spacing w:after="0"/>
              <w:rPr>
                <w:sz w:val="20"/>
                <w:szCs w:val="20"/>
                <w:color w:val="auto"/>
              </w:rPr>
            </w:pPr>
            <w:r>
              <w:rPr>
                <w:rFonts w:ascii="Arial" w:cs="Arial" w:eastAsia="Arial" w:hAnsi="Arial"/>
                <w:sz w:val="13"/>
                <w:szCs w:val="13"/>
                <w:color w:val="auto"/>
              </w:rPr>
              <w:t>Verde Parent Holdings, Inc.</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49"/>
        </w:trPr>
        <w:tc>
          <w:tcPr>
            <w:tcW w:w="4500" w:type="dxa"/>
            <w:vAlign w:val="bottom"/>
          </w:tcPr>
          <w:p>
            <w:pPr>
              <w:ind w:left="220"/>
              <w:spacing w:after="0"/>
              <w:rPr>
                <w:sz w:val="20"/>
                <w:szCs w:val="20"/>
                <w:color w:val="auto"/>
              </w:rPr>
            </w:pPr>
            <w:r>
              <w:rPr>
                <w:rFonts w:ascii="Arial" w:cs="Arial" w:eastAsia="Arial" w:hAnsi="Arial"/>
                <w:sz w:val="13"/>
                <w:szCs w:val="13"/>
                <w:color w:val="auto"/>
              </w:rPr>
              <w:t>(VPSI, Inc.)</w:t>
            </w:r>
          </w:p>
        </w:tc>
        <w:tc>
          <w:tcPr>
            <w:tcW w:w="880" w:type="dxa"/>
            <w:vAlign w:val="bottom"/>
          </w:tcPr>
          <w:p>
            <w:pPr>
              <w:spacing w:after="0"/>
              <w:rPr>
                <w:sz w:val="12"/>
                <w:szCs w:val="12"/>
                <w:color w:val="auto"/>
              </w:rPr>
            </w:pPr>
          </w:p>
        </w:tc>
      </w:tr>
      <w:tr>
        <w:trPr>
          <w:trHeight w:val="172"/>
        </w:trPr>
        <w:tc>
          <w:tcPr>
            <w:tcW w:w="4500" w:type="dxa"/>
            <w:vAlign w:val="bottom"/>
          </w:tcPr>
          <w:p>
            <w:pPr>
              <w:spacing w:after="0"/>
              <w:rPr>
                <w:sz w:val="20"/>
                <w:szCs w:val="20"/>
                <w:color w:val="auto"/>
              </w:rPr>
            </w:pPr>
            <w:r>
              <w:rPr>
                <w:rFonts w:ascii="Arial" w:cs="Arial" w:eastAsia="Arial" w:hAnsi="Arial"/>
                <w:sz w:val="13"/>
                <w:szCs w:val="13"/>
                <w:color w:val="auto"/>
              </w:rPr>
              <w:t>VText Holdings, Inc. (Veritext Corp.)</w:t>
            </w:r>
          </w:p>
        </w:tc>
        <w:tc>
          <w:tcPr>
            <w:tcW w:w="880" w:type="dxa"/>
            <w:vAlign w:val="bottom"/>
          </w:tcPr>
          <w:p>
            <w:pPr>
              <w:ind w:left="480"/>
              <w:spacing w:after="0"/>
              <w:rPr>
                <w:sz w:val="20"/>
                <w:szCs w:val="20"/>
                <w:color w:val="auto"/>
              </w:rPr>
            </w:pPr>
            <w:r>
              <w:rPr>
                <w:rFonts w:ascii="Arial" w:cs="Arial" w:eastAsia="Arial" w:hAnsi="Arial"/>
                <w:sz w:val="13"/>
                <w:szCs w:val="13"/>
                <w:color w:val="auto"/>
              </w:rPr>
              <w:t>—</w:t>
            </w:r>
          </w:p>
        </w:tc>
      </w:tr>
      <w:tr>
        <w:trPr>
          <w:trHeight w:val="175"/>
        </w:trPr>
        <w:tc>
          <w:tcPr>
            <w:tcW w:w="4500" w:type="dxa"/>
            <w:vAlign w:val="bottom"/>
          </w:tcPr>
          <w:p>
            <w:pPr>
              <w:spacing w:after="0"/>
              <w:rPr>
                <w:sz w:val="20"/>
                <w:szCs w:val="20"/>
                <w:color w:val="auto"/>
              </w:rPr>
            </w:pPr>
            <w:r>
              <w:rPr>
                <w:rFonts w:ascii="Arial" w:cs="Arial" w:eastAsia="Arial" w:hAnsi="Arial"/>
                <w:sz w:val="13"/>
                <w:szCs w:val="13"/>
                <w:b w:val="1"/>
                <w:bCs w:val="1"/>
                <w:color w:val="auto"/>
              </w:rPr>
              <w:t>Total Common Equity/Warrants/Partnership Interests</w:t>
            </w:r>
          </w:p>
        </w:tc>
        <w:tc>
          <w:tcPr>
            <w:tcW w:w="880" w:type="dxa"/>
            <w:vAlign w:val="bottom"/>
          </w:tcPr>
          <w:p>
            <w:pPr>
              <w:spacing w:after="0"/>
              <w:rPr>
                <w:sz w:val="15"/>
                <w:szCs w:val="15"/>
                <w:color w:val="auto"/>
              </w:rPr>
            </w:pPr>
          </w:p>
        </w:tc>
      </w:tr>
      <w:tr>
        <w:trPr>
          <w:trHeight w:val="176"/>
        </w:trPr>
        <w:tc>
          <w:tcPr>
            <w:tcW w:w="4500" w:type="dxa"/>
            <w:vAlign w:val="bottom"/>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8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1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10,531,077</w:t>
            </w: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7,422,836</w:t>
            </w:r>
          </w:p>
        </w:tc>
      </w:tr>
      <w:tr>
        <w:trPr>
          <w:trHeight w:val="293"/>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4"/>
              </w:rPr>
              <w:t>Electronics</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1,998</w:t>
            </w:r>
          </w:p>
        </w:tc>
        <w:tc>
          <w:tcPr>
            <w:tcW w:w="740" w:type="dxa"/>
            <w:vAlign w:val="bottom"/>
          </w:tcPr>
          <w:p>
            <w:pPr>
              <w:jc w:val="right"/>
              <w:spacing w:after="0"/>
              <w:rPr>
                <w:sz w:val="20"/>
                <w:szCs w:val="20"/>
                <w:color w:val="auto"/>
              </w:rPr>
            </w:pPr>
            <w:r>
              <w:rPr>
                <w:rFonts w:ascii="Arial" w:cs="Arial" w:eastAsia="Arial" w:hAnsi="Arial"/>
                <w:sz w:val="13"/>
                <w:szCs w:val="13"/>
                <w:color w:val="auto"/>
              </w:rPr>
              <w:t>2,000,000</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2,000,000</w:t>
            </w:r>
          </w:p>
        </w:tc>
      </w:tr>
      <w:tr>
        <w:trPr>
          <w:trHeight w:val="148"/>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3"/>
              </w:rPr>
              <w:t>Healthcare, Education</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753</w:t>
            </w:r>
          </w:p>
        </w:tc>
        <w:tc>
          <w:tcPr>
            <w:tcW w:w="98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2,092,725</w:t>
            </w:r>
          </w:p>
        </w:tc>
      </w:tr>
      <w:tr>
        <w:trPr>
          <w:trHeight w:val="149"/>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4"/>
              </w:rPr>
              <w:t>and Childcare</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1540" w:type="dxa"/>
            <w:vAlign w:val="bottom"/>
          </w:tcPr>
          <w:p>
            <w:pPr>
              <w:jc w:val="center"/>
              <w:ind w:right="173"/>
              <w:spacing w:after="0"/>
              <w:rPr>
                <w:sz w:val="20"/>
                <w:szCs w:val="20"/>
                <w:color w:val="auto"/>
              </w:rPr>
            </w:pPr>
            <w:r>
              <w:rPr>
                <w:rFonts w:ascii="Arial" w:cs="Arial" w:eastAsia="Arial" w:hAnsi="Arial"/>
                <w:sz w:val="13"/>
                <w:szCs w:val="13"/>
                <w:color w:val="auto"/>
                <w:w w:val="92"/>
              </w:rPr>
              <w:t>Broadcasting and</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1,333</w:t>
            </w:r>
          </w:p>
        </w:tc>
        <w:tc>
          <w:tcPr>
            <w:tcW w:w="740" w:type="dxa"/>
            <w:vAlign w:val="bottom"/>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tcPr>
          <w:p>
            <w:pPr>
              <w:spacing w:after="0"/>
              <w:rPr>
                <w:sz w:val="12"/>
                <w:szCs w:val="12"/>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149"/>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3"/>
              </w:rPr>
              <w:t>Entertainment</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2"/>
        </w:trPr>
        <w:tc>
          <w:tcPr>
            <w:tcW w:w="1540" w:type="dxa"/>
            <w:vAlign w:val="bottom"/>
          </w:tcPr>
          <w:p>
            <w:pPr>
              <w:jc w:val="center"/>
              <w:ind w:right="173"/>
              <w:spacing w:after="0"/>
              <w:rPr>
                <w:sz w:val="20"/>
                <w:szCs w:val="20"/>
                <w:color w:val="auto"/>
              </w:rPr>
            </w:pPr>
            <w:r>
              <w:rPr>
                <w:rFonts w:ascii="Arial" w:cs="Arial" w:eastAsia="Arial" w:hAnsi="Arial"/>
                <w:sz w:val="13"/>
                <w:szCs w:val="13"/>
                <w:color w:val="auto"/>
              </w:rPr>
              <w:t>Distribution</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1,505,000</w:t>
            </w:r>
          </w:p>
        </w:tc>
        <w:tc>
          <w:tcPr>
            <w:tcW w:w="740" w:type="dxa"/>
            <w:vAlign w:val="bottom"/>
          </w:tcPr>
          <w:p>
            <w:pPr>
              <w:jc w:val="right"/>
              <w:spacing w:after="0"/>
              <w:rPr>
                <w:sz w:val="20"/>
                <w:szCs w:val="20"/>
                <w:color w:val="auto"/>
              </w:rPr>
            </w:pPr>
            <w:r>
              <w:rPr>
                <w:rFonts w:ascii="Arial" w:cs="Arial" w:eastAsia="Arial" w:hAnsi="Arial"/>
                <w:sz w:val="13"/>
                <w:szCs w:val="13"/>
                <w:color w:val="auto"/>
              </w:rPr>
              <w:t>1,505,000</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1,505,000</w:t>
            </w:r>
          </w:p>
        </w:tc>
      </w:tr>
      <w:tr>
        <w:trPr>
          <w:trHeight w:val="273"/>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3"/>
              </w:rPr>
              <w:t>Healthcare, Education</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23,416</w:t>
            </w:r>
          </w:p>
        </w:tc>
        <w:tc>
          <w:tcPr>
            <w:tcW w:w="740" w:type="dxa"/>
            <w:vAlign w:val="bottom"/>
          </w:tcPr>
          <w:p>
            <w:pPr>
              <w:jc w:val="right"/>
              <w:spacing w:after="0"/>
              <w:rPr>
                <w:sz w:val="20"/>
                <w:szCs w:val="20"/>
                <w:color w:val="auto"/>
              </w:rPr>
            </w:pPr>
            <w:r>
              <w:rPr>
                <w:rFonts w:ascii="Arial" w:cs="Arial" w:eastAsia="Arial" w:hAnsi="Arial"/>
                <w:sz w:val="13"/>
                <w:szCs w:val="13"/>
                <w:color w:val="auto"/>
              </w:rPr>
              <w:t>234,693</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300,781</w:t>
            </w:r>
          </w:p>
        </w:tc>
      </w:tr>
      <w:tr>
        <w:trPr>
          <w:trHeight w:val="148"/>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4"/>
              </w:rPr>
              <w:t>and Childcare</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3"/>
              </w:rPr>
              <w:t>Healthcare, Education</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11,708</w:t>
            </w:r>
          </w:p>
        </w:tc>
        <w:tc>
          <w:tcPr>
            <w:tcW w:w="740" w:type="dxa"/>
            <w:vAlign w:val="bottom"/>
          </w:tcPr>
          <w:p>
            <w:pPr>
              <w:jc w:val="right"/>
              <w:spacing w:after="0"/>
              <w:rPr>
                <w:sz w:val="20"/>
                <w:szCs w:val="20"/>
                <w:color w:val="auto"/>
              </w:rPr>
            </w:pPr>
            <w:r>
              <w:rPr>
                <w:rFonts w:ascii="Arial" w:cs="Arial" w:eastAsia="Arial" w:hAnsi="Arial"/>
                <w:sz w:val="13"/>
                <w:szCs w:val="13"/>
                <w:color w:val="auto"/>
              </w:rPr>
              <w:t>117,346</w:t>
            </w:r>
          </w:p>
        </w:tc>
        <w:tc>
          <w:tcPr>
            <w:tcW w:w="240" w:type="dxa"/>
            <w:vAlign w:val="bottom"/>
          </w:tcPr>
          <w:p>
            <w:pPr>
              <w:spacing w:after="0"/>
              <w:rPr>
                <w:sz w:val="12"/>
                <w:szCs w:val="12"/>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148"/>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4"/>
              </w:rPr>
              <w:t>and Childcare</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1540" w:type="dxa"/>
            <w:vAlign w:val="bottom"/>
          </w:tcPr>
          <w:p>
            <w:pPr>
              <w:jc w:val="center"/>
              <w:ind w:right="173"/>
              <w:spacing w:after="0"/>
              <w:rPr>
                <w:sz w:val="20"/>
                <w:szCs w:val="20"/>
                <w:color w:val="auto"/>
              </w:rPr>
            </w:pPr>
            <w:r>
              <w:rPr>
                <w:rFonts w:ascii="Arial" w:cs="Arial" w:eastAsia="Arial" w:hAnsi="Arial"/>
                <w:sz w:val="13"/>
                <w:szCs w:val="13"/>
                <w:color w:val="auto"/>
                <w:w w:val="92"/>
              </w:rPr>
              <w:t>Business Services</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5,556</w:t>
            </w:r>
          </w:p>
        </w:tc>
        <w:tc>
          <w:tcPr>
            <w:tcW w:w="740" w:type="dxa"/>
            <w:vAlign w:val="bottom"/>
          </w:tcPr>
          <w:p>
            <w:pPr>
              <w:jc w:val="right"/>
              <w:spacing w:after="0"/>
              <w:rPr>
                <w:sz w:val="20"/>
                <w:szCs w:val="20"/>
                <w:color w:val="auto"/>
              </w:rPr>
            </w:pPr>
            <w:r>
              <w:rPr>
                <w:rFonts w:ascii="Arial" w:cs="Arial" w:eastAsia="Arial" w:hAnsi="Arial"/>
                <w:sz w:val="13"/>
                <w:szCs w:val="13"/>
                <w:color w:val="auto"/>
              </w:rPr>
              <w:t>2,277,209</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6,456,840</w:t>
            </w:r>
          </w:p>
        </w:tc>
      </w:tr>
      <w:tr>
        <w:trPr>
          <w:trHeight w:val="149"/>
        </w:trPr>
        <w:tc>
          <w:tcPr>
            <w:tcW w:w="1540" w:type="dxa"/>
            <w:vAlign w:val="bottom"/>
          </w:tcPr>
          <w:p>
            <w:pPr>
              <w:jc w:val="center"/>
              <w:ind w:right="173"/>
              <w:spacing w:after="0"/>
              <w:rPr>
                <w:sz w:val="20"/>
                <w:szCs w:val="20"/>
                <w:color w:val="auto"/>
              </w:rPr>
            </w:pPr>
            <w:r>
              <w:rPr>
                <w:rFonts w:ascii="Arial" w:cs="Arial" w:eastAsia="Arial" w:hAnsi="Arial"/>
                <w:sz w:val="13"/>
                <w:szCs w:val="13"/>
                <w:color w:val="auto"/>
                <w:w w:val="92"/>
              </w:rPr>
              <w:t>Consumer Products</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30,000</w:t>
            </w:r>
          </w:p>
        </w:tc>
        <w:tc>
          <w:tcPr>
            <w:tcW w:w="740" w:type="dxa"/>
            <w:vAlign w:val="bottom"/>
          </w:tcPr>
          <w:p>
            <w:pPr>
              <w:jc w:val="right"/>
              <w:spacing w:after="0"/>
              <w:rPr>
                <w:sz w:val="20"/>
                <w:szCs w:val="20"/>
                <w:color w:val="auto"/>
              </w:rPr>
            </w:pPr>
            <w:r>
              <w:rPr>
                <w:rFonts w:ascii="Arial" w:cs="Arial" w:eastAsia="Arial" w:hAnsi="Arial"/>
                <w:sz w:val="13"/>
                <w:szCs w:val="13"/>
                <w:color w:val="auto"/>
              </w:rPr>
              <w:t>1,350,000</w:t>
            </w:r>
          </w:p>
        </w:tc>
        <w:tc>
          <w:tcPr>
            <w:tcW w:w="240" w:type="dxa"/>
            <w:vAlign w:val="bottom"/>
          </w:tcPr>
          <w:p>
            <w:pPr>
              <w:spacing w:after="0"/>
              <w:rPr>
                <w:sz w:val="12"/>
                <w:szCs w:val="12"/>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148"/>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5"/>
              </w:rPr>
              <w:t>Other Media</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348,912</w:t>
            </w:r>
          </w:p>
        </w:tc>
        <w:tc>
          <w:tcPr>
            <w:tcW w:w="740" w:type="dxa"/>
            <w:vAlign w:val="bottom"/>
          </w:tcPr>
          <w:p>
            <w:pPr>
              <w:jc w:val="right"/>
              <w:spacing w:after="0"/>
              <w:rPr>
                <w:sz w:val="20"/>
                <w:szCs w:val="20"/>
                <w:color w:val="auto"/>
              </w:rPr>
            </w:pPr>
            <w:r>
              <w:rPr>
                <w:rFonts w:ascii="Arial" w:cs="Arial" w:eastAsia="Arial" w:hAnsi="Arial"/>
                <w:sz w:val="13"/>
                <w:szCs w:val="13"/>
                <w:color w:val="auto"/>
              </w:rPr>
              <w:t>2,443,050</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2,394,070</w:t>
            </w:r>
          </w:p>
        </w:tc>
      </w:tr>
      <w:tr>
        <w:trPr>
          <w:trHeight w:val="149"/>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3"/>
              </w:rPr>
              <w:t>Healthcare, Education</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1,079,920</w:t>
            </w:r>
          </w:p>
        </w:tc>
        <w:tc>
          <w:tcPr>
            <w:tcW w:w="740" w:type="dxa"/>
            <w:vAlign w:val="bottom"/>
          </w:tcPr>
          <w:p>
            <w:pPr>
              <w:jc w:val="right"/>
              <w:spacing w:after="0"/>
              <w:rPr>
                <w:sz w:val="20"/>
                <w:szCs w:val="20"/>
                <w:color w:val="auto"/>
              </w:rPr>
            </w:pPr>
            <w:r>
              <w:rPr>
                <w:rFonts w:ascii="Arial" w:cs="Arial" w:eastAsia="Arial" w:hAnsi="Arial"/>
                <w:sz w:val="13"/>
                <w:szCs w:val="13"/>
                <w:color w:val="auto"/>
              </w:rPr>
              <w:t>1,236,832</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10,802,578</w:t>
            </w:r>
          </w:p>
        </w:tc>
      </w:tr>
      <w:tr>
        <w:trPr>
          <w:trHeight w:val="148"/>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4"/>
              </w:rPr>
              <w:t>and Childcare</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3"/>
              </w:rPr>
              <w:t>Healthcare, Education</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1,079,920</w:t>
            </w:r>
          </w:p>
        </w:tc>
        <w:tc>
          <w:tcPr>
            <w:tcW w:w="740" w:type="dxa"/>
            <w:vAlign w:val="bottom"/>
          </w:tcPr>
          <w:p>
            <w:pPr>
              <w:jc w:val="right"/>
              <w:spacing w:after="0"/>
              <w:rPr>
                <w:sz w:val="20"/>
                <w:szCs w:val="20"/>
                <w:color w:val="auto"/>
              </w:rPr>
            </w:pPr>
            <w:r>
              <w:rPr>
                <w:rFonts w:ascii="Arial" w:cs="Arial" w:eastAsia="Arial" w:hAnsi="Arial"/>
                <w:sz w:val="13"/>
                <w:szCs w:val="13"/>
                <w:color w:val="auto"/>
              </w:rPr>
              <w:t>1,028,807</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1,028,807</w:t>
            </w:r>
          </w:p>
        </w:tc>
      </w:tr>
      <w:tr>
        <w:trPr>
          <w:trHeight w:val="149"/>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4"/>
              </w:rPr>
              <w:t>and Childcare</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1540" w:type="dxa"/>
            <w:vAlign w:val="bottom"/>
          </w:tcPr>
          <w:p>
            <w:pPr>
              <w:jc w:val="center"/>
              <w:ind w:right="173"/>
              <w:spacing w:after="0"/>
              <w:rPr>
                <w:sz w:val="20"/>
                <w:szCs w:val="20"/>
                <w:color w:val="auto"/>
              </w:rPr>
            </w:pPr>
            <w:r>
              <w:rPr>
                <w:rFonts w:ascii="Arial" w:cs="Arial" w:eastAsia="Arial" w:hAnsi="Arial"/>
                <w:sz w:val="13"/>
                <w:szCs w:val="13"/>
                <w:color w:val="auto"/>
                <w:w w:val="93"/>
              </w:rPr>
              <w:t>Education</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1,267</w:t>
            </w:r>
          </w:p>
        </w:tc>
        <w:tc>
          <w:tcPr>
            <w:tcW w:w="740" w:type="dxa"/>
            <w:vAlign w:val="bottom"/>
          </w:tcPr>
          <w:p>
            <w:pPr>
              <w:jc w:val="right"/>
              <w:spacing w:after="0"/>
              <w:rPr>
                <w:sz w:val="20"/>
                <w:szCs w:val="20"/>
                <w:color w:val="auto"/>
              </w:rPr>
            </w:pPr>
            <w:r>
              <w:rPr>
                <w:rFonts w:ascii="Arial" w:cs="Arial" w:eastAsia="Arial" w:hAnsi="Arial"/>
                <w:sz w:val="13"/>
                <w:szCs w:val="13"/>
                <w:color w:val="auto"/>
              </w:rPr>
              <w:t>779,920</w:t>
            </w:r>
          </w:p>
        </w:tc>
        <w:tc>
          <w:tcPr>
            <w:tcW w:w="240" w:type="dxa"/>
            <w:vAlign w:val="bottom"/>
          </w:tcPr>
          <w:p>
            <w:pPr>
              <w:spacing w:after="0"/>
              <w:rPr>
                <w:sz w:val="12"/>
                <w:szCs w:val="12"/>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172"/>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3"/>
              </w:rPr>
              <w:t>Oil and Gas</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1,221,932</w:t>
            </w:r>
          </w:p>
        </w:tc>
        <w:tc>
          <w:tcPr>
            <w:tcW w:w="740" w:type="dxa"/>
            <w:vAlign w:val="bottom"/>
          </w:tcPr>
          <w:p>
            <w:pPr>
              <w:jc w:val="right"/>
              <w:spacing w:after="0"/>
              <w:rPr>
                <w:sz w:val="20"/>
                <w:szCs w:val="20"/>
                <w:color w:val="auto"/>
              </w:rPr>
            </w:pPr>
            <w:r>
              <w:rPr>
                <w:rFonts w:ascii="Arial" w:cs="Arial" w:eastAsia="Arial" w:hAnsi="Arial"/>
                <w:sz w:val="13"/>
                <w:szCs w:val="13"/>
                <w:color w:val="auto"/>
              </w:rPr>
              <w:t>3,239,999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7,832,584</w:t>
            </w:r>
          </w:p>
        </w:tc>
      </w:tr>
      <w:tr>
        <w:trPr>
          <w:trHeight w:val="297"/>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3"/>
              </w:rPr>
              <w:t>Oil and Gas</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122,193</w:t>
            </w:r>
          </w:p>
        </w:tc>
        <w:tc>
          <w:tcPr>
            <w:tcW w:w="740" w:type="dxa"/>
            <w:vAlign w:val="bottom"/>
          </w:tcPr>
          <w:p>
            <w:pPr>
              <w:jc w:val="right"/>
              <w:spacing w:after="0"/>
              <w:rPr>
                <w:sz w:val="20"/>
                <w:szCs w:val="20"/>
                <w:color w:val="auto"/>
              </w:rPr>
            </w:pPr>
            <w:r>
              <w:rPr>
                <w:rFonts w:ascii="Arial" w:cs="Arial" w:eastAsia="Arial" w:hAnsi="Arial"/>
                <w:sz w:val="13"/>
                <w:szCs w:val="13"/>
                <w:color w:val="auto"/>
              </w:rPr>
              <w:t>105,697</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129,209</w:t>
            </w:r>
          </w:p>
        </w:tc>
      </w:tr>
      <w:tr>
        <w:trPr>
          <w:trHeight w:val="297"/>
        </w:trPr>
        <w:tc>
          <w:tcPr>
            <w:tcW w:w="1540" w:type="dxa"/>
            <w:vAlign w:val="bottom"/>
          </w:tcPr>
          <w:p>
            <w:pPr>
              <w:jc w:val="center"/>
              <w:ind w:right="173"/>
              <w:spacing w:after="0"/>
              <w:rPr>
                <w:sz w:val="20"/>
                <w:szCs w:val="20"/>
                <w:color w:val="auto"/>
              </w:rPr>
            </w:pPr>
            <w:r>
              <w:rPr>
                <w:rFonts w:ascii="Arial" w:cs="Arial" w:eastAsia="Arial" w:hAnsi="Arial"/>
                <w:sz w:val="13"/>
                <w:szCs w:val="13"/>
                <w:color w:val="auto"/>
              </w:rPr>
              <w:t>Distribution</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1,700</w:t>
            </w:r>
          </w:p>
        </w:tc>
        <w:tc>
          <w:tcPr>
            <w:tcW w:w="740" w:type="dxa"/>
            <w:vAlign w:val="bottom"/>
          </w:tcPr>
          <w:p>
            <w:pPr>
              <w:jc w:val="right"/>
              <w:spacing w:after="0"/>
              <w:rPr>
                <w:sz w:val="20"/>
                <w:szCs w:val="20"/>
                <w:color w:val="auto"/>
              </w:rPr>
            </w:pPr>
            <w:r>
              <w:rPr>
                <w:rFonts w:ascii="Arial" w:cs="Arial" w:eastAsia="Arial" w:hAnsi="Arial"/>
                <w:sz w:val="13"/>
                <w:szCs w:val="13"/>
                <w:color w:val="auto"/>
              </w:rPr>
              <w:t>1,700,000</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1,515,631</w:t>
            </w:r>
          </w:p>
        </w:tc>
      </w:tr>
      <w:tr>
        <w:trPr>
          <w:trHeight w:val="273"/>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1"/>
              </w:rPr>
              <w:t>Personal, Food and</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3,000</w:t>
            </w:r>
          </w:p>
        </w:tc>
        <w:tc>
          <w:tcPr>
            <w:tcW w:w="740" w:type="dxa"/>
            <w:vAlign w:val="bottom"/>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3,898,882</w:t>
            </w:r>
          </w:p>
        </w:tc>
      </w:tr>
      <w:tr>
        <w:trPr>
          <w:trHeight w:val="148"/>
        </w:trPr>
        <w:tc>
          <w:tcPr>
            <w:tcW w:w="1540" w:type="dxa"/>
            <w:vAlign w:val="bottom"/>
          </w:tcPr>
          <w:p>
            <w:pPr>
              <w:jc w:val="center"/>
              <w:ind w:right="173"/>
              <w:spacing w:after="0"/>
              <w:rPr>
                <w:sz w:val="20"/>
                <w:szCs w:val="20"/>
                <w:color w:val="auto"/>
              </w:rPr>
            </w:pPr>
            <w:r>
              <w:rPr>
                <w:rFonts w:ascii="Arial" w:cs="Arial" w:eastAsia="Arial" w:hAnsi="Arial"/>
                <w:sz w:val="13"/>
                <w:szCs w:val="13"/>
                <w:color w:val="auto"/>
                <w:w w:val="92"/>
              </w:rPr>
              <w:t>Miscellaneous Services</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3"/>
              </w:rPr>
              <w:t>Healthcare, Education</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20,000</w:t>
            </w:r>
          </w:p>
        </w:tc>
        <w:tc>
          <w:tcPr>
            <w:tcW w:w="740" w:type="dxa"/>
            <w:vAlign w:val="bottom"/>
          </w:tcPr>
          <w:p>
            <w:pPr>
              <w:jc w:val="right"/>
              <w:spacing w:after="0"/>
              <w:rPr>
                <w:sz w:val="20"/>
                <w:szCs w:val="20"/>
                <w:color w:val="auto"/>
              </w:rPr>
            </w:pPr>
            <w:r>
              <w:rPr>
                <w:rFonts w:ascii="Arial" w:cs="Arial" w:eastAsia="Arial" w:hAnsi="Arial"/>
                <w:sz w:val="13"/>
                <w:szCs w:val="13"/>
                <w:color w:val="auto"/>
              </w:rPr>
              <w:t>2,000,000</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2,000,000</w:t>
            </w:r>
          </w:p>
        </w:tc>
      </w:tr>
      <w:tr>
        <w:trPr>
          <w:trHeight w:val="149"/>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4"/>
              </w:rPr>
              <w:t>and Childcare</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2"/>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1"/>
              </w:rPr>
              <w:t>Aerospace and Defense</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20,000</w:t>
            </w:r>
          </w:p>
        </w:tc>
        <w:tc>
          <w:tcPr>
            <w:tcW w:w="740" w:type="dxa"/>
            <w:vAlign w:val="bottom"/>
          </w:tcPr>
          <w:p>
            <w:pPr>
              <w:jc w:val="right"/>
              <w:spacing w:after="0"/>
              <w:rPr>
                <w:sz w:val="20"/>
                <w:szCs w:val="20"/>
                <w:color w:val="auto"/>
              </w:rPr>
            </w:pPr>
            <w:r>
              <w:rPr>
                <w:rFonts w:ascii="Arial" w:cs="Arial" w:eastAsia="Arial" w:hAnsi="Arial"/>
                <w:sz w:val="13"/>
                <w:szCs w:val="13"/>
                <w:color w:val="auto"/>
              </w:rPr>
              <w:t>20,000</w:t>
            </w:r>
          </w:p>
        </w:tc>
        <w:tc>
          <w:tcPr>
            <w:tcW w:w="240" w:type="dxa"/>
            <w:vAlign w:val="bottom"/>
          </w:tcPr>
          <w:p>
            <w:pPr>
              <w:spacing w:after="0"/>
              <w:rPr>
                <w:sz w:val="14"/>
                <w:szCs w:val="14"/>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297"/>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5"/>
              </w:rPr>
              <w:t>Other Media</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4,325</w:t>
            </w:r>
          </w:p>
        </w:tc>
        <w:tc>
          <w:tcPr>
            <w:tcW w:w="740" w:type="dxa"/>
            <w:vAlign w:val="bottom"/>
          </w:tcPr>
          <w:p>
            <w:pPr>
              <w:jc w:val="right"/>
              <w:spacing w:after="0"/>
              <w:rPr>
                <w:sz w:val="20"/>
                <w:szCs w:val="20"/>
                <w:color w:val="auto"/>
              </w:rPr>
            </w:pPr>
            <w:r>
              <w:rPr>
                <w:rFonts w:ascii="Arial" w:cs="Arial" w:eastAsia="Arial" w:hAnsi="Arial"/>
                <w:sz w:val="13"/>
                <w:szCs w:val="13"/>
                <w:color w:val="auto"/>
              </w:rPr>
              <w:t>1,306,167</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2,349,899</w:t>
            </w:r>
          </w:p>
        </w:tc>
      </w:tr>
      <w:tr>
        <w:trPr>
          <w:trHeight w:val="297"/>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5"/>
              </w:rPr>
              <w:t>Other Media</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531</w:t>
            </w:r>
          </w:p>
        </w:tc>
        <w:tc>
          <w:tcPr>
            <w:tcW w:w="98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288,508</w:t>
            </w:r>
          </w:p>
        </w:tc>
      </w:tr>
      <w:tr>
        <w:trPr>
          <w:trHeight w:val="297"/>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3"/>
              </w:rPr>
              <w:t>Telecommunications</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2,276,847</w:t>
            </w:r>
          </w:p>
        </w:tc>
        <w:tc>
          <w:tcPr>
            <w:tcW w:w="740" w:type="dxa"/>
            <w:vAlign w:val="bottom"/>
          </w:tcPr>
          <w:p>
            <w:pPr>
              <w:jc w:val="right"/>
              <w:spacing w:after="0"/>
              <w:rPr>
                <w:sz w:val="20"/>
                <w:szCs w:val="20"/>
                <w:color w:val="auto"/>
              </w:rPr>
            </w:pPr>
            <w:r>
              <w:rPr>
                <w:rFonts w:ascii="Arial" w:cs="Arial" w:eastAsia="Arial" w:hAnsi="Arial"/>
                <w:sz w:val="13"/>
                <w:szCs w:val="13"/>
                <w:color w:val="auto"/>
              </w:rPr>
              <w:t>2,274,883</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2,276,847</w:t>
            </w:r>
          </w:p>
        </w:tc>
      </w:tr>
      <w:tr>
        <w:trPr>
          <w:trHeight w:val="273"/>
        </w:trPr>
        <w:tc>
          <w:tcPr>
            <w:tcW w:w="1540" w:type="dxa"/>
            <w:vAlign w:val="bottom"/>
          </w:tcPr>
          <w:p>
            <w:pPr>
              <w:jc w:val="center"/>
              <w:ind w:right="173"/>
              <w:spacing w:after="0"/>
              <w:rPr>
                <w:sz w:val="20"/>
                <w:szCs w:val="20"/>
                <w:color w:val="auto"/>
              </w:rPr>
            </w:pPr>
            <w:r>
              <w:rPr>
                <w:rFonts w:ascii="Arial" w:cs="Arial" w:eastAsia="Arial" w:hAnsi="Arial"/>
                <w:sz w:val="13"/>
                <w:szCs w:val="13"/>
                <w:color w:val="auto"/>
                <w:w w:val="92"/>
              </w:rPr>
              <w:t>Business Services</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3,500</w:t>
            </w:r>
          </w:p>
        </w:tc>
        <w:tc>
          <w:tcPr>
            <w:tcW w:w="740" w:type="dxa"/>
            <w:vAlign w:val="bottom"/>
          </w:tcPr>
          <w:p>
            <w:pPr>
              <w:jc w:val="right"/>
              <w:spacing w:after="0"/>
              <w:rPr>
                <w:sz w:val="20"/>
                <w:szCs w:val="20"/>
                <w:color w:val="auto"/>
              </w:rPr>
            </w:pPr>
            <w:r>
              <w:rPr>
                <w:rFonts w:ascii="Arial" w:cs="Arial" w:eastAsia="Arial" w:hAnsi="Arial"/>
                <w:sz w:val="13"/>
                <w:szCs w:val="13"/>
                <w:color w:val="auto"/>
              </w:rPr>
              <w:t>29,400</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863,190</w:t>
            </w:r>
          </w:p>
        </w:tc>
      </w:tr>
      <w:tr>
        <w:trPr>
          <w:trHeight w:val="172"/>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2"/>
              </w:rPr>
              <w:t>Cargo Transport</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137,923</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2,111,588</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297"/>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1"/>
              </w:rPr>
              <w:t>Insurance</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2</w:t>
            </w:r>
          </w:p>
        </w:tc>
        <w:tc>
          <w:tcPr>
            <w:tcW w:w="740" w:type="dxa"/>
            <w:vAlign w:val="bottom"/>
          </w:tcPr>
          <w:p>
            <w:pPr>
              <w:jc w:val="right"/>
              <w:spacing w:after="0"/>
              <w:rPr>
                <w:sz w:val="20"/>
                <w:szCs w:val="20"/>
                <w:color w:val="auto"/>
              </w:rPr>
            </w:pPr>
            <w:r>
              <w:rPr>
                <w:rFonts w:ascii="Arial" w:cs="Arial" w:eastAsia="Arial" w:hAnsi="Arial"/>
                <w:sz w:val="13"/>
                <w:szCs w:val="13"/>
                <w:color w:val="auto"/>
              </w:rPr>
              <w:t>9,843</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1,768,884</w:t>
            </w:r>
          </w:p>
        </w:tc>
      </w:tr>
      <w:tr>
        <w:trPr>
          <w:trHeight w:val="297"/>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3"/>
              </w:rPr>
              <w:t>Oil and Gas</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110,742</w:t>
            </w:r>
          </w:p>
        </w:tc>
        <w:tc>
          <w:tcPr>
            <w:tcW w:w="740" w:type="dxa"/>
            <w:vAlign w:val="bottom"/>
          </w:tcPr>
          <w:p>
            <w:pPr>
              <w:jc w:val="right"/>
              <w:spacing w:after="0"/>
              <w:rPr>
                <w:sz w:val="20"/>
                <w:szCs w:val="20"/>
                <w:color w:val="auto"/>
              </w:rPr>
            </w:pPr>
            <w:r>
              <w:rPr>
                <w:rFonts w:ascii="Arial" w:cs="Arial" w:eastAsia="Arial" w:hAnsi="Arial"/>
                <w:sz w:val="13"/>
                <w:szCs w:val="13"/>
                <w:color w:val="auto"/>
              </w:rPr>
              <w:t>1,107</w:t>
            </w:r>
          </w:p>
        </w:tc>
        <w:tc>
          <w:tcPr>
            <w:tcW w:w="240" w:type="dxa"/>
            <w:vAlign w:val="bottom"/>
          </w:tcPr>
          <w:p>
            <w:pPr>
              <w:spacing w:after="0"/>
              <w:rPr>
                <w:sz w:val="24"/>
                <w:szCs w:val="24"/>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297"/>
        </w:trPr>
        <w:tc>
          <w:tcPr>
            <w:tcW w:w="1540" w:type="dxa"/>
            <w:vAlign w:val="bottom"/>
          </w:tcPr>
          <w:p>
            <w:pPr>
              <w:jc w:val="center"/>
              <w:ind w:right="193"/>
              <w:spacing w:after="0"/>
              <w:rPr>
                <w:sz w:val="20"/>
                <w:szCs w:val="20"/>
                <w:color w:val="auto"/>
              </w:rPr>
            </w:pPr>
            <w:r>
              <w:rPr>
                <w:rFonts w:ascii="Arial" w:cs="Arial" w:eastAsia="Arial" w:hAnsi="Arial"/>
                <w:sz w:val="13"/>
                <w:szCs w:val="13"/>
                <w:color w:val="auto"/>
                <w:w w:val="92"/>
              </w:rPr>
              <w:t>Personal Transportation</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9,166</w:t>
            </w:r>
          </w:p>
        </w:tc>
        <w:tc>
          <w:tcPr>
            <w:tcW w:w="740" w:type="dxa"/>
            <w:vAlign w:val="bottom"/>
          </w:tcPr>
          <w:p>
            <w:pPr>
              <w:jc w:val="right"/>
              <w:spacing w:after="0"/>
              <w:rPr>
                <w:sz w:val="20"/>
                <w:szCs w:val="20"/>
                <w:color w:val="auto"/>
              </w:rPr>
            </w:pPr>
            <w:r>
              <w:rPr>
                <w:rFonts w:ascii="Arial" w:cs="Arial" w:eastAsia="Arial" w:hAnsi="Arial"/>
                <w:sz w:val="13"/>
                <w:szCs w:val="13"/>
                <w:color w:val="auto"/>
              </w:rPr>
              <w:t>9,166</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10,359</w:t>
            </w:r>
          </w:p>
        </w:tc>
      </w:tr>
      <w:tr>
        <w:trPr>
          <w:trHeight w:val="284"/>
        </w:trPr>
        <w:tc>
          <w:tcPr>
            <w:tcW w:w="1540" w:type="dxa"/>
            <w:vAlign w:val="bottom"/>
          </w:tcPr>
          <w:p>
            <w:pPr>
              <w:jc w:val="center"/>
              <w:ind w:right="173"/>
              <w:spacing w:after="0"/>
              <w:rPr>
                <w:sz w:val="20"/>
                <w:szCs w:val="20"/>
                <w:color w:val="auto"/>
              </w:rPr>
            </w:pPr>
            <w:r>
              <w:rPr>
                <w:rFonts w:ascii="Arial" w:cs="Arial" w:eastAsia="Arial" w:hAnsi="Arial"/>
                <w:sz w:val="13"/>
                <w:szCs w:val="13"/>
                <w:color w:val="auto"/>
                <w:w w:val="92"/>
              </w:rPr>
              <w:t>Business Services</w:t>
            </w:r>
          </w:p>
        </w:tc>
        <w:tc>
          <w:tcPr>
            <w:tcW w:w="70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3"/>
              <w:spacing w:after="0"/>
              <w:rPr>
                <w:sz w:val="20"/>
                <w:szCs w:val="20"/>
                <w:color w:val="auto"/>
              </w:rPr>
            </w:pPr>
            <w:r>
              <w:rPr>
                <w:rFonts w:ascii="Arial" w:cs="Arial" w:eastAsia="Arial" w:hAnsi="Arial"/>
                <w:sz w:val="13"/>
                <w:szCs w:val="13"/>
                <w:color w:val="auto"/>
              </w:rPr>
              <w:t>35,526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4,050,000</w:t>
            </w:r>
          </w:p>
        </w:tc>
        <w:tc>
          <w:tcPr>
            <w:tcW w:w="24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8,170,233</w:t>
            </w:r>
          </w:p>
        </w:tc>
      </w:tr>
      <w:tr>
        <w:trPr>
          <w:trHeight w:val="155"/>
        </w:trPr>
        <w:tc>
          <w:tcPr>
            <w:tcW w:w="1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35,830,707</w:t>
            </w: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57,685,027</w:t>
            </w:r>
          </w:p>
        </w:tc>
      </w:tr>
      <w:tr>
        <w:trPr>
          <w:trHeight w:val="155"/>
        </w:trPr>
        <w:tc>
          <w:tcPr>
            <w:tcW w:w="1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850,864,770</w:t>
            </w: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838,697,179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-4757420</wp:posOffset>
            </wp:positionV>
            <wp:extent cx="7132320"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-4568190</wp:posOffset>
            </wp:positionV>
            <wp:extent cx="71323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-4191000</wp:posOffset>
            </wp:positionV>
            <wp:extent cx="71323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-3813810</wp:posOffset>
            </wp:positionV>
            <wp:extent cx="71323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-3531235</wp:posOffset>
            </wp:positionV>
            <wp:extent cx="7132320" cy="93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-3342640</wp:posOffset>
            </wp:positionV>
            <wp:extent cx="71323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-2965450</wp:posOffset>
            </wp:positionV>
            <wp:extent cx="7132320" cy="93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-2682240</wp:posOffset>
            </wp:positionV>
            <wp:extent cx="71323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-2305050</wp:posOffset>
            </wp:positionV>
            <wp:extent cx="71323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-1927860</wp:posOffset>
            </wp:positionV>
            <wp:extent cx="71323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-1550670</wp:posOffset>
            </wp:positionV>
            <wp:extent cx="71323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-1173480</wp:posOffset>
            </wp:positionV>
            <wp:extent cx="7132320" cy="946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-890905</wp:posOffset>
            </wp:positionV>
            <wp:extent cx="71323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-513715</wp:posOffset>
            </wp:positionV>
            <wp:extent cx="71323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-213995</wp:posOffset>
            </wp:positionV>
            <wp:extent cx="7132320" cy="946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5380" w:space="260"/>
            <w:col w:w="5600"/>
          </w:cols>
          <w:pgMar w:left="320" w:top="459"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240"/>
          </w:cols>
          <w:pgMar w:left="320" w:top="459" w:right="339" w:bottom="1440" w:gutter="0" w:footer="0" w:header="0"/>
          <w:type w:val="continuous"/>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Basis Point</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40" w:type="dxa"/>
            <w:vAlign w:val="bottom"/>
          </w:tcPr>
          <w:p>
            <w:pPr>
              <w:jc w:val="right"/>
              <w:ind w:right="233"/>
              <w:spacing w:after="0" w:line="134" w:lineRule="exact"/>
              <w:rPr>
                <w:sz w:val="20"/>
                <w:szCs w:val="20"/>
                <w:color w:val="auto"/>
              </w:rPr>
            </w:pPr>
            <w:r>
              <w:rPr>
                <w:rFonts w:ascii="Arial" w:cs="Arial" w:eastAsia="Arial" w:hAnsi="Arial"/>
                <w:sz w:val="13"/>
                <w:szCs w:val="13"/>
                <w:b w:val="1"/>
                <w:bCs w:val="1"/>
                <w:color w:val="auto"/>
              </w:rPr>
              <w:t>Current</w:t>
            </w:r>
          </w:p>
        </w:tc>
        <w:tc>
          <w:tcPr>
            <w:tcW w:w="7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Above</w:t>
            </w:r>
          </w:p>
        </w:tc>
        <w:tc>
          <w:tcPr>
            <w:tcW w:w="240" w:type="dxa"/>
            <w:vAlign w:val="bottom"/>
          </w:tcPr>
          <w:p>
            <w:pPr>
              <w:spacing w:after="0"/>
              <w:rPr>
                <w:sz w:val="11"/>
                <w:szCs w:val="11"/>
                <w:color w:val="auto"/>
              </w:rPr>
            </w:pPr>
          </w:p>
        </w:tc>
        <w:tc>
          <w:tcPr>
            <w:tcW w:w="1020" w:type="dxa"/>
            <w:vAlign w:val="bottom"/>
          </w:tcPr>
          <w:p>
            <w:pPr>
              <w:jc w:val="right"/>
              <w:ind w:right="433"/>
              <w:spacing w:after="0" w:line="134"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720" w:type="dxa"/>
            <w:vAlign w:val="bottom"/>
          </w:tcPr>
          <w:p>
            <w:pPr>
              <w:jc w:val="center"/>
              <w:ind w:right="53"/>
              <w:spacing w:after="0"/>
              <w:rPr>
                <w:sz w:val="20"/>
                <w:szCs w:val="20"/>
                <w:color w:val="auto"/>
              </w:rPr>
            </w:pPr>
            <w:r>
              <w:rPr>
                <w:rFonts w:ascii="Arial" w:cs="Arial" w:eastAsia="Arial" w:hAnsi="Arial"/>
                <w:sz w:val="13"/>
                <w:szCs w:val="13"/>
                <w:b w:val="1"/>
                <w:bCs w:val="1"/>
                <w:color w:val="auto"/>
              </w:rPr>
              <w:t>Maturity</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940" w:type="dxa"/>
            <w:vAlign w:val="bottom"/>
          </w:tcPr>
          <w:p>
            <w:pPr>
              <w:jc w:val="right"/>
              <w:ind w:right="233"/>
              <w:spacing w:after="0"/>
              <w:rPr>
                <w:sz w:val="20"/>
                <w:szCs w:val="20"/>
                <w:color w:val="auto"/>
              </w:rPr>
            </w:pPr>
            <w:r>
              <w:rPr>
                <w:rFonts w:ascii="Arial" w:cs="Arial" w:eastAsia="Arial" w:hAnsi="Arial"/>
                <w:sz w:val="13"/>
                <w:szCs w:val="13"/>
                <w:b w:val="1"/>
                <w:bCs w:val="1"/>
                <w:color w:val="auto"/>
              </w:rPr>
              <w:t>Coupon</w:t>
            </w:r>
          </w:p>
        </w:tc>
        <w:tc>
          <w:tcPr>
            <w:tcW w:w="70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(4)</w:t>
            </w:r>
          </w:p>
        </w:tc>
        <w:tc>
          <w:tcPr>
            <w:tcW w:w="240" w:type="dxa"/>
            <w:vAlign w:val="bottom"/>
          </w:tcPr>
          <w:p>
            <w:pPr>
              <w:spacing w:after="0"/>
              <w:rPr>
                <w:sz w:val="15"/>
                <w:szCs w:val="15"/>
                <w:color w:val="auto"/>
              </w:rPr>
            </w:pPr>
          </w:p>
        </w:tc>
        <w:tc>
          <w:tcPr>
            <w:tcW w:w="1020" w:type="dxa"/>
            <w:vAlign w:val="bottom"/>
          </w:tcPr>
          <w:p>
            <w:pPr>
              <w:jc w:val="right"/>
              <w:ind w:right="373"/>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tcBorders>
              <w:top w:val="single" w:sz="8" w:color="auto"/>
            </w:tcBorders>
            <w:gridSpan w:val="2"/>
            <w:shd w:val="clear" w:color="auto" w:fill="CCEEFF"/>
          </w:tcPr>
          <w:p>
            <w:pPr>
              <w:spacing w:after="0" w:line="209" w:lineRule="exact"/>
              <w:rPr>
                <w:sz w:val="20"/>
                <w:szCs w:val="20"/>
                <w:color w:val="auto"/>
              </w:rPr>
            </w:pPr>
            <w:r>
              <w:rPr>
                <w:rFonts w:ascii="Arial" w:cs="Arial" w:eastAsia="Arial" w:hAnsi="Arial"/>
                <w:sz w:val="13"/>
                <w:szCs w:val="13"/>
                <w:b w:val="1"/>
                <w:bCs w:val="1"/>
                <w:color w:val="auto"/>
              </w:rPr>
              <w:t xml:space="preserve">Investments in Non-Controlled, Affiliated Portfolio Companies—6.1% </w:t>
            </w:r>
            <w:r>
              <w:rPr>
                <w:rFonts w:ascii="Arial" w:cs="Arial" w:eastAsia="Arial" w:hAnsi="Arial"/>
                <w:sz w:val="22"/>
                <w:szCs w:val="22"/>
                <w:b w:val="1"/>
                <w:bCs w:val="1"/>
                <w:color w:val="auto"/>
                <w:vertAlign w:val="superscript"/>
              </w:rPr>
              <w:t>(1),(2)</w:t>
            </w:r>
          </w:p>
        </w:tc>
        <w:tc>
          <w:tcPr>
            <w:tcW w:w="1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20"/>
                <w:szCs w:val="20"/>
                <w:color w:val="auto"/>
              </w:rPr>
            </w:pPr>
            <w:r>
              <w:rPr>
                <w:rFonts w:ascii="Arial" w:cs="Arial" w:eastAsia="Arial" w:hAnsi="Arial"/>
                <w:sz w:val="13"/>
                <w:szCs w:val="13"/>
                <w:b w:val="1"/>
                <w:bCs w:val="1"/>
                <w:color w:val="auto"/>
              </w:rPr>
              <w:t>Second Lien Secured Debt—2.0%</w:t>
            </w: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vMerge w:val="restart"/>
          </w:tcPr>
          <w:p>
            <w:pPr>
              <w:jc w:val="right"/>
              <w:ind w:right="64"/>
              <w:spacing w:after="0"/>
              <w:rPr>
                <w:sz w:val="20"/>
                <w:szCs w:val="20"/>
                <w:color w:val="auto"/>
              </w:rPr>
            </w:pPr>
            <w:r>
              <w:rPr>
                <w:rFonts w:ascii="Arial" w:cs="Arial" w:eastAsia="Arial" w:hAnsi="Arial"/>
                <w:sz w:val="11"/>
                <w:szCs w:val="11"/>
                <w:color w:val="auto"/>
                <w:w w:val="74"/>
              </w:rPr>
              <w:t>(7)</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200" w:type="dxa"/>
            <w:vAlign w:val="bottom"/>
          </w:tcPr>
          <w:p>
            <w:pPr>
              <w:spacing w:after="0" w:line="122" w:lineRule="exact"/>
              <w:rPr>
                <w:sz w:val="20"/>
                <w:szCs w:val="20"/>
                <w:color w:val="auto"/>
              </w:rPr>
            </w:pPr>
            <w:r>
              <w:rPr>
                <w:rFonts w:ascii="Arial" w:cs="Arial" w:eastAsia="Arial" w:hAnsi="Arial"/>
                <w:sz w:val="13"/>
                <w:szCs w:val="13"/>
                <w:color w:val="auto"/>
              </w:rPr>
              <w:t>EnviroSolutions, Inc.</w:t>
            </w:r>
          </w:p>
        </w:tc>
        <w:tc>
          <w:tcPr>
            <w:tcW w:w="720" w:type="dxa"/>
            <w:vAlign w:val="bottom"/>
          </w:tcPr>
          <w:p>
            <w:pPr>
              <w:jc w:val="center"/>
              <w:ind w:right="33"/>
              <w:spacing w:after="0" w:line="122" w:lineRule="exact"/>
              <w:rPr>
                <w:sz w:val="20"/>
                <w:szCs w:val="20"/>
                <w:color w:val="auto"/>
              </w:rPr>
            </w:pPr>
            <w:r>
              <w:rPr>
                <w:rFonts w:ascii="Arial" w:cs="Arial" w:eastAsia="Arial" w:hAnsi="Arial"/>
                <w:sz w:val="13"/>
                <w:szCs w:val="13"/>
                <w:color w:val="auto"/>
                <w:w w:val="95"/>
              </w:rPr>
              <w:t>07/29/2014</w:t>
            </w:r>
          </w:p>
        </w:tc>
        <w:tc>
          <w:tcPr>
            <w:tcW w:w="1500" w:type="dxa"/>
            <w:vAlign w:val="bottom"/>
          </w:tcPr>
          <w:p>
            <w:pPr>
              <w:jc w:val="center"/>
              <w:spacing w:after="0" w:line="122" w:lineRule="exact"/>
              <w:rPr>
                <w:sz w:val="20"/>
                <w:szCs w:val="20"/>
                <w:color w:val="auto"/>
              </w:rPr>
            </w:pPr>
            <w:r>
              <w:rPr>
                <w:rFonts w:ascii="Arial" w:cs="Arial" w:eastAsia="Arial" w:hAnsi="Arial"/>
                <w:sz w:val="13"/>
                <w:szCs w:val="13"/>
                <w:color w:val="auto"/>
                <w:w w:val="93"/>
              </w:rPr>
              <w:t>Environmental Services</w:t>
            </w:r>
          </w:p>
        </w:tc>
        <w:tc>
          <w:tcPr>
            <w:tcW w:w="940" w:type="dxa"/>
            <w:vAlign w:val="bottom"/>
          </w:tcPr>
          <w:p>
            <w:pPr>
              <w:jc w:val="right"/>
              <w:ind w:right="33"/>
              <w:spacing w:after="0" w:line="122" w:lineRule="exact"/>
              <w:rPr>
                <w:sz w:val="20"/>
                <w:szCs w:val="20"/>
                <w:color w:val="auto"/>
              </w:rPr>
            </w:pPr>
            <w:r>
              <w:rPr>
                <w:rFonts w:ascii="Arial" w:cs="Arial" w:eastAsia="Arial" w:hAnsi="Arial"/>
                <w:sz w:val="13"/>
                <w:szCs w:val="13"/>
                <w:color w:val="auto"/>
              </w:rPr>
              <w:t>8.00%</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auto"/>
              </w:rPr>
              <w:t>L+600</w:t>
            </w:r>
          </w:p>
        </w:tc>
        <w:tc>
          <w:tcPr>
            <w:tcW w:w="240" w:type="dxa"/>
            <w:vAlign w:val="bottom"/>
            <w:vMerge w:val="continue"/>
          </w:tcPr>
          <w:p>
            <w:pPr>
              <w:spacing w:after="0"/>
              <w:rPr>
                <w:sz w:val="10"/>
                <w:szCs w:val="10"/>
                <w:color w:val="auto"/>
              </w:rPr>
            </w:pPr>
          </w:p>
        </w:tc>
        <w:tc>
          <w:tcPr>
            <w:tcW w:w="1020" w:type="dxa"/>
            <w:vAlign w:val="bottom"/>
          </w:tcPr>
          <w:p>
            <w:pPr>
              <w:jc w:val="right"/>
              <w:ind w:right="233"/>
              <w:spacing w:after="0" w:line="122" w:lineRule="exact"/>
              <w:rPr>
                <w:sz w:val="20"/>
                <w:szCs w:val="20"/>
                <w:color w:val="auto"/>
              </w:rPr>
            </w:pPr>
            <w:r>
              <w:rPr>
                <w:rFonts w:ascii="Arial" w:cs="Arial" w:eastAsia="Arial" w:hAnsi="Arial"/>
                <w:sz w:val="13"/>
                <w:szCs w:val="13"/>
                <w:color w:val="auto"/>
              </w:rPr>
              <w:t>4,402,812</w:t>
            </w:r>
          </w:p>
        </w:tc>
        <w:tc>
          <w:tcPr>
            <w:tcW w:w="80" w:type="dxa"/>
            <w:vAlign w:val="bottom"/>
          </w:tcPr>
          <w:p>
            <w:pPr>
              <w:jc w:val="right"/>
              <w:spacing w:after="0" w:line="122"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4,402,812</w:t>
            </w:r>
          </w:p>
        </w:tc>
        <w:tc>
          <w:tcPr>
            <w:tcW w:w="80" w:type="dxa"/>
            <w:vAlign w:val="bottom"/>
          </w:tcPr>
          <w:p>
            <w:pPr>
              <w:spacing w:after="0"/>
              <w:rPr>
                <w:sz w:val="10"/>
                <w:szCs w:val="10"/>
                <w:color w:val="auto"/>
              </w:rPr>
            </w:pPr>
          </w:p>
        </w:tc>
        <w:tc>
          <w:tcPr>
            <w:tcW w:w="16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220"/>
              <w:spacing w:after="0" w:line="122" w:lineRule="exact"/>
              <w:rPr>
                <w:sz w:val="20"/>
                <w:szCs w:val="20"/>
                <w:color w:val="auto"/>
              </w:rPr>
            </w:pPr>
            <w:r>
              <w:rPr>
                <w:rFonts w:ascii="Arial" w:cs="Arial" w:eastAsia="Arial" w:hAnsi="Arial"/>
                <w:sz w:val="13"/>
                <w:szCs w:val="13"/>
                <w:color w:val="auto"/>
              </w:rPr>
              <w:t>4,402,812</w:t>
            </w:r>
          </w:p>
        </w:tc>
        <w:tc>
          <w:tcPr>
            <w:tcW w:w="0" w:type="dxa"/>
            <w:vAlign w:val="bottom"/>
          </w:tcPr>
          <w:p>
            <w:pPr>
              <w:spacing w:after="0"/>
              <w:rPr>
                <w:sz w:val="1"/>
                <w:szCs w:val="1"/>
                <w:color w:val="auto"/>
              </w:rPr>
            </w:pPr>
          </w:p>
        </w:tc>
      </w:tr>
      <w:tr>
        <w:trPr>
          <w:trHeight w:val="165"/>
        </w:trPr>
        <w:tc>
          <w:tcPr>
            <w:tcW w:w="4200" w:type="dxa"/>
            <w:vAlign w:val="bottom"/>
          </w:tcPr>
          <w:p>
            <w:pPr>
              <w:spacing w:after="0"/>
              <w:rPr>
                <w:sz w:val="20"/>
                <w:szCs w:val="20"/>
                <w:color w:val="auto"/>
              </w:rPr>
            </w:pPr>
            <w:r>
              <w:rPr>
                <w:rFonts w:ascii="Arial" w:cs="Arial" w:eastAsia="Arial" w:hAnsi="Arial"/>
                <w:sz w:val="13"/>
                <w:szCs w:val="13"/>
                <w:color w:val="auto"/>
              </w:rPr>
              <w:t>Performance, Inc.</w:t>
            </w:r>
          </w:p>
        </w:tc>
        <w:tc>
          <w:tcPr>
            <w:tcW w:w="720" w:type="dxa"/>
            <w:vAlign w:val="bottom"/>
          </w:tcPr>
          <w:p>
            <w:pPr>
              <w:jc w:val="center"/>
              <w:ind w:right="33"/>
              <w:spacing w:after="0"/>
              <w:rPr>
                <w:sz w:val="20"/>
                <w:szCs w:val="20"/>
                <w:color w:val="auto"/>
              </w:rPr>
            </w:pPr>
            <w:r>
              <w:rPr>
                <w:rFonts w:ascii="Arial" w:cs="Arial" w:eastAsia="Arial" w:hAnsi="Arial"/>
                <w:sz w:val="13"/>
                <w:szCs w:val="13"/>
                <w:color w:val="auto"/>
                <w:w w:val="95"/>
              </w:rPr>
              <w:t>01/16/2015</w:t>
            </w:r>
          </w:p>
        </w:tc>
        <w:tc>
          <w:tcPr>
            <w:tcW w:w="1500" w:type="dxa"/>
            <w:vAlign w:val="bottom"/>
          </w:tcPr>
          <w:p>
            <w:pPr>
              <w:jc w:val="center"/>
              <w:spacing w:after="0"/>
              <w:rPr>
                <w:sz w:val="20"/>
                <w:szCs w:val="20"/>
                <w:color w:val="auto"/>
              </w:rPr>
            </w:pPr>
            <w:r>
              <w:rPr>
                <w:rFonts w:ascii="Arial" w:cs="Arial" w:eastAsia="Arial" w:hAnsi="Arial"/>
                <w:sz w:val="13"/>
                <w:szCs w:val="13"/>
                <w:color w:val="auto"/>
                <w:w w:val="93"/>
              </w:rPr>
              <w:t>Leisure, Amusement</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7.25%</w:t>
            </w:r>
          </w:p>
        </w:tc>
        <w:tc>
          <w:tcPr>
            <w:tcW w:w="700" w:type="dxa"/>
            <w:vAlign w:val="bottom"/>
          </w:tcPr>
          <w:p>
            <w:pPr>
              <w:ind w:left="300"/>
              <w:spacing w:after="0"/>
              <w:rPr>
                <w:sz w:val="20"/>
                <w:szCs w:val="20"/>
                <w:color w:val="auto"/>
              </w:rPr>
            </w:pPr>
            <w:r>
              <w:rPr>
                <w:rFonts w:ascii="Arial" w:cs="Arial" w:eastAsia="Arial" w:hAnsi="Arial"/>
                <w:sz w:val="13"/>
                <w:szCs w:val="13"/>
                <w:color w:val="auto"/>
              </w:rPr>
              <w:t>L+625</w:t>
            </w:r>
          </w:p>
        </w:tc>
        <w:tc>
          <w:tcPr>
            <w:tcW w:w="240" w:type="dxa"/>
            <w:vAlign w:val="bottom"/>
          </w:tcPr>
          <w:p>
            <w:pPr>
              <w:jc w:val="right"/>
              <w:ind w:right="64"/>
              <w:spacing w:after="0"/>
              <w:rPr>
                <w:sz w:val="20"/>
                <w:szCs w:val="20"/>
                <w:color w:val="auto"/>
              </w:rPr>
            </w:pPr>
            <w:r>
              <w:rPr>
                <w:rFonts w:ascii="Arial" w:cs="Arial" w:eastAsia="Arial" w:hAnsi="Arial"/>
                <w:sz w:val="11"/>
                <w:szCs w:val="11"/>
                <w:color w:val="auto"/>
                <w:w w:val="74"/>
              </w:rPr>
              <w:t>(7)</w:t>
            </w:r>
          </w:p>
        </w:tc>
        <w:tc>
          <w:tcPr>
            <w:tcW w:w="1020" w:type="dxa"/>
            <w:vAlign w:val="bottom"/>
          </w:tcPr>
          <w:p>
            <w:pPr>
              <w:jc w:val="right"/>
              <w:ind w:right="233"/>
              <w:spacing w:after="0"/>
              <w:rPr>
                <w:sz w:val="20"/>
                <w:szCs w:val="20"/>
                <w:color w:val="auto"/>
              </w:rPr>
            </w:pPr>
            <w:r>
              <w:rPr>
                <w:rFonts w:ascii="Arial" w:cs="Arial" w:eastAsia="Arial" w:hAnsi="Arial"/>
                <w:sz w:val="13"/>
                <w:szCs w:val="13"/>
                <w:color w:val="auto"/>
              </w:rPr>
              <w:t>8,000,000</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8,000,000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7,424,000</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93"/>
              </w:rPr>
              <w:t>Motion Pictures and</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93"/>
              </w:rPr>
              <w:t>Entertainment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12,402,812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11,826,812</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20"/>
                <w:szCs w:val="20"/>
                <w:color w:val="auto"/>
              </w:rPr>
            </w:pPr>
            <w:r>
              <w:rPr>
                <w:rFonts w:ascii="Arial" w:cs="Arial" w:eastAsia="Arial" w:hAnsi="Arial"/>
                <w:sz w:val="13"/>
                <w:szCs w:val="13"/>
                <w:b w:val="1"/>
                <w:bCs w:val="1"/>
                <w:color w:val="auto"/>
              </w:rPr>
              <w:t>Subordinated Debt/Corporate Notes—1.2%</w:t>
            </w:r>
          </w:p>
        </w:tc>
        <w:tc>
          <w:tcPr>
            <w:tcW w:w="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Performance Holdings, Inc.</w:t>
            </w:r>
          </w:p>
        </w:tc>
        <w:tc>
          <w:tcPr>
            <w:tcW w:w="72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5"/>
              </w:rPr>
              <w:t>07/16/2015</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Leisure, Amusement,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15.00%</w:t>
            </w:r>
          </w:p>
        </w:tc>
        <w:tc>
          <w:tcPr>
            <w:tcW w:w="7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7,293,719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7,148,244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6,965,502</w:t>
            </w:r>
          </w:p>
        </w:tc>
        <w:tc>
          <w:tcPr>
            <w:tcW w:w="0" w:type="dxa"/>
            <w:vAlign w:val="bottom"/>
          </w:tcPr>
          <w:p>
            <w:pPr>
              <w:spacing w:after="0"/>
              <w:rPr>
                <w:sz w:val="1"/>
                <w:szCs w:val="1"/>
                <w:color w:val="auto"/>
              </w:rPr>
            </w:pPr>
          </w:p>
        </w:tc>
      </w:tr>
      <w:tr>
        <w:trPr>
          <w:trHeight w:val="145"/>
        </w:trPr>
        <w:tc>
          <w:tcPr>
            <w:tcW w:w="42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CCEEFF"/>
            </w:tcBorders>
            <w:shd w:val="clear" w:color="auto" w:fill="CCEEFF"/>
          </w:tcPr>
          <w:p>
            <w:pPr>
              <w:jc w:val="center"/>
              <w:spacing w:after="0" w:line="145" w:lineRule="exact"/>
              <w:rPr>
                <w:sz w:val="20"/>
                <w:szCs w:val="20"/>
                <w:color w:val="auto"/>
              </w:rPr>
            </w:pPr>
            <w:r>
              <w:rPr>
                <w:rFonts w:ascii="Arial" w:cs="Arial" w:eastAsia="Arial" w:hAnsi="Arial"/>
                <w:sz w:val="13"/>
                <w:szCs w:val="13"/>
                <w:color w:val="auto"/>
                <w:w w:val="93"/>
              </w:rPr>
              <w:t>Motion Pictures and</w:t>
            </w:r>
          </w:p>
        </w:tc>
        <w:tc>
          <w:tcPr>
            <w:tcW w:w="940" w:type="dxa"/>
            <w:vAlign w:val="bottom"/>
            <w:tcBorders>
              <w:top w:val="single" w:sz="8" w:color="CCEEFF"/>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(PIK 15.00%)</w:t>
            </w:r>
          </w:p>
        </w:tc>
        <w:tc>
          <w:tcPr>
            <w:tcW w:w="7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9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Interest—2.9% </w:t>
            </w:r>
            <w:r>
              <w:rPr>
                <w:rFonts w:ascii="Arial" w:cs="Arial" w:eastAsia="Arial" w:hAnsi="Arial"/>
                <w:sz w:val="17"/>
                <w:szCs w:val="17"/>
                <w:b w:val="1"/>
                <w:bCs w:val="1"/>
                <w:color w:val="auto"/>
                <w:vertAlign w:val="superscript"/>
              </w:rPr>
              <w:t>(6)</w:t>
            </w: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EnviroSolutions, Inc.</w:t>
            </w:r>
          </w:p>
        </w:tc>
        <w:tc>
          <w:tcPr>
            <w:tcW w:w="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Environmental Services</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103,450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8,156,770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15,546,685</w:t>
            </w:r>
          </w:p>
        </w:tc>
        <w:tc>
          <w:tcPr>
            <w:tcW w:w="0" w:type="dxa"/>
            <w:vAlign w:val="bottom"/>
          </w:tcPr>
          <w:p>
            <w:pPr>
              <w:spacing w:after="0"/>
              <w:rPr>
                <w:sz w:val="1"/>
                <w:szCs w:val="1"/>
                <w:color w:val="auto"/>
              </w:rPr>
            </w:pPr>
          </w:p>
        </w:tc>
      </w:tr>
      <w:tr>
        <w:trPr>
          <w:trHeight w:val="138"/>
        </w:trPr>
        <w:tc>
          <w:tcPr>
            <w:tcW w:w="4200" w:type="dxa"/>
            <w:vAlign w:val="bottom"/>
          </w:tcPr>
          <w:p>
            <w:pPr>
              <w:spacing w:after="0" w:line="138" w:lineRule="exact"/>
              <w:rPr>
                <w:sz w:val="20"/>
                <w:szCs w:val="20"/>
                <w:color w:val="auto"/>
              </w:rPr>
            </w:pPr>
            <w:r>
              <w:rPr>
                <w:rFonts w:ascii="Arial" w:cs="Arial" w:eastAsia="Arial" w:hAnsi="Arial"/>
                <w:sz w:val="13"/>
                <w:szCs w:val="13"/>
                <w:color w:val="auto"/>
              </w:rPr>
              <w:t>NCP-Performance (Performance Holdings, Inc.)</w:t>
            </w:r>
          </w:p>
        </w:tc>
        <w:tc>
          <w:tcPr>
            <w:tcW w:w="720" w:type="dxa"/>
            <w:vAlign w:val="bottom"/>
          </w:tcPr>
          <w:p>
            <w:pPr>
              <w:ind w:left="200"/>
              <w:spacing w:after="0" w:line="138" w:lineRule="exact"/>
              <w:rPr>
                <w:sz w:val="20"/>
                <w:szCs w:val="20"/>
                <w:color w:val="auto"/>
              </w:rPr>
            </w:pPr>
            <w:r>
              <w:rPr>
                <w:rFonts w:ascii="Arial" w:cs="Arial" w:eastAsia="Arial" w:hAnsi="Arial"/>
                <w:sz w:val="13"/>
                <w:szCs w:val="13"/>
                <w:color w:val="auto"/>
              </w:rPr>
              <w:t>—</w:t>
            </w:r>
          </w:p>
        </w:tc>
        <w:tc>
          <w:tcPr>
            <w:tcW w:w="1500" w:type="dxa"/>
            <w:vAlign w:val="bottom"/>
          </w:tcPr>
          <w:p>
            <w:pPr>
              <w:jc w:val="center"/>
              <w:spacing w:after="0" w:line="138" w:lineRule="exact"/>
              <w:rPr>
                <w:sz w:val="20"/>
                <w:szCs w:val="20"/>
                <w:color w:val="auto"/>
              </w:rPr>
            </w:pPr>
            <w:r>
              <w:rPr>
                <w:rFonts w:ascii="Arial" w:cs="Arial" w:eastAsia="Arial" w:hAnsi="Arial"/>
                <w:sz w:val="13"/>
                <w:szCs w:val="13"/>
                <w:color w:val="auto"/>
                <w:w w:val="94"/>
              </w:rPr>
              <w:t>Leisure, Amusement,</w:t>
            </w:r>
          </w:p>
        </w:tc>
        <w:tc>
          <w:tcPr>
            <w:tcW w:w="940" w:type="dxa"/>
            <w:vAlign w:val="bottom"/>
          </w:tcPr>
          <w:p>
            <w:pPr>
              <w:jc w:val="right"/>
              <w:ind w:right="213"/>
              <w:spacing w:after="0" w:line="138" w:lineRule="exact"/>
              <w:rPr>
                <w:sz w:val="20"/>
                <w:szCs w:val="20"/>
                <w:color w:val="auto"/>
              </w:rPr>
            </w:pPr>
            <w:r>
              <w:rPr>
                <w:rFonts w:ascii="Arial" w:cs="Arial" w:eastAsia="Arial" w:hAnsi="Arial"/>
                <w:sz w:val="13"/>
                <w:szCs w:val="13"/>
                <w:color w:val="auto"/>
              </w:rPr>
              <w:t>—</w:t>
            </w:r>
          </w:p>
        </w:tc>
        <w:tc>
          <w:tcPr>
            <w:tcW w:w="700" w:type="dxa"/>
            <w:vAlign w:val="bottom"/>
          </w:tcPr>
          <w:p>
            <w:pPr>
              <w:ind w:left="500"/>
              <w:spacing w:after="0" w:line="13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020" w:type="dxa"/>
            <w:vAlign w:val="bottom"/>
          </w:tcPr>
          <w:p>
            <w:pPr>
              <w:jc w:val="right"/>
              <w:ind w:right="233"/>
              <w:spacing w:after="0" w:line="138" w:lineRule="exact"/>
              <w:rPr>
                <w:sz w:val="20"/>
                <w:szCs w:val="20"/>
                <w:color w:val="auto"/>
              </w:rPr>
            </w:pPr>
            <w:r>
              <w:rPr>
                <w:rFonts w:ascii="Arial" w:cs="Arial" w:eastAsia="Arial" w:hAnsi="Arial"/>
                <w:sz w:val="13"/>
                <w:szCs w:val="13"/>
                <w:color w:val="auto"/>
              </w:rPr>
              <w:t>375,000</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3,750,000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1,317,111</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93"/>
              </w:rPr>
              <w:t>Motion Pictures and</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w w:val="93"/>
              </w:rPr>
              <w:t>Entertainment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Common Equity/Partnership Interest</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8"/>
              </w:rPr>
              <w:t>11,906,770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16,863,796</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00" w:type="dxa"/>
            <w:vAlign w:val="bottom"/>
            <w:vMerge w:val="continue"/>
          </w:tcPr>
          <w:p>
            <w:pPr>
              <w:spacing w:after="0"/>
              <w:rPr>
                <w:sz w:val="22"/>
                <w:szCs w:val="22"/>
                <w:color w:val="auto"/>
              </w:rPr>
            </w:pPr>
          </w:p>
        </w:tc>
        <w:tc>
          <w:tcPr>
            <w:tcW w:w="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31,457,826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35,656,110</w:t>
            </w:r>
          </w:p>
        </w:tc>
        <w:tc>
          <w:tcPr>
            <w:tcW w:w="0" w:type="dxa"/>
            <w:vAlign w:val="bottom"/>
          </w:tcPr>
          <w:p>
            <w:pPr>
              <w:spacing w:after="0"/>
              <w:rPr>
                <w:sz w:val="1"/>
                <w:szCs w:val="1"/>
                <w:color w:val="auto"/>
              </w:rPr>
            </w:pPr>
          </w:p>
        </w:tc>
      </w:tr>
      <w:tr>
        <w:trPr>
          <w:trHeight w:val="115"/>
        </w:trPr>
        <w:tc>
          <w:tcPr>
            <w:tcW w:w="4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Controlled, Affiliated Portfolio Companies—2.5% </w:t>
            </w:r>
            <w:r>
              <w:rPr>
                <w:rFonts w:ascii="Arial" w:cs="Arial" w:eastAsia="Arial" w:hAnsi="Arial"/>
                <w:sz w:val="17"/>
                <w:szCs w:val="17"/>
                <w:b w:val="1"/>
                <w:bCs w:val="1"/>
                <w:color w:val="auto"/>
                <w:vertAlign w:val="superscript"/>
              </w:rPr>
              <w:t>(1),(2)</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20"/>
                <w:szCs w:val="20"/>
                <w:color w:val="auto"/>
              </w:rPr>
            </w:pPr>
            <w:r>
              <w:rPr>
                <w:rFonts w:ascii="Arial" w:cs="Arial" w:eastAsia="Arial" w:hAnsi="Arial"/>
                <w:sz w:val="13"/>
                <w:szCs w:val="13"/>
                <w:b w:val="1"/>
                <w:bCs w:val="1"/>
                <w:color w:val="auto"/>
              </w:rPr>
              <w:t>First Lien Secured Debt—1.8%</w:t>
            </w: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72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5"/>
              </w:rPr>
              <w:t>06/30/2020</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14.00%</w:t>
            </w:r>
          </w:p>
        </w:tc>
        <w:tc>
          <w:tcPr>
            <w:tcW w:w="7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10,000,000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10,501,510</w:t>
            </w: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0"/>
                <w:szCs w:val="20"/>
                <w:color w:val="auto"/>
              </w:rPr>
            </w:pPr>
            <w:r>
              <w:rPr>
                <w:rFonts w:ascii="Arial" w:cs="Arial" w:eastAsia="Arial" w:hAnsi="Arial"/>
                <w:sz w:val="13"/>
                <w:szCs w:val="13"/>
                <w:b w:val="1"/>
                <w:bCs w:val="1"/>
                <w:color w:val="auto"/>
              </w:rPr>
              <w:t>Subordinated Debt/Corporate Notes—0.4%</w:t>
            </w:r>
          </w:p>
        </w:tc>
        <w:tc>
          <w:tcPr>
            <w:tcW w:w="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72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w w:val="95"/>
              </w:rPr>
              <w:t>06/30/2020</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14.00%</w:t>
            </w:r>
          </w:p>
        </w:tc>
        <w:tc>
          <w:tcPr>
            <w:tcW w:w="7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2,500,000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2,273,155</w:t>
            </w: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0"/>
                <w:szCs w:val="20"/>
                <w:color w:val="auto"/>
              </w:rPr>
            </w:pPr>
            <w:r>
              <w:rPr>
                <w:rFonts w:ascii="Arial" w:cs="Arial" w:eastAsia="Arial" w:hAnsi="Arial"/>
                <w:sz w:val="13"/>
                <w:szCs w:val="13"/>
                <w:b w:val="1"/>
                <w:bCs w:val="1"/>
                <w:color w:val="auto"/>
              </w:rPr>
              <w:t xml:space="preserve">Preferred Equity—0.3% </w:t>
            </w:r>
            <w:r>
              <w:rPr>
                <w:rFonts w:ascii="Arial" w:cs="Arial" w:eastAsia="Arial" w:hAnsi="Arial"/>
                <w:sz w:val="22"/>
                <w:szCs w:val="22"/>
                <w:b w:val="1"/>
                <w:bCs w:val="1"/>
                <w:color w:val="auto"/>
                <w:vertAlign w:val="superscript"/>
              </w:rPr>
              <w:t>(6)</w:t>
            </w:r>
          </w:p>
        </w:tc>
        <w:tc>
          <w:tcPr>
            <w:tcW w:w="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14.00%</w:t>
            </w:r>
          </w:p>
        </w:tc>
        <w:tc>
          <w:tcPr>
            <w:tcW w:w="7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2,000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1,725,337</w:t>
            </w: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0"/>
                <w:szCs w:val="20"/>
                <w:color w:val="auto"/>
              </w:rPr>
            </w:pPr>
            <w:r>
              <w:rPr>
                <w:rFonts w:ascii="Arial" w:cs="Arial" w:eastAsia="Arial" w:hAnsi="Arial"/>
                <w:sz w:val="13"/>
                <w:szCs w:val="13"/>
                <w:b w:val="1"/>
                <w:bCs w:val="1"/>
                <w:color w:val="auto"/>
              </w:rPr>
              <w:t xml:space="preserve">Common Equity—0.0% </w:t>
            </w:r>
            <w:r>
              <w:rPr>
                <w:rFonts w:ascii="Arial" w:cs="Arial" w:eastAsia="Arial" w:hAnsi="Arial"/>
                <w:sz w:val="22"/>
                <w:szCs w:val="22"/>
                <w:b w:val="1"/>
                <w:bCs w:val="1"/>
                <w:color w:val="auto"/>
                <w:vertAlign w:val="superscript"/>
              </w:rPr>
              <w:t>(6)</w:t>
            </w:r>
          </w:p>
        </w:tc>
        <w:tc>
          <w:tcPr>
            <w:tcW w:w="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7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100</w:t>
            </w: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20"/>
                <w:szCs w:val="20"/>
                <w:color w:val="auto"/>
              </w:rPr>
            </w:pPr>
            <w:r>
              <w:rPr>
                <w:rFonts w:ascii="Arial" w:cs="Arial" w:eastAsia="Arial" w:hAnsi="Arial"/>
                <w:sz w:val="13"/>
                <w:szCs w:val="13"/>
                <w:b w:val="1"/>
                <w:bCs w:val="1"/>
                <w:color w:val="auto"/>
              </w:rPr>
              <w:t>Total Investments in Controlled, Affiliated Portfolio Companies</w:t>
            </w:r>
          </w:p>
        </w:tc>
        <w:tc>
          <w:tcPr>
            <w:tcW w:w="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14,500,100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14,500,002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Investments—152.4%</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896,822,696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888,853,291</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20"/>
                <w:szCs w:val="20"/>
                <w:color w:val="auto"/>
              </w:rPr>
            </w:pPr>
            <w:r>
              <w:rPr>
                <w:rFonts w:ascii="Arial" w:cs="Arial" w:eastAsia="Arial" w:hAnsi="Arial"/>
                <w:sz w:val="13"/>
                <w:szCs w:val="13"/>
                <w:b w:val="1"/>
                <w:bCs w:val="1"/>
                <w:color w:val="auto"/>
              </w:rPr>
              <w:t>Cash Equivalents—4.6%</w:t>
            </w: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233"/>
              <w:spacing w:after="0"/>
              <w:rPr>
                <w:sz w:val="20"/>
                <w:szCs w:val="20"/>
                <w:color w:val="auto"/>
              </w:rPr>
            </w:pPr>
            <w:r>
              <w:rPr>
                <w:rFonts w:ascii="Arial" w:cs="Arial" w:eastAsia="Arial" w:hAnsi="Arial"/>
                <w:sz w:val="13"/>
                <w:szCs w:val="13"/>
                <w:color w:val="auto"/>
              </w:rPr>
              <w:t>26,964,225</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26,964,225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26,964,225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Equivalents—157.0%</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923,786,921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915,817,516</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Assets—(57.0%)</w:t>
            </w: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(332,509,871)</w:t>
            </w:r>
          </w:p>
        </w:tc>
        <w:tc>
          <w:tcPr>
            <w:tcW w:w="0" w:type="dxa"/>
            <w:vAlign w:val="bottom"/>
          </w:tcPr>
          <w:p>
            <w:pPr>
              <w:spacing w:after="0"/>
              <w:rPr>
                <w:sz w:val="1"/>
                <w:szCs w:val="1"/>
                <w:color w:val="auto"/>
              </w:rPr>
            </w:pPr>
          </w:p>
        </w:tc>
      </w:tr>
      <w:tr>
        <w:trPr>
          <w:trHeight w:val="95"/>
        </w:trPr>
        <w:tc>
          <w:tcPr>
            <w:tcW w:w="4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7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583,307,645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-3599815</wp:posOffset>
            </wp:positionV>
            <wp:extent cx="7132320"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340" w:right="20" w:hanging="332"/>
        <w:spacing w:after="0" w:line="244"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1" w:lineRule="exact"/>
        <w:rPr>
          <w:rFonts w:ascii="Arial" w:cs="Arial" w:eastAsia="Arial" w:hAnsi="Arial"/>
          <w:sz w:val="13"/>
          <w:szCs w:val="13"/>
          <w:color w:val="auto"/>
        </w:rPr>
      </w:pPr>
    </w:p>
    <w:p>
      <w:pPr>
        <w:ind w:left="340" w:right="32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36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or Prime Rate, or Prime or “P”.</w:t>
      </w:r>
    </w:p>
    <w:p>
      <w:pPr>
        <w:ind w:left="340" w:right="10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usually to qualified institutional buyers.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Investment is held through PNNT Transportation 100 Holdco, LLC, a consolidated subsidiary.</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Investment is held through PNNT CI (GALLS) Prime Investments Holdings, LLC, a consolidated subsidiary.</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Investment is held through PNNT Acentia, LLC, a consolidated subsidiary.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760" w:type="dxa"/>
            <w:vAlign w:val="bottom"/>
            <w:vMerge w:val="restart"/>
          </w:tcPr>
          <w:p>
            <w:pPr>
              <w:jc w:val="center"/>
              <w:ind w:left="973"/>
              <w:spacing w:after="0"/>
              <w:rPr>
                <w:sz w:val="20"/>
                <w:szCs w:val="20"/>
                <w:color w:val="auto"/>
              </w:rPr>
            </w:pPr>
            <w:r>
              <w:rPr>
                <w:rFonts w:ascii="Arial" w:cs="Arial" w:eastAsia="Arial" w:hAnsi="Arial"/>
                <w:sz w:val="13"/>
                <w:szCs w:val="13"/>
                <w:b w:val="1"/>
                <w:bCs w:val="1"/>
                <w:color w:val="auto"/>
              </w:rPr>
              <w:t>Maturity</w:t>
            </w: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660" w:type="dxa"/>
            <w:vAlign w:val="bottom"/>
          </w:tcPr>
          <w:p>
            <w:pPr>
              <w:jc w:val="right"/>
              <w:ind w:right="73"/>
              <w:spacing w:after="0"/>
              <w:rPr>
                <w:sz w:val="20"/>
                <w:szCs w:val="20"/>
                <w:color w:val="auto"/>
              </w:rPr>
            </w:pPr>
            <w:r>
              <w:rPr>
                <w:rFonts w:ascii="Arial" w:cs="Arial" w:eastAsia="Arial" w:hAnsi="Arial"/>
                <w:sz w:val="13"/>
                <w:szCs w:val="13"/>
                <w:b w:val="1"/>
                <w:bCs w:val="1"/>
                <w:color w:val="auto"/>
              </w:rPr>
              <w:t>Current</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2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Par/</w:t>
            </w:r>
          </w:p>
        </w:tc>
        <w:tc>
          <w:tcPr>
            <w:tcW w:w="140" w:type="dxa"/>
            <w:vAlign w:val="bottom"/>
          </w:tcPr>
          <w:p>
            <w:pPr>
              <w:spacing w:after="0"/>
              <w:rPr>
                <w:sz w:val="14"/>
                <w:szCs w:val="14"/>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68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660" w:type="dxa"/>
            <w:vAlign w:val="bottom"/>
          </w:tcPr>
          <w:p>
            <w:pPr>
              <w:jc w:val="right"/>
              <w:ind w:right="73"/>
              <w:spacing w:after="0"/>
              <w:rPr>
                <w:sz w:val="20"/>
                <w:szCs w:val="20"/>
                <w:color w:val="auto"/>
              </w:rPr>
            </w:pPr>
            <w:r>
              <w:rPr>
                <w:rFonts w:ascii="Arial" w:cs="Arial" w:eastAsia="Arial" w:hAnsi="Arial"/>
                <w:sz w:val="13"/>
                <w:szCs w:val="13"/>
                <w:b w:val="1"/>
                <w:bCs w:val="1"/>
                <w:color w:val="auto"/>
              </w:rPr>
              <w:t>Coupon</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24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gridSpan w:val="2"/>
            <w:shd w:val="clear" w:color="auto" w:fill="CCEEFF"/>
          </w:tcPr>
          <w:p>
            <w:pPr>
              <w:spacing w:after="0" w:line="209" w:lineRule="exact"/>
              <w:rPr>
                <w:sz w:val="20"/>
                <w:szCs w:val="20"/>
                <w:color w:val="auto"/>
              </w:rPr>
            </w:pPr>
            <w:r>
              <w:rPr>
                <w:rFonts w:ascii="Arial" w:cs="Arial" w:eastAsia="Arial" w:hAnsi="Arial"/>
                <w:sz w:val="13"/>
                <w:szCs w:val="13"/>
                <w:b w:val="1"/>
                <w:bCs w:val="1"/>
                <w:color w:val="auto"/>
              </w:rPr>
              <w:t>Investments in Non-Controlled, Non-Affiliated Portfolio Companies—167.2%</w:t>
            </w:r>
            <w:r>
              <w:rPr>
                <w:rFonts w:ascii="Arial" w:cs="Arial" w:eastAsia="Arial" w:hAnsi="Arial"/>
                <w:sz w:val="22"/>
                <w:szCs w:val="22"/>
                <w:b w:val="1"/>
                <w:bCs w:val="1"/>
                <w:color w:val="auto"/>
                <w:vertAlign w:val="superscript"/>
              </w:rPr>
              <w:t>(1),(2)</w:t>
            </w:r>
          </w:p>
        </w:tc>
        <w:tc>
          <w:tcPr>
            <w:tcW w:w="1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3"/>
                <w:szCs w:val="13"/>
                <w:b w:val="1"/>
                <w:bCs w:val="1"/>
                <w:color w:val="auto"/>
              </w:rPr>
              <w:t>First Lien Secured Debt—60.6%</w:t>
            </w:r>
          </w:p>
        </w:tc>
        <w:tc>
          <w:tcPr>
            <w:tcW w:w="1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American Surgical Holdings, Inc.</w:t>
            </w:r>
          </w:p>
        </w:tc>
        <w:tc>
          <w:tcPr>
            <w:tcW w:w="1760" w:type="dxa"/>
            <w:vAlign w:val="bottom"/>
            <w:shd w:val="clear" w:color="auto" w:fill="CCEEFF"/>
          </w:tcPr>
          <w:p>
            <w:pPr>
              <w:jc w:val="center"/>
              <w:ind w:left="973"/>
              <w:spacing w:after="0" w:line="138" w:lineRule="exact"/>
              <w:rPr>
                <w:sz w:val="20"/>
                <w:szCs w:val="20"/>
                <w:color w:val="auto"/>
              </w:rPr>
            </w:pPr>
            <w:r>
              <w:rPr>
                <w:rFonts w:ascii="Arial" w:cs="Arial" w:eastAsia="Arial" w:hAnsi="Arial"/>
                <w:sz w:val="13"/>
                <w:szCs w:val="13"/>
                <w:color w:val="auto"/>
                <w:w w:val="92"/>
              </w:rPr>
              <w:t>03/23/2015</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14.00%</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L+1,000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(8)</w:t>
            </w: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20,300,000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$ 19,748,930</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7"/>
              </w:rPr>
              <w:t>$ 20,300,000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 and</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 (10)</w:t>
            </w:r>
          </w:p>
        </w:tc>
        <w:tc>
          <w:tcPr>
            <w:tcW w:w="1760" w:type="dxa"/>
            <w:vAlign w:val="bottom"/>
          </w:tcPr>
          <w:p>
            <w:pPr>
              <w:jc w:val="center"/>
              <w:ind w:left="973"/>
              <w:spacing w:after="0"/>
              <w:rPr>
                <w:sz w:val="20"/>
                <w:szCs w:val="20"/>
                <w:color w:val="auto"/>
              </w:rPr>
            </w:pPr>
            <w:r>
              <w:rPr>
                <w:rFonts w:ascii="Arial" w:cs="Arial" w:eastAsia="Arial" w:hAnsi="Arial"/>
                <w:sz w:val="13"/>
                <w:szCs w:val="13"/>
                <w:color w:val="auto"/>
                <w:w w:val="92"/>
              </w:rPr>
              <w:t>10/01/2016</w:t>
            </w:r>
          </w:p>
        </w:tc>
        <w:tc>
          <w:tcPr>
            <w:tcW w:w="1220" w:type="dxa"/>
            <w:vAlign w:val="bottom"/>
          </w:tcPr>
          <w:p>
            <w:pPr>
              <w:jc w:val="center"/>
              <w:spacing w:after="0"/>
              <w:rPr>
                <w:sz w:val="20"/>
                <w:szCs w:val="20"/>
                <w:color w:val="auto"/>
              </w:rPr>
            </w:pPr>
            <w:r>
              <w:rPr>
                <w:rFonts w:ascii="Arial" w:cs="Arial" w:eastAsia="Arial" w:hAnsi="Arial"/>
                <w:sz w:val="13"/>
                <w:szCs w:val="13"/>
                <w:color w:val="auto"/>
                <w:w w:val="98"/>
              </w:rPr>
              <w:t>Logistics</w:t>
            </w:r>
          </w:p>
        </w:tc>
        <w:tc>
          <w:tcPr>
            <w:tcW w:w="660" w:type="dxa"/>
            <w:vAlign w:val="bottom"/>
          </w:tcPr>
          <w:p>
            <w:pPr>
              <w:jc w:val="right"/>
              <w:spacing w:after="0"/>
              <w:rPr>
                <w:sz w:val="20"/>
                <w:szCs w:val="20"/>
                <w:color w:val="auto"/>
              </w:rPr>
            </w:pPr>
            <w:r>
              <w:rPr>
                <w:rFonts w:ascii="Arial" w:cs="Arial" w:eastAsia="Arial" w:hAnsi="Arial"/>
                <w:sz w:val="13"/>
                <w:szCs w:val="13"/>
                <w:color w:val="auto"/>
              </w:rPr>
              <w:t>11.63%</w:t>
            </w:r>
          </w:p>
        </w:tc>
        <w:tc>
          <w:tcPr>
            <w:tcW w:w="220" w:type="dxa"/>
            <w:vAlign w:val="bottom"/>
          </w:tcPr>
          <w:p>
            <w:pPr>
              <w:spacing w:after="0"/>
              <w:rPr>
                <w:sz w:val="12"/>
                <w:szCs w:val="12"/>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7,500,000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7,328,729</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7,331,250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 (10)</w:t>
            </w:r>
          </w:p>
        </w:tc>
        <w:tc>
          <w:tcPr>
            <w:tcW w:w="1760" w:type="dxa"/>
            <w:vAlign w:val="bottom"/>
            <w:shd w:val="clear" w:color="auto" w:fill="CCEEFF"/>
          </w:tcPr>
          <w:p>
            <w:pPr>
              <w:jc w:val="center"/>
              <w:ind w:left="973"/>
              <w:spacing w:after="0"/>
              <w:rPr>
                <w:sz w:val="20"/>
                <w:szCs w:val="20"/>
                <w:color w:val="auto"/>
              </w:rPr>
            </w:pPr>
            <w:r>
              <w:rPr>
                <w:rFonts w:ascii="Arial" w:cs="Arial" w:eastAsia="Arial" w:hAnsi="Arial"/>
                <w:sz w:val="13"/>
                <w:szCs w:val="13"/>
                <w:color w:val="auto"/>
                <w:w w:val="92"/>
              </w:rPr>
              <w:t>04/01/2018</w:t>
            </w: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Logistics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988,872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80" w:type="dxa"/>
            <w:vAlign w:val="bottom"/>
          </w:tcPr>
          <w:p>
            <w:pPr>
              <w:spacing w:after="0" w:line="138" w:lineRule="exact"/>
              <w:rPr>
                <w:sz w:val="20"/>
                <w:szCs w:val="20"/>
                <w:color w:val="auto"/>
              </w:rPr>
            </w:pPr>
            <w:r>
              <w:rPr>
                <w:rFonts w:ascii="Arial" w:cs="Arial" w:eastAsia="Arial" w:hAnsi="Arial"/>
                <w:sz w:val="13"/>
                <w:szCs w:val="13"/>
                <w:color w:val="auto"/>
              </w:rPr>
              <w:t>Chester Downs and Marina, LLC</w:t>
            </w:r>
          </w:p>
        </w:tc>
        <w:tc>
          <w:tcPr>
            <w:tcW w:w="1760" w:type="dxa"/>
            <w:vAlign w:val="bottom"/>
          </w:tcPr>
          <w:p>
            <w:pPr>
              <w:jc w:val="center"/>
              <w:ind w:left="973"/>
              <w:spacing w:after="0" w:line="138" w:lineRule="exact"/>
              <w:rPr>
                <w:sz w:val="20"/>
                <w:szCs w:val="20"/>
                <w:color w:val="auto"/>
              </w:rPr>
            </w:pPr>
            <w:r>
              <w:rPr>
                <w:rFonts w:ascii="Arial" w:cs="Arial" w:eastAsia="Arial" w:hAnsi="Arial"/>
                <w:sz w:val="13"/>
                <w:szCs w:val="13"/>
                <w:color w:val="auto"/>
                <w:w w:val="92"/>
              </w:rPr>
              <w:t>07/29/2016</w:t>
            </w:r>
          </w:p>
        </w:tc>
        <w:tc>
          <w:tcPr>
            <w:tcW w:w="1220" w:type="dxa"/>
            <w:vAlign w:val="bottom"/>
          </w:tcPr>
          <w:p>
            <w:pPr>
              <w:jc w:val="center"/>
              <w:spacing w:after="0" w:line="138" w:lineRule="exact"/>
              <w:rPr>
                <w:sz w:val="20"/>
                <w:szCs w:val="20"/>
                <w:color w:val="auto"/>
              </w:rPr>
            </w:pPr>
            <w:r>
              <w:rPr>
                <w:rFonts w:ascii="Arial" w:cs="Arial" w:eastAsia="Arial" w:hAnsi="Arial"/>
                <w:sz w:val="13"/>
                <w:szCs w:val="13"/>
                <w:color w:val="auto"/>
                <w:w w:val="96"/>
              </w:rPr>
              <w:t>Hotels, Motels, Inns</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12.38%</w:t>
            </w:r>
          </w:p>
        </w:tc>
        <w:tc>
          <w:tcPr>
            <w:tcW w:w="2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L+988</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8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11,358,254</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11,024,166</w:t>
            </w:r>
          </w:p>
        </w:tc>
        <w:tc>
          <w:tcPr>
            <w:tcW w:w="160" w:type="dxa"/>
            <w:vAlign w:val="bottom"/>
          </w:tcPr>
          <w:p>
            <w:pPr>
              <w:spacing w:after="0"/>
              <w:rPr>
                <w:sz w:val="11"/>
                <w:szCs w:val="11"/>
                <w:color w:val="auto"/>
              </w:rPr>
            </w:pPr>
          </w:p>
        </w:tc>
        <w:tc>
          <w:tcPr>
            <w:tcW w:w="82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11,310,924</w:t>
            </w: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3"/>
              </w:rPr>
              <w:t>and Gaming</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 (10)</w:t>
            </w:r>
          </w:p>
        </w:tc>
        <w:tc>
          <w:tcPr>
            <w:tcW w:w="1760" w:type="dxa"/>
            <w:vAlign w:val="bottom"/>
            <w:shd w:val="clear" w:color="auto" w:fill="CCEEFF"/>
          </w:tcPr>
          <w:p>
            <w:pPr>
              <w:jc w:val="center"/>
              <w:ind w:left="973"/>
              <w:spacing w:after="0"/>
              <w:rPr>
                <w:sz w:val="20"/>
                <w:szCs w:val="20"/>
                <w:color w:val="auto"/>
              </w:rPr>
            </w:pPr>
            <w:r>
              <w:rPr>
                <w:rFonts w:ascii="Arial" w:cs="Arial" w:eastAsia="Arial" w:hAnsi="Arial"/>
                <w:sz w:val="13"/>
                <w:szCs w:val="13"/>
                <w:color w:val="auto"/>
                <w:w w:val="92"/>
              </w:rPr>
              <w:t>11/20/2014</w:t>
            </w: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Communications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Arial" w:cs="Arial" w:eastAsia="Arial" w:hAnsi="Arial"/>
                <w:sz w:val="11"/>
                <w:szCs w:val="11"/>
                <w:color w:val="auto"/>
              </w:rPr>
              <w:t>Covad Communications Group, Inc.</w:t>
            </w:r>
            <w:r>
              <w:rPr>
                <w:rFonts w:ascii="Arial" w:cs="Arial" w:eastAsia="Arial" w:hAnsi="Arial"/>
                <w:sz w:val="17"/>
                <w:szCs w:val="17"/>
                <w:color w:val="auto"/>
                <w:vertAlign w:val="superscript"/>
              </w:rPr>
              <w:t>(5)</w:t>
            </w:r>
          </w:p>
        </w:tc>
        <w:tc>
          <w:tcPr>
            <w:tcW w:w="1760" w:type="dxa"/>
            <w:vAlign w:val="bottom"/>
          </w:tcPr>
          <w:p>
            <w:pPr>
              <w:jc w:val="center"/>
              <w:ind w:left="973"/>
              <w:spacing w:after="0"/>
              <w:rPr>
                <w:sz w:val="20"/>
                <w:szCs w:val="20"/>
                <w:color w:val="auto"/>
              </w:rPr>
            </w:pPr>
            <w:r>
              <w:rPr>
                <w:rFonts w:ascii="Arial" w:cs="Arial" w:eastAsia="Arial" w:hAnsi="Arial"/>
                <w:sz w:val="13"/>
                <w:szCs w:val="13"/>
                <w:color w:val="auto"/>
                <w:w w:val="92"/>
              </w:rPr>
              <w:t>11/03/2015</w:t>
            </w:r>
          </w:p>
        </w:tc>
        <w:tc>
          <w:tcPr>
            <w:tcW w:w="122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660" w:type="dxa"/>
            <w:vAlign w:val="bottom"/>
          </w:tcPr>
          <w:p>
            <w:pPr>
              <w:jc w:val="right"/>
              <w:spacing w:after="0"/>
              <w:rPr>
                <w:sz w:val="20"/>
                <w:szCs w:val="20"/>
                <w:color w:val="auto"/>
              </w:rPr>
            </w:pPr>
            <w:r>
              <w:rPr>
                <w:rFonts w:ascii="Arial" w:cs="Arial" w:eastAsia="Arial" w:hAnsi="Arial"/>
                <w:sz w:val="13"/>
                <w:szCs w:val="13"/>
                <w:color w:val="auto"/>
              </w:rPr>
              <w:t>12.00%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L+1,000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6,475,000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6,362,696</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6,345,500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Good Sam Enterprises, LLC </w:t>
            </w:r>
            <w:r>
              <w:rPr>
                <w:rFonts w:ascii="Arial" w:cs="Arial" w:eastAsia="Arial" w:hAnsi="Arial"/>
                <w:sz w:val="15"/>
                <w:szCs w:val="15"/>
                <w:color w:val="auto"/>
                <w:vertAlign w:val="superscript"/>
              </w:rPr>
              <w:t>(5)</w:t>
            </w:r>
          </w:p>
        </w:tc>
        <w:tc>
          <w:tcPr>
            <w:tcW w:w="1760" w:type="dxa"/>
            <w:vAlign w:val="bottom"/>
            <w:shd w:val="clear" w:color="auto" w:fill="CCEEFF"/>
          </w:tcPr>
          <w:p>
            <w:pPr>
              <w:jc w:val="center"/>
              <w:ind w:left="973"/>
              <w:spacing w:after="0" w:line="138" w:lineRule="exact"/>
              <w:rPr>
                <w:sz w:val="20"/>
                <w:szCs w:val="20"/>
                <w:color w:val="auto"/>
              </w:rPr>
            </w:pPr>
            <w:r>
              <w:rPr>
                <w:rFonts w:ascii="Arial" w:cs="Arial" w:eastAsia="Arial" w:hAnsi="Arial"/>
                <w:sz w:val="13"/>
                <w:szCs w:val="13"/>
                <w:color w:val="auto"/>
                <w:w w:val="92"/>
              </w:rPr>
              <w:t>12/01/2016</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Consumer Products</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11.50%</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12,000,000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11,759,625</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11,220,000</w:t>
            </w: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(f/k/a Affinity Group Holdings Inc.)</w:t>
            </w:r>
          </w:p>
        </w:tc>
        <w:tc>
          <w:tcPr>
            <w:tcW w:w="17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3"/>
                <w:szCs w:val="13"/>
                <w:color w:val="auto"/>
              </w:rPr>
              <w:t>Hanley-Wood, L.L.C.</w:t>
            </w:r>
          </w:p>
        </w:tc>
        <w:tc>
          <w:tcPr>
            <w:tcW w:w="1760" w:type="dxa"/>
            <w:vAlign w:val="bottom"/>
          </w:tcPr>
          <w:p>
            <w:pPr>
              <w:jc w:val="center"/>
              <w:ind w:left="973"/>
              <w:spacing w:after="0"/>
              <w:rPr>
                <w:sz w:val="20"/>
                <w:szCs w:val="20"/>
                <w:color w:val="auto"/>
              </w:rPr>
            </w:pPr>
            <w:r>
              <w:rPr>
                <w:rFonts w:ascii="Arial" w:cs="Arial" w:eastAsia="Arial" w:hAnsi="Arial"/>
                <w:sz w:val="13"/>
                <w:szCs w:val="13"/>
                <w:color w:val="auto"/>
                <w:w w:val="92"/>
              </w:rPr>
              <w:t>03/10/2014</w:t>
            </w:r>
          </w:p>
        </w:tc>
        <w:tc>
          <w:tcPr>
            <w:tcW w:w="122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660" w:type="dxa"/>
            <w:vAlign w:val="bottom"/>
          </w:tcPr>
          <w:p>
            <w:pPr>
              <w:jc w:val="right"/>
              <w:spacing w:after="0"/>
              <w:rPr>
                <w:sz w:val="20"/>
                <w:szCs w:val="20"/>
                <w:color w:val="auto"/>
              </w:rPr>
            </w:pPr>
            <w:r>
              <w:rPr>
                <w:rFonts w:ascii="Arial" w:cs="Arial" w:eastAsia="Arial" w:hAnsi="Arial"/>
                <w:sz w:val="13"/>
                <w:szCs w:val="13"/>
                <w:color w:val="auto"/>
              </w:rPr>
              <w:t>2.56%</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L+225</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8,662,500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8,662,500</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4,222,969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Instant Web, Inc.</w:t>
            </w:r>
          </w:p>
        </w:tc>
        <w:tc>
          <w:tcPr>
            <w:tcW w:w="1760" w:type="dxa"/>
            <w:vAlign w:val="bottom"/>
            <w:shd w:val="clear" w:color="auto" w:fill="CCEEFF"/>
          </w:tcPr>
          <w:p>
            <w:pPr>
              <w:jc w:val="center"/>
              <w:ind w:left="973"/>
              <w:spacing w:after="0" w:line="138" w:lineRule="exact"/>
              <w:rPr>
                <w:sz w:val="20"/>
                <w:szCs w:val="20"/>
                <w:color w:val="auto"/>
              </w:rPr>
            </w:pPr>
            <w:r>
              <w:rPr>
                <w:rFonts w:ascii="Arial" w:cs="Arial" w:eastAsia="Arial" w:hAnsi="Arial"/>
                <w:sz w:val="13"/>
                <w:szCs w:val="13"/>
                <w:color w:val="auto"/>
                <w:w w:val="92"/>
              </w:rPr>
              <w:t>08/07/2014</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Printing and</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14.50%</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L+950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(8)</w:t>
            </w: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24,625,000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24,227,464</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25,683,875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80" w:type="dxa"/>
            <w:vAlign w:val="bottom"/>
          </w:tcPr>
          <w:p>
            <w:pPr>
              <w:spacing w:after="0" w:line="138" w:lineRule="exact"/>
              <w:rPr>
                <w:sz w:val="20"/>
                <w:szCs w:val="20"/>
                <w:color w:val="auto"/>
              </w:rPr>
            </w:pPr>
            <w:r>
              <w:rPr>
                <w:rFonts w:ascii="Arial" w:cs="Arial" w:eastAsia="Arial" w:hAnsi="Arial"/>
                <w:sz w:val="13"/>
                <w:szCs w:val="13"/>
                <w:color w:val="auto"/>
              </w:rPr>
              <w:t>Interactive Health Solutions, Inc.</w:t>
            </w:r>
          </w:p>
        </w:tc>
        <w:tc>
          <w:tcPr>
            <w:tcW w:w="1760" w:type="dxa"/>
            <w:vAlign w:val="bottom"/>
          </w:tcPr>
          <w:p>
            <w:pPr>
              <w:jc w:val="center"/>
              <w:ind w:left="973"/>
              <w:spacing w:after="0" w:line="138" w:lineRule="exact"/>
              <w:rPr>
                <w:sz w:val="20"/>
                <w:szCs w:val="20"/>
                <w:color w:val="auto"/>
              </w:rPr>
            </w:pPr>
            <w:r>
              <w:rPr>
                <w:rFonts w:ascii="Arial" w:cs="Arial" w:eastAsia="Arial" w:hAnsi="Arial"/>
                <w:sz w:val="13"/>
                <w:szCs w:val="13"/>
                <w:color w:val="auto"/>
                <w:w w:val="92"/>
              </w:rPr>
              <w:t>10/04/2016</w:t>
            </w:r>
          </w:p>
        </w:tc>
        <w:tc>
          <w:tcPr>
            <w:tcW w:w="1220" w:type="dxa"/>
            <w:vAlign w:val="bottom"/>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11.50%</w:t>
            </w:r>
          </w:p>
        </w:tc>
        <w:tc>
          <w:tcPr>
            <w:tcW w:w="2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L+950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8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19,000,000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18,572,500</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18,572,500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3"/>
              </w:rPr>
              <w:t>Education and</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Jacuzzi Brands Corp.</w:t>
            </w:r>
          </w:p>
        </w:tc>
        <w:tc>
          <w:tcPr>
            <w:tcW w:w="1760" w:type="dxa"/>
            <w:vAlign w:val="bottom"/>
            <w:shd w:val="clear" w:color="auto" w:fill="CCEEFF"/>
          </w:tcPr>
          <w:p>
            <w:pPr>
              <w:jc w:val="center"/>
              <w:ind w:left="973"/>
              <w:spacing w:after="0" w:line="138" w:lineRule="exact"/>
              <w:rPr>
                <w:sz w:val="20"/>
                <w:szCs w:val="20"/>
                <w:color w:val="auto"/>
              </w:rPr>
            </w:pPr>
            <w:r>
              <w:rPr>
                <w:rFonts w:ascii="Arial" w:cs="Arial" w:eastAsia="Arial" w:hAnsi="Arial"/>
                <w:sz w:val="13"/>
                <w:szCs w:val="13"/>
                <w:color w:val="auto"/>
                <w:w w:val="92"/>
              </w:rPr>
              <w:t>02/07/2014</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Home and Office</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2.51%</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L+225</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9,671,622</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9,671,622</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6,866,851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Furnishings,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Housewares and</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Durable Consumer</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Products</w:t>
            </w: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80" w:type="dxa"/>
            <w:vAlign w:val="bottom"/>
          </w:tcPr>
          <w:p>
            <w:pPr>
              <w:spacing w:after="0" w:line="138" w:lineRule="exact"/>
              <w:rPr>
                <w:sz w:val="20"/>
                <w:szCs w:val="20"/>
                <w:color w:val="auto"/>
              </w:rPr>
            </w:pPr>
            <w:r>
              <w:rPr>
                <w:rFonts w:ascii="Arial" w:cs="Arial" w:eastAsia="Arial" w:hAnsi="Arial"/>
                <w:sz w:val="13"/>
                <w:szCs w:val="13"/>
                <w:color w:val="auto"/>
              </w:rPr>
              <w:t>K2 Pure Solutions NoCal, L.P.</w:t>
            </w:r>
          </w:p>
        </w:tc>
        <w:tc>
          <w:tcPr>
            <w:tcW w:w="1760" w:type="dxa"/>
            <w:vAlign w:val="bottom"/>
          </w:tcPr>
          <w:p>
            <w:pPr>
              <w:jc w:val="center"/>
              <w:ind w:left="973"/>
              <w:spacing w:after="0" w:line="138" w:lineRule="exact"/>
              <w:rPr>
                <w:sz w:val="20"/>
                <w:szCs w:val="20"/>
                <w:color w:val="auto"/>
              </w:rPr>
            </w:pPr>
            <w:r>
              <w:rPr>
                <w:rFonts w:ascii="Arial" w:cs="Arial" w:eastAsia="Arial" w:hAnsi="Arial"/>
                <w:sz w:val="13"/>
                <w:szCs w:val="13"/>
                <w:color w:val="auto"/>
                <w:w w:val="92"/>
              </w:rPr>
              <w:t>09/10/2015</w:t>
            </w:r>
          </w:p>
        </w:tc>
        <w:tc>
          <w:tcPr>
            <w:tcW w:w="1220" w:type="dxa"/>
            <w:vAlign w:val="bottom"/>
          </w:tcPr>
          <w:p>
            <w:pPr>
              <w:jc w:val="center"/>
              <w:spacing w:after="0" w:line="138" w:lineRule="exact"/>
              <w:rPr>
                <w:sz w:val="20"/>
                <w:szCs w:val="20"/>
                <w:color w:val="auto"/>
              </w:rPr>
            </w:pPr>
            <w:r>
              <w:rPr>
                <w:rFonts w:ascii="Arial" w:cs="Arial" w:eastAsia="Arial" w:hAnsi="Arial"/>
                <w:sz w:val="13"/>
                <w:szCs w:val="13"/>
                <w:color w:val="auto"/>
                <w:w w:val="92"/>
              </w:rPr>
              <w:t>Chemicals, Plastics</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10.00%</w:t>
            </w:r>
          </w:p>
        </w:tc>
        <w:tc>
          <w:tcPr>
            <w:tcW w:w="2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P+675</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8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18,952,500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18,002,959</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18,004,875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1"/>
              </w:rPr>
              <w:t>and Rubber</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Kadmon Pharmaceuticals, LLC</w:t>
            </w:r>
          </w:p>
        </w:tc>
        <w:tc>
          <w:tcPr>
            <w:tcW w:w="1760" w:type="dxa"/>
            <w:vAlign w:val="bottom"/>
            <w:shd w:val="clear" w:color="auto" w:fill="CCEEFF"/>
          </w:tcPr>
          <w:p>
            <w:pPr>
              <w:jc w:val="center"/>
              <w:ind w:left="973"/>
              <w:spacing w:after="0" w:line="138" w:lineRule="exact"/>
              <w:rPr>
                <w:sz w:val="20"/>
                <w:szCs w:val="20"/>
                <w:color w:val="auto"/>
              </w:rPr>
            </w:pPr>
            <w:r>
              <w:rPr>
                <w:rFonts w:ascii="Arial" w:cs="Arial" w:eastAsia="Arial" w:hAnsi="Arial"/>
                <w:sz w:val="13"/>
                <w:szCs w:val="13"/>
                <w:color w:val="auto"/>
                <w:w w:val="92"/>
              </w:rPr>
              <w:t>10/22/2011</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Healthcare,</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15.00%</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L+1,300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(8)</w:t>
            </w: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29,066,987</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27,940,332</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30,811,006</w:t>
            </w: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(f/k/a Three Rivers Pharmaceutical, L.L.C.)</w:t>
            </w:r>
          </w:p>
        </w:tc>
        <w:tc>
          <w:tcPr>
            <w:tcW w:w="17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 and</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3"/>
                <w:szCs w:val="13"/>
                <w:color w:val="auto"/>
              </w:rPr>
              <w:t>Learning Care Group, Inc.</w:t>
            </w:r>
          </w:p>
        </w:tc>
        <w:tc>
          <w:tcPr>
            <w:tcW w:w="1760" w:type="dxa"/>
            <w:vAlign w:val="bottom"/>
          </w:tcPr>
          <w:p>
            <w:pPr>
              <w:jc w:val="center"/>
              <w:ind w:left="973"/>
              <w:spacing w:after="0"/>
              <w:rPr>
                <w:sz w:val="20"/>
                <w:szCs w:val="20"/>
                <w:color w:val="auto"/>
              </w:rPr>
            </w:pPr>
            <w:r>
              <w:rPr>
                <w:rFonts w:ascii="Arial" w:cs="Arial" w:eastAsia="Arial" w:hAnsi="Arial"/>
                <w:sz w:val="13"/>
                <w:szCs w:val="13"/>
                <w:color w:val="auto"/>
                <w:w w:val="92"/>
              </w:rPr>
              <w:t>04/27/2016</w:t>
            </w:r>
          </w:p>
        </w:tc>
        <w:tc>
          <w:tcPr>
            <w:tcW w:w="1220" w:type="dxa"/>
            <w:vAlign w:val="bottom"/>
          </w:tcPr>
          <w:p>
            <w:pPr>
              <w:jc w:val="center"/>
              <w:spacing w:after="0"/>
              <w:rPr>
                <w:sz w:val="20"/>
                <w:szCs w:val="20"/>
                <w:color w:val="auto"/>
              </w:rPr>
            </w:pPr>
            <w:r>
              <w:rPr>
                <w:rFonts w:ascii="Arial" w:cs="Arial" w:eastAsia="Arial" w:hAnsi="Arial"/>
                <w:sz w:val="13"/>
                <w:szCs w:val="13"/>
                <w:color w:val="auto"/>
                <w:w w:val="93"/>
              </w:rPr>
              <w:t>Education</w:t>
            </w:r>
          </w:p>
        </w:tc>
        <w:tc>
          <w:tcPr>
            <w:tcW w:w="660" w:type="dxa"/>
            <w:vAlign w:val="bottom"/>
          </w:tcPr>
          <w:p>
            <w:pPr>
              <w:jc w:val="right"/>
              <w:spacing w:after="0"/>
              <w:rPr>
                <w:sz w:val="20"/>
                <w:szCs w:val="20"/>
                <w:color w:val="auto"/>
              </w:rPr>
            </w:pPr>
            <w:r>
              <w:rPr>
                <w:rFonts w:ascii="Arial" w:cs="Arial" w:eastAsia="Arial" w:hAnsi="Arial"/>
                <w:sz w:val="13"/>
                <w:szCs w:val="13"/>
                <w:color w:val="auto"/>
              </w:rPr>
              <w:t>12.00%</w:t>
            </w:r>
          </w:p>
        </w:tc>
        <w:tc>
          <w:tcPr>
            <w:tcW w:w="220" w:type="dxa"/>
            <w:vAlign w:val="bottom"/>
          </w:tcPr>
          <w:p>
            <w:pPr>
              <w:spacing w:after="0"/>
              <w:rPr>
                <w:sz w:val="12"/>
                <w:szCs w:val="12"/>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26,052,632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25,555,967</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25,401,316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Penton Media, Inc.</w:t>
            </w:r>
          </w:p>
        </w:tc>
        <w:tc>
          <w:tcPr>
            <w:tcW w:w="1760" w:type="dxa"/>
            <w:vAlign w:val="bottom"/>
            <w:shd w:val="clear" w:color="auto" w:fill="CCEEFF"/>
          </w:tcPr>
          <w:p>
            <w:pPr>
              <w:jc w:val="center"/>
              <w:ind w:left="973"/>
              <w:spacing w:after="0"/>
              <w:rPr>
                <w:sz w:val="20"/>
                <w:szCs w:val="20"/>
                <w:color w:val="auto"/>
              </w:rPr>
            </w:pPr>
            <w:r>
              <w:rPr>
                <w:rFonts w:ascii="Arial" w:cs="Arial" w:eastAsia="Arial" w:hAnsi="Arial"/>
                <w:sz w:val="13"/>
                <w:szCs w:val="13"/>
                <w:color w:val="auto"/>
                <w:w w:val="92"/>
              </w:rPr>
              <w:t>08/01/2014</w:t>
            </w: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880" w:type="dxa"/>
            <w:vAlign w:val="bottom"/>
            <w:gridSpan w:val="2"/>
            <w:shd w:val="clear" w:color="auto" w:fill="CCEEFF"/>
          </w:tcPr>
          <w:p>
            <w:pPr>
              <w:jc w:val="right"/>
              <w:ind w:right="44"/>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L+400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37,779,699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32,241,162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26,130,971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80" w:type="dxa"/>
            <w:vAlign w:val="bottom"/>
          </w:tcPr>
          <w:p>
            <w:pPr>
              <w:spacing w:after="0" w:line="138" w:lineRule="exact"/>
              <w:rPr>
                <w:sz w:val="20"/>
                <w:szCs w:val="20"/>
                <w:color w:val="auto"/>
              </w:rPr>
            </w:pPr>
            <w:r>
              <w:rPr>
                <w:rFonts w:ascii="Arial" w:cs="Arial" w:eastAsia="Arial" w:hAnsi="Arial"/>
                <w:sz w:val="13"/>
                <w:szCs w:val="13"/>
                <w:color w:val="auto"/>
              </w:rPr>
              <w:t>Prepaid Legal Services, Inc., Tranche A</w:t>
            </w:r>
          </w:p>
        </w:tc>
        <w:tc>
          <w:tcPr>
            <w:tcW w:w="1760" w:type="dxa"/>
            <w:vAlign w:val="bottom"/>
          </w:tcPr>
          <w:p>
            <w:pPr>
              <w:jc w:val="center"/>
              <w:ind w:left="973"/>
              <w:spacing w:after="0" w:line="138" w:lineRule="exact"/>
              <w:rPr>
                <w:sz w:val="20"/>
                <w:szCs w:val="20"/>
                <w:color w:val="auto"/>
              </w:rPr>
            </w:pPr>
            <w:r>
              <w:rPr>
                <w:rFonts w:ascii="Arial" w:cs="Arial" w:eastAsia="Arial" w:hAnsi="Arial"/>
                <w:sz w:val="13"/>
                <w:szCs w:val="13"/>
                <w:color w:val="auto"/>
                <w:w w:val="92"/>
              </w:rPr>
              <w:t>12/30/2016</w:t>
            </w:r>
          </w:p>
        </w:tc>
        <w:tc>
          <w:tcPr>
            <w:tcW w:w="1220" w:type="dxa"/>
            <w:vAlign w:val="bottom"/>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7.50%</w:t>
            </w:r>
          </w:p>
        </w:tc>
        <w:tc>
          <w:tcPr>
            <w:tcW w:w="220" w:type="dxa"/>
            <w:vAlign w:val="bottom"/>
          </w:tcPr>
          <w:p>
            <w:pPr>
              <w:jc w:val="right"/>
              <w:ind w:right="24"/>
              <w:spacing w:after="0"/>
              <w:rPr>
                <w:sz w:val="20"/>
                <w:szCs w:val="20"/>
                <w:color w:val="auto"/>
              </w:rPr>
            </w:pPr>
            <w:r>
              <w:rPr>
                <w:rFonts w:ascii="Arial" w:cs="Arial" w:eastAsia="Arial" w:hAnsi="Arial"/>
                <w:sz w:val="11"/>
                <w:szCs w:val="11"/>
                <w:color w:val="auto"/>
                <w:w w:val="88"/>
              </w:rPr>
              <w:t>(6)</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L+600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8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2,000,000</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1,970,966</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1,900,000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4"/>
              </w:rPr>
              <w:t>Miscellaneous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2"/>
              </w:rPr>
              <w:t>Services</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Prepaid Legal Services, Inc., Tranche B</w:t>
            </w:r>
          </w:p>
        </w:tc>
        <w:tc>
          <w:tcPr>
            <w:tcW w:w="1760" w:type="dxa"/>
            <w:vAlign w:val="bottom"/>
            <w:shd w:val="clear" w:color="auto" w:fill="CCEEFF"/>
          </w:tcPr>
          <w:p>
            <w:pPr>
              <w:jc w:val="center"/>
              <w:ind w:left="973"/>
              <w:spacing w:after="0" w:line="138" w:lineRule="exact"/>
              <w:rPr>
                <w:sz w:val="20"/>
                <w:szCs w:val="20"/>
                <w:color w:val="auto"/>
              </w:rPr>
            </w:pPr>
            <w:r>
              <w:rPr>
                <w:rFonts w:ascii="Arial" w:cs="Arial" w:eastAsia="Arial" w:hAnsi="Arial"/>
                <w:sz w:val="13"/>
                <w:szCs w:val="13"/>
                <w:color w:val="auto"/>
                <w:w w:val="92"/>
              </w:rPr>
              <w:t>12/30/2016</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11.00%</w:t>
            </w: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88"/>
              </w:rPr>
              <w:t>(6)</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L+950</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88"/>
              </w:rPr>
              <w:t>(8)</w:t>
            </w: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35,000,000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33,978,263</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33,250,000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Miscellaneous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Services</w:t>
            </w: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20"/>
                <w:szCs w:val="20"/>
                <w:color w:val="auto"/>
              </w:rPr>
            </w:pPr>
            <w:r>
              <w:rPr>
                <w:rFonts w:ascii="Arial" w:cs="Arial" w:eastAsia="Arial" w:hAnsi="Arial"/>
                <w:sz w:val="13"/>
                <w:szCs w:val="13"/>
                <w:color w:val="auto"/>
              </w:rPr>
              <w:t>Questex Media Group LLC</w:t>
            </w:r>
          </w:p>
        </w:tc>
        <w:tc>
          <w:tcPr>
            <w:tcW w:w="1760" w:type="dxa"/>
            <w:vAlign w:val="bottom"/>
          </w:tcPr>
          <w:p>
            <w:pPr>
              <w:jc w:val="center"/>
              <w:ind w:left="973"/>
              <w:spacing w:after="0"/>
              <w:rPr>
                <w:sz w:val="20"/>
                <w:szCs w:val="20"/>
                <w:color w:val="auto"/>
              </w:rPr>
            </w:pPr>
            <w:r>
              <w:rPr>
                <w:rFonts w:ascii="Arial" w:cs="Arial" w:eastAsia="Arial" w:hAnsi="Arial"/>
                <w:sz w:val="13"/>
                <w:szCs w:val="13"/>
                <w:color w:val="auto"/>
                <w:w w:val="92"/>
              </w:rPr>
              <w:t>12/16/2012</w:t>
            </w:r>
          </w:p>
        </w:tc>
        <w:tc>
          <w:tcPr>
            <w:tcW w:w="1220" w:type="dxa"/>
            <w:vAlign w:val="bottom"/>
          </w:tcPr>
          <w:p>
            <w:pPr>
              <w:jc w:val="center"/>
              <w:spacing w:after="0"/>
              <w:rPr>
                <w:sz w:val="20"/>
                <w:szCs w:val="20"/>
                <w:color w:val="auto"/>
              </w:rPr>
            </w:pPr>
            <w:r>
              <w:rPr>
                <w:rFonts w:ascii="Arial" w:cs="Arial" w:eastAsia="Arial" w:hAnsi="Arial"/>
                <w:sz w:val="13"/>
                <w:szCs w:val="13"/>
                <w:color w:val="auto"/>
                <w:w w:val="95"/>
              </w:rPr>
              <w:t>Other Media</w:t>
            </w:r>
          </w:p>
        </w:tc>
        <w:tc>
          <w:tcPr>
            <w:tcW w:w="660" w:type="dxa"/>
            <w:vAlign w:val="bottom"/>
          </w:tcPr>
          <w:p>
            <w:pPr>
              <w:jc w:val="right"/>
              <w:spacing w:after="0"/>
              <w:rPr>
                <w:sz w:val="20"/>
                <w:szCs w:val="20"/>
                <w:color w:val="auto"/>
              </w:rPr>
            </w:pPr>
            <w:r>
              <w:rPr>
                <w:rFonts w:ascii="Arial" w:cs="Arial" w:eastAsia="Arial" w:hAnsi="Arial"/>
                <w:sz w:val="13"/>
                <w:szCs w:val="13"/>
                <w:color w:val="auto"/>
              </w:rPr>
              <w:t>10.50%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L+550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26,721</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26,721</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26,721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Questex Media Group LLC </w:t>
            </w:r>
            <w:r>
              <w:rPr>
                <w:rFonts w:ascii="Arial" w:cs="Arial" w:eastAsia="Arial" w:hAnsi="Arial"/>
                <w:sz w:val="17"/>
                <w:szCs w:val="17"/>
                <w:color w:val="auto"/>
                <w:vertAlign w:val="superscript"/>
              </w:rPr>
              <w:t>(9)</w:t>
            </w:r>
          </w:p>
        </w:tc>
        <w:tc>
          <w:tcPr>
            <w:tcW w:w="1760" w:type="dxa"/>
            <w:vAlign w:val="bottom"/>
            <w:shd w:val="clear" w:color="auto" w:fill="CCEEFF"/>
          </w:tcPr>
          <w:p>
            <w:pPr>
              <w:jc w:val="center"/>
              <w:ind w:left="973"/>
              <w:spacing w:after="0"/>
              <w:rPr>
                <w:sz w:val="20"/>
                <w:szCs w:val="20"/>
                <w:color w:val="auto"/>
              </w:rPr>
            </w:pPr>
            <w:r>
              <w:rPr>
                <w:rFonts w:ascii="Arial" w:cs="Arial" w:eastAsia="Arial" w:hAnsi="Arial"/>
                <w:sz w:val="13"/>
                <w:szCs w:val="13"/>
                <w:color w:val="auto"/>
                <w:w w:val="92"/>
              </w:rPr>
              <w:t>12/16/2012</w:t>
            </w: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66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240,485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240,485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240,485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80" w:type="dxa"/>
            <w:vAlign w:val="bottom"/>
          </w:tcPr>
          <w:p>
            <w:pPr>
              <w:spacing w:after="0" w:line="138" w:lineRule="exact"/>
              <w:rPr>
                <w:sz w:val="20"/>
                <w:szCs w:val="20"/>
                <w:color w:val="auto"/>
              </w:rPr>
            </w:pPr>
            <w:r>
              <w:rPr>
                <w:rFonts w:ascii="Arial" w:cs="Arial" w:eastAsia="Arial" w:hAnsi="Arial"/>
                <w:sz w:val="13"/>
                <w:szCs w:val="13"/>
                <w:color w:val="auto"/>
              </w:rPr>
              <w:t>VPSI, Inc.</w:t>
            </w:r>
          </w:p>
        </w:tc>
        <w:tc>
          <w:tcPr>
            <w:tcW w:w="1760" w:type="dxa"/>
            <w:vAlign w:val="bottom"/>
          </w:tcPr>
          <w:p>
            <w:pPr>
              <w:jc w:val="center"/>
              <w:ind w:left="973"/>
              <w:spacing w:after="0" w:line="138" w:lineRule="exact"/>
              <w:rPr>
                <w:sz w:val="20"/>
                <w:szCs w:val="20"/>
                <w:color w:val="auto"/>
              </w:rPr>
            </w:pPr>
            <w:r>
              <w:rPr>
                <w:rFonts w:ascii="Arial" w:cs="Arial" w:eastAsia="Arial" w:hAnsi="Arial"/>
                <w:sz w:val="13"/>
                <w:szCs w:val="13"/>
                <w:color w:val="auto"/>
                <w:w w:val="92"/>
              </w:rPr>
              <w:t>12/23/2015</w:t>
            </w:r>
          </w:p>
        </w:tc>
        <w:tc>
          <w:tcPr>
            <w:tcW w:w="1220" w:type="dxa"/>
            <w:vAlign w:val="bottom"/>
          </w:tcPr>
          <w:p>
            <w:pPr>
              <w:jc w:val="center"/>
              <w:spacing w:after="0" w:line="138" w:lineRule="exact"/>
              <w:rPr>
                <w:sz w:val="20"/>
                <w:szCs w:val="20"/>
                <w:color w:val="auto"/>
              </w:rPr>
            </w:pPr>
            <w:r>
              <w:rPr>
                <w:rFonts w:ascii="Arial" w:cs="Arial" w:eastAsia="Arial" w:hAnsi="Arial"/>
                <w:sz w:val="13"/>
                <w:szCs w:val="13"/>
                <w:color w:val="auto"/>
                <w:w w:val="89"/>
              </w:rPr>
              <w:t>Personal</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12.00%</w:t>
            </w:r>
          </w:p>
        </w:tc>
        <w:tc>
          <w:tcPr>
            <w:tcW w:w="2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L+1,000</w:t>
            </w:r>
          </w:p>
        </w:tc>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(8)</w:t>
            </w:r>
          </w:p>
        </w:tc>
        <w:tc>
          <w:tcPr>
            <w:tcW w:w="88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17,302,083</w:t>
            </w:r>
          </w:p>
        </w:tc>
        <w:tc>
          <w:tcPr>
            <w:tcW w:w="8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17,047,133</w:t>
            </w:r>
          </w:p>
        </w:tc>
        <w:tc>
          <w:tcPr>
            <w:tcW w:w="16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17,215,572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5"/>
              </w:rPr>
              <w:t>Transportation</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1760" w:type="dxa"/>
            <w:vAlign w:val="bottom"/>
            <w:shd w:val="clear" w:color="auto" w:fill="CCEEFF"/>
          </w:tcPr>
          <w:p>
            <w:pPr>
              <w:jc w:val="center"/>
              <w:ind w:left="973"/>
              <w:spacing w:after="0" w:line="138" w:lineRule="exact"/>
              <w:rPr>
                <w:sz w:val="20"/>
                <w:szCs w:val="20"/>
                <w:color w:val="auto"/>
              </w:rPr>
            </w:pPr>
            <w:r>
              <w:rPr>
                <w:rFonts w:ascii="Arial" w:cs="Arial" w:eastAsia="Arial" w:hAnsi="Arial"/>
                <w:sz w:val="13"/>
                <w:szCs w:val="13"/>
                <w:color w:val="auto"/>
                <w:w w:val="92"/>
              </w:rPr>
              <w:t>07/15/2016</w:t>
            </w:r>
          </w:p>
        </w:tc>
        <w:tc>
          <w:tcPr>
            <w:tcW w:w="12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Hotels, Motels, Inns</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11.38%</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4,500,000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4,391,231</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4,590,000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and Gaming</w:t>
            </w: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680" w:type="dxa"/>
            <w:vAlign w:val="bottom"/>
          </w:tcPr>
          <w:p>
            <w:pPr>
              <w:spacing w:after="0"/>
              <w:rPr>
                <w:sz w:val="20"/>
                <w:szCs w:val="20"/>
                <w:color w:val="auto"/>
              </w:rPr>
            </w:pPr>
            <w:r>
              <w:rPr>
                <w:rFonts w:ascii="Arial" w:cs="Arial" w:eastAsia="Arial" w:hAnsi="Arial"/>
                <w:sz w:val="13"/>
                <w:szCs w:val="13"/>
                <w:b w:val="1"/>
                <w:bCs w:val="1"/>
                <w:color w:val="auto"/>
              </w:rPr>
              <w:t>Total First Lien Secured Debt</w:t>
            </w:r>
          </w:p>
        </w:tc>
        <w:tc>
          <w:tcPr>
            <w:tcW w:w="17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289,742,323</w:t>
            </w:r>
          </w:p>
        </w:tc>
        <w:tc>
          <w:tcPr>
            <w:tcW w:w="16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280,144,815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Basis Point</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Spread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00" w:type="dxa"/>
            <w:vAlign w:val="bottom"/>
          </w:tcPr>
          <w:p>
            <w:pPr>
              <w:spacing w:after="0"/>
              <w:rPr>
                <w:sz w:val="14"/>
                <w:szCs w:val="14"/>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Maturity</w:t>
            </w: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Industry</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3"/>
              </w:rPr>
              <w:t>Current</w:t>
            </w:r>
          </w:p>
        </w:tc>
        <w:tc>
          <w:tcPr>
            <w:tcW w:w="2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Above</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4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9"/>
              </w:rPr>
              <w:t>Coupon</w:t>
            </w:r>
          </w:p>
        </w:tc>
        <w:tc>
          <w:tcPr>
            <w:tcW w:w="28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Second Lien Secured Debt—32.9%</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Brand Energy and Infrastructure Services, Inc.</w:t>
            </w:r>
          </w:p>
        </w:tc>
        <w:tc>
          <w:tcPr>
            <w:tcW w:w="720" w:type="dxa"/>
            <w:vAlign w:val="bottom"/>
            <w:gridSpan w:val="2"/>
          </w:tcPr>
          <w:p>
            <w:pPr>
              <w:ind w:left="100"/>
              <w:spacing w:after="0"/>
              <w:rPr>
                <w:sz w:val="20"/>
                <w:szCs w:val="20"/>
                <w:color w:val="auto"/>
              </w:rPr>
            </w:pPr>
            <w:r>
              <w:rPr>
                <w:rFonts w:ascii="Arial" w:cs="Arial" w:eastAsia="Arial" w:hAnsi="Arial"/>
                <w:sz w:val="13"/>
                <w:szCs w:val="13"/>
                <w:color w:val="auto"/>
                <w:w w:val="92"/>
              </w:rPr>
              <w:t>02/07/2015</w:t>
            </w:r>
          </w:p>
        </w:tc>
        <w:tc>
          <w:tcPr>
            <w:tcW w:w="80" w:type="dxa"/>
            <w:vAlign w:val="bottom"/>
          </w:tcPr>
          <w:p>
            <w:pPr>
              <w:spacing w:after="0"/>
              <w:rPr>
                <w:sz w:val="12"/>
                <w:szCs w:val="12"/>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3"/>
                <w:szCs w:val="13"/>
                <w:color w:val="auto"/>
                <w:w w:val="99"/>
              </w:rPr>
              <w:t>Energy/Utilities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6.30%</w:t>
            </w:r>
          </w:p>
        </w:tc>
        <w:tc>
          <w:tcPr>
            <w:tcW w:w="280" w:type="dxa"/>
            <w:vAlign w:val="bottom"/>
          </w:tcPr>
          <w:p>
            <w:pPr>
              <w:spacing w:after="0"/>
              <w:rPr>
                <w:sz w:val="12"/>
                <w:szCs w:val="12"/>
                <w:color w:val="auto"/>
              </w:rPr>
            </w:pPr>
          </w:p>
        </w:tc>
        <w:tc>
          <w:tcPr>
            <w:tcW w:w="980" w:type="dxa"/>
            <w:vAlign w:val="bottom"/>
            <w:gridSpan w:val="2"/>
          </w:tcPr>
          <w:p>
            <w:pPr>
              <w:ind w:left="300"/>
              <w:spacing w:after="0"/>
              <w:rPr>
                <w:sz w:val="20"/>
                <w:szCs w:val="20"/>
                <w:color w:val="auto"/>
              </w:rPr>
            </w:pPr>
            <w:r>
              <w:rPr>
                <w:rFonts w:ascii="Arial" w:cs="Arial" w:eastAsia="Arial" w:hAnsi="Arial"/>
                <w:sz w:val="13"/>
                <w:szCs w:val="13"/>
                <w:color w:val="auto"/>
              </w:rPr>
              <w:t>L+600</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13,600,000</w:t>
            </w:r>
          </w:p>
        </w:tc>
        <w:tc>
          <w:tcPr>
            <w:tcW w:w="8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13,300,431</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11,832,000</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2"/>
              </w:rPr>
              <w:t>02/07/2015</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9"/>
              </w:rPr>
              <w:t>Energy/Utilities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7.33%</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L+700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12,000,000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11,821,275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w:t>
            </w:r>
          </w:p>
        </w:tc>
        <w:tc>
          <w:tcPr>
            <w:tcW w:w="720" w:type="dxa"/>
            <w:vAlign w:val="bottom"/>
            <w:gridSpan w:val="2"/>
          </w:tcPr>
          <w:p>
            <w:pPr>
              <w:ind w:left="100"/>
              <w:spacing w:after="0"/>
              <w:rPr>
                <w:sz w:val="20"/>
                <w:szCs w:val="20"/>
                <w:color w:val="auto"/>
              </w:rPr>
            </w:pPr>
            <w:r>
              <w:rPr>
                <w:rFonts w:ascii="Arial" w:cs="Arial" w:eastAsia="Arial" w:hAnsi="Arial"/>
                <w:sz w:val="13"/>
                <w:szCs w:val="13"/>
                <w:color w:val="auto"/>
                <w:w w:val="92"/>
              </w:rPr>
              <w:t>02/01/2017</w:t>
            </w:r>
          </w:p>
        </w:tc>
        <w:tc>
          <w:tcPr>
            <w:tcW w:w="80" w:type="dxa"/>
            <w:vAlign w:val="bottom"/>
          </w:tcPr>
          <w:p>
            <w:pPr>
              <w:spacing w:after="0"/>
              <w:rPr>
                <w:sz w:val="12"/>
                <w:szCs w:val="12"/>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Consumer Products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12.00%</w:t>
            </w:r>
          </w:p>
        </w:tc>
        <w:tc>
          <w:tcPr>
            <w:tcW w:w="280" w:type="dxa"/>
            <w:vAlign w:val="bottom"/>
          </w:tcPr>
          <w:p>
            <w:pPr>
              <w:spacing w:after="0"/>
              <w:rPr>
                <w:sz w:val="12"/>
                <w:szCs w:val="12"/>
                <w:color w:val="auto"/>
              </w:rPr>
            </w:pPr>
          </w:p>
        </w:tc>
        <w:tc>
          <w:tcPr>
            <w:tcW w:w="9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34,000,000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31,944,865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10,710,000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Eureka Hunter Pipeline, LLC</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2"/>
              </w:rPr>
              <w:t>08/16/2018</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Energy / Utilities</w:t>
            </w:r>
          </w:p>
        </w:tc>
        <w:tc>
          <w:tcPr>
            <w:tcW w:w="880" w:type="dxa"/>
            <w:vAlign w:val="bottom"/>
            <w:gridSpan w:val="3"/>
            <w:shd w:val="clear" w:color="auto" w:fill="CCEEFF"/>
          </w:tcPr>
          <w:p>
            <w:pPr>
              <w:jc w:val="right"/>
              <w:ind w:right="124"/>
              <w:spacing w:after="0" w:line="149" w:lineRule="exact"/>
              <w:rPr>
                <w:sz w:val="20"/>
                <w:szCs w:val="20"/>
                <w:color w:val="auto"/>
              </w:rPr>
            </w:pPr>
            <w:r>
              <w:rPr>
                <w:rFonts w:ascii="Arial" w:cs="Arial" w:eastAsia="Arial" w:hAnsi="Arial"/>
                <w:sz w:val="11"/>
                <w:szCs w:val="11"/>
                <w:color w:val="auto"/>
              </w:rPr>
              <w:t>12.50%</w:t>
            </w:r>
            <w:r>
              <w:rPr>
                <w:rFonts w:ascii="Arial" w:cs="Arial" w:eastAsia="Arial" w:hAnsi="Arial"/>
                <w:sz w:val="17"/>
                <w:szCs w:val="17"/>
                <w:color w:val="auto"/>
                <w:vertAlign w:val="superscript"/>
              </w:rPr>
              <w:t>(6)</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31,000,000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31,000,000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line="149" w:lineRule="exact"/>
              <w:rPr>
                <w:sz w:val="20"/>
                <w:szCs w:val="20"/>
                <w:color w:val="auto"/>
              </w:rPr>
            </w:pPr>
            <w:r>
              <w:rPr>
                <w:rFonts w:ascii="Arial" w:cs="Arial" w:eastAsia="Arial" w:hAnsi="Arial"/>
                <w:sz w:val="11"/>
                <w:szCs w:val="11"/>
                <w:color w:val="auto"/>
              </w:rPr>
              <w:t xml:space="preserve">Eureka Hunter Pipeline, LLC </w:t>
            </w:r>
            <w:r>
              <w:rPr>
                <w:rFonts w:ascii="Arial" w:cs="Arial" w:eastAsia="Arial" w:hAnsi="Arial"/>
                <w:sz w:val="17"/>
                <w:szCs w:val="17"/>
                <w:color w:val="auto"/>
                <w:vertAlign w:val="superscript"/>
              </w:rPr>
              <w:t>(9)</w:t>
            </w:r>
          </w:p>
        </w:tc>
        <w:tc>
          <w:tcPr>
            <w:tcW w:w="720" w:type="dxa"/>
            <w:vAlign w:val="bottom"/>
            <w:gridSpan w:val="2"/>
          </w:tcPr>
          <w:p>
            <w:pPr>
              <w:ind w:left="100"/>
              <w:spacing w:after="0"/>
              <w:rPr>
                <w:sz w:val="20"/>
                <w:szCs w:val="20"/>
                <w:color w:val="auto"/>
              </w:rPr>
            </w:pPr>
            <w:r>
              <w:rPr>
                <w:rFonts w:ascii="Arial" w:cs="Arial" w:eastAsia="Arial" w:hAnsi="Arial"/>
                <w:sz w:val="13"/>
                <w:szCs w:val="13"/>
                <w:color w:val="auto"/>
                <w:w w:val="92"/>
              </w:rPr>
              <w:t>08/15/2012</w:t>
            </w:r>
          </w:p>
        </w:tc>
        <w:tc>
          <w:tcPr>
            <w:tcW w:w="8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Energy / Utilities</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19,000,000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18,525,000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18,525,000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Greatwide Logistics Services, L.L.C.</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2"/>
              </w:rPr>
              <w:t>03/01/2014</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Cargo Transport</w:t>
            </w:r>
          </w:p>
        </w:tc>
        <w:tc>
          <w:tcPr>
            <w:tcW w:w="880" w:type="dxa"/>
            <w:vAlign w:val="bottom"/>
            <w:gridSpan w:val="3"/>
            <w:shd w:val="clear" w:color="auto" w:fill="CCEEFF"/>
          </w:tcPr>
          <w:p>
            <w:pPr>
              <w:jc w:val="right"/>
              <w:ind w:right="124"/>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9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1"/>
                <w:szCs w:val="11"/>
                <w:color w:val="auto"/>
              </w:rPr>
              <w:t xml:space="preserve">L+700 </w:t>
            </w:r>
            <w:r>
              <w:rPr>
                <w:rFonts w:ascii="Arial" w:cs="Arial" w:eastAsia="Arial" w:hAnsi="Arial"/>
                <w:sz w:val="17"/>
                <w:szCs w:val="17"/>
                <w:color w:val="auto"/>
                <w:vertAlign w:val="superscript"/>
              </w:rPr>
              <w:t>(8)</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2,860,871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2,860,871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2,860,871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Questex Media Group LLC, Term Loan A</w:t>
            </w:r>
          </w:p>
        </w:tc>
        <w:tc>
          <w:tcPr>
            <w:tcW w:w="720" w:type="dxa"/>
            <w:vAlign w:val="bottom"/>
            <w:gridSpan w:val="2"/>
          </w:tcPr>
          <w:p>
            <w:pPr>
              <w:ind w:left="100"/>
              <w:spacing w:after="0"/>
              <w:rPr>
                <w:sz w:val="20"/>
                <w:szCs w:val="20"/>
                <w:color w:val="auto"/>
              </w:rPr>
            </w:pPr>
            <w:r>
              <w:rPr>
                <w:rFonts w:ascii="Arial" w:cs="Arial" w:eastAsia="Arial" w:hAnsi="Arial"/>
                <w:sz w:val="13"/>
                <w:szCs w:val="13"/>
                <w:color w:val="auto"/>
                <w:w w:val="92"/>
              </w:rPr>
              <w:t>12/15/2014</w:t>
            </w:r>
          </w:p>
        </w:tc>
        <w:tc>
          <w:tcPr>
            <w:tcW w:w="8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Other Media</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9.50%</w:t>
            </w:r>
          </w:p>
        </w:tc>
        <w:tc>
          <w:tcPr>
            <w:tcW w:w="280" w:type="dxa"/>
            <w:vAlign w:val="bottom"/>
          </w:tcPr>
          <w:p>
            <w:pPr>
              <w:spacing w:after="0"/>
              <w:rPr>
                <w:sz w:val="12"/>
                <w:szCs w:val="12"/>
                <w:color w:val="auto"/>
              </w:rPr>
            </w:pPr>
          </w:p>
        </w:tc>
        <w:tc>
          <w:tcPr>
            <w:tcW w:w="980" w:type="dxa"/>
            <w:vAlign w:val="bottom"/>
            <w:gridSpan w:val="2"/>
          </w:tcPr>
          <w:p>
            <w:pPr>
              <w:ind w:left="300"/>
              <w:spacing w:after="0" w:line="149" w:lineRule="exact"/>
              <w:rPr>
                <w:sz w:val="20"/>
                <w:szCs w:val="20"/>
                <w:color w:val="auto"/>
              </w:rPr>
            </w:pPr>
            <w:r>
              <w:rPr>
                <w:rFonts w:ascii="Arial" w:cs="Arial" w:eastAsia="Arial" w:hAnsi="Arial"/>
                <w:sz w:val="11"/>
                <w:szCs w:val="11"/>
                <w:color w:val="auto"/>
              </w:rPr>
              <w:t xml:space="preserve">L+650 </w:t>
            </w:r>
            <w:r>
              <w:rPr>
                <w:rFonts w:ascii="Arial" w:cs="Arial" w:eastAsia="Arial" w:hAnsi="Arial"/>
                <w:sz w:val="17"/>
                <w:szCs w:val="17"/>
                <w:color w:val="auto"/>
                <w:vertAlign w:val="superscript"/>
              </w:rPr>
              <w:t>(8)</w:t>
            </w:r>
          </w:p>
        </w:tc>
        <w:tc>
          <w:tcPr>
            <w:tcW w:w="640" w:type="dxa"/>
            <w:vAlign w:val="bottom"/>
          </w:tcPr>
          <w:p>
            <w:pPr>
              <w:jc w:val="right"/>
              <w:spacing w:after="0"/>
              <w:rPr>
                <w:sz w:val="20"/>
                <w:szCs w:val="20"/>
                <w:color w:val="auto"/>
              </w:rPr>
            </w:pPr>
            <w:r>
              <w:rPr>
                <w:rFonts w:ascii="Arial" w:cs="Arial" w:eastAsia="Arial" w:hAnsi="Arial"/>
                <w:sz w:val="13"/>
                <w:szCs w:val="13"/>
                <w:color w:val="auto"/>
              </w:rPr>
              <w:t>2,971,450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2,971,450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2,692,134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Questex Media Group LLC, Term Loan B</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2"/>
              </w:rPr>
              <w:t>12/15/2015</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Other Media</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11.50%</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1"/>
                <w:szCs w:val="11"/>
                <w:color w:val="auto"/>
              </w:rPr>
              <w:t xml:space="preserve">L+750 </w:t>
            </w:r>
            <w:r>
              <w:rPr>
                <w:rFonts w:ascii="Arial" w:cs="Arial" w:eastAsia="Arial" w:hAnsi="Arial"/>
                <w:sz w:val="17"/>
                <w:szCs w:val="17"/>
                <w:color w:val="auto"/>
                <w:vertAlign w:val="superscript"/>
              </w:rPr>
              <w:t>(8)</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1,990,370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1,990,370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1,737,593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RAM Energy Resources, Inc.</w:t>
            </w:r>
          </w:p>
        </w:tc>
        <w:tc>
          <w:tcPr>
            <w:tcW w:w="720" w:type="dxa"/>
            <w:vAlign w:val="bottom"/>
            <w:gridSpan w:val="2"/>
          </w:tcPr>
          <w:p>
            <w:pPr>
              <w:ind w:left="100"/>
              <w:spacing w:after="0"/>
              <w:rPr>
                <w:sz w:val="20"/>
                <w:szCs w:val="20"/>
                <w:color w:val="auto"/>
              </w:rPr>
            </w:pPr>
            <w:r>
              <w:rPr>
                <w:rFonts w:ascii="Arial" w:cs="Arial" w:eastAsia="Arial" w:hAnsi="Arial"/>
                <w:sz w:val="13"/>
                <w:szCs w:val="13"/>
                <w:color w:val="auto"/>
                <w:w w:val="92"/>
              </w:rPr>
              <w:t>09/13/2016</w:t>
            </w:r>
          </w:p>
        </w:tc>
        <w:tc>
          <w:tcPr>
            <w:tcW w:w="8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Oil and Gas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11.00%</w:t>
            </w:r>
          </w:p>
        </w:tc>
        <w:tc>
          <w:tcPr>
            <w:tcW w:w="280" w:type="dxa"/>
            <w:vAlign w:val="bottom"/>
          </w:tcPr>
          <w:p>
            <w:pPr>
              <w:spacing w:after="0"/>
              <w:rPr>
                <w:sz w:val="12"/>
                <w:szCs w:val="12"/>
                <w:color w:val="auto"/>
              </w:rPr>
            </w:pPr>
          </w:p>
        </w:tc>
        <w:tc>
          <w:tcPr>
            <w:tcW w:w="980" w:type="dxa"/>
            <w:vAlign w:val="bottom"/>
            <w:gridSpan w:val="2"/>
          </w:tcPr>
          <w:p>
            <w:pPr>
              <w:ind w:left="300"/>
              <w:spacing w:after="0" w:line="149" w:lineRule="exact"/>
              <w:rPr>
                <w:sz w:val="20"/>
                <w:szCs w:val="20"/>
                <w:color w:val="auto"/>
              </w:rPr>
            </w:pPr>
            <w:r>
              <w:rPr>
                <w:rFonts w:ascii="Arial" w:cs="Arial" w:eastAsia="Arial" w:hAnsi="Arial"/>
                <w:sz w:val="11"/>
                <w:szCs w:val="11"/>
                <w:color w:val="auto"/>
              </w:rPr>
              <w:t xml:space="preserve">L+900 </w:t>
            </w:r>
            <w:r>
              <w:rPr>
                <w:rFonts w:ascii="Arial" w:cs="Arial" w:eastAsia="Arial" w:hAnsi="Arial"/>
                <w:sz w:val="17"/>
                <w:szCs w:val="17"/>
                <w:color w:val="auto"/>
                <w:vertAlign w:val="superscript"/>
              </w:rPr>
              <w:t>(8)</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17,000,000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16,672,749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16,830,000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Realogy Corp.</w:t>
            </w:r>
          </w:p>
        </w:tc>
        <w:tc>
          <w:tcPr>
            <w:tcW w:w="2340" w:type="dxa"/>
            <w:vAlign w:val="bottom"/>
            <w:gridSpan w:val="5"/>
            <w:shd w:val="clear" w:color="auto" w:fill="CCEEFF"/>
          </w:tcPr>
          <w:p>
            <w:pPr>
              <w:ind w:left="100"/>
              <w:spacing w:after="0"/>
              <w:rPr>
                <w:sz w:val="20"/>
                <w:szCs w:val="20"/>
                <w:color w:val="auto"/>
              </w:rPr>
            </w:pPr>
            <w:r>
              <w:rPr>
                <w:rFonts w:ascii="Arial" w:cs="Arial" w:eastAsia="Arial" w:hAnsi="Arial"/>
                <w:sz w:val="13"/>
                <w:szCs w:val="13"/>
                <w:color w:val="auto"/>
              </w:rPr>
              <w:t>10/15/2017  Buildings and Real Estate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13.50%</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10,000,000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20" w:type="dxa"/>
            <w:vAlign w:val="bottom"/>
          </w:tcPr>
          <w:p>
            <w:pPr>
              <w:spacing w:after="0" w:line="138" w:lineRule="exact"/>
              <w:rPr>
                <w:sz w:val="20"/>
                <w:szCs w:val="20"/>
                <w:color w:val="auto"/>
              </w:rPr>
            </w:pPr>
            <w:r>
              <w:rPr>
                <w:rFonts w:ascii="Arial" w:cs="Arial" w:eastAsia="Arial" w:hAnsi="Arial"/>
                <w:sz w:val="13"/>
                <w:szCs w:val="13"/>
                <w:color w:val="auto"/>
              </w:rPr>
              <w:t>ROC Finance LLC and ROC Finance 1 Corp.</w:t>
            </w:r>
          </w:p>
        </w:tc>
        <w:tc>
          <w:tcPr>
            <w:tcW w:w="2340" w:type="dxa"/>
            <w:vAlign w:val="bottom"/>
            <w:gridSpan w:val="5"/>
          </w:tcPr>
          <w:p>
            <w:pPr>
              <w:ind w:left="100"/>
              <w:spacing w:after="0" w:line="138" w:lineRule="exact"/>
              <w:rPr>
                <w:sz w:val="20"/>
                <w:szCs w:val="20"/>
                <w:color w:val="auto"/>
              </w:rPr>
            </w:pPr>
            <w:r>
              <w:rPr>
                <w:rFonts w:ascii="Arial" w:cs="Arial" w:eastAsia="Arial" w:hAnsi="Arial"/>
                <w:sz w:val="13"/>
                <w:szCs w:val="13"/>
                <w:color w:val="auto"/>
              </w:rPr>
              <w:t>09/01/2018   Hotels, Motels, Inns and</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12.13%</w:t>
            </w:r>
          </w:p>
        </w:tc>
        <w:tc>
          <w:tcPr>
            <w:tcW w:w="280" w:type="dxa"/>
            <w:vAlign w:val="bottom"/>
          </w:tcPr>
          <w:p>
            <w:pPr>
              <w:spacing w:after="0"/>
              <w:rPr>
                <w:sz w:val="11"/>
                <w:szCs w:val="11"/>
                <w:color w:val="auto"/>
              </w:rPr>
            </w:pPr>
          </w:p>
        </w:tc>
        <w:tc>
          <w:tcPr>
            <w:tcW w:w="98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16,000,000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15,726,668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16,160,000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Gaming</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Sheridan Holdings, Inc.</w:t>
            </w:r>
          </w:p>
        </w:tc>
        <w:tc>
          <w:tcPr>
            <w:tcW w:w="72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w w:val="92"/>
              </w:rPr>
              <w:t>06/15/2015</w:t>
            </w:r>
          </w:p>
        </w:tc>
        <w:tc>
          <w:tcPr>
            <w:tcW w:w="8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3"/>
              </w:rPr>
              <w:t>Healthcare, Education and</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6.07%</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8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3"/>
                <w:szCs w:val="13"/>
                <w:color w:val="auto"/>
              </w:rPr>
              <w:t>L+575</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13,500,000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11,856,253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12,521,250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Childcare</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20"/>
                <w:szCs w:val="20"/>
                <w:color w:val="auto"/>
              </w:rPr>
            </w:pPr>
            <w:r>
              <w:rPr>
                <w:rFonts w:ascii="Arial" w:cs="Arial" w:eastAsia="Arial" w:hAnsi="Arial"/>
                <w:sz w:val="13"/>
                <w:szCs w:val="13"/>
                <w:color w:val="auto"/>
              </w:rPr>
              <w:t>TransFirst Holdings, Inc.</w:t>
            </w:r>
          </w:p>
        </w:tc>
        <w:tc>
          <w:tcPr>
            <w:tcW w:w="720" w:type="dxa"/>
            <w:vAlign w:val="bottom"/>
            <w:gridSpan w:val="2"/>
          </w:tcPr>
          <w:p>
            <w:pPr>
              <w:ind w:left="100"/>
              <w:spacing w:after="0"/>
              <w:rPr>
                <w:sz w:val="20"/>
                <w:szCs w:val="20"/>
                <w:color w:val="auto"/>
              </w:rPr>
            </w:pPr>
            <w:r>
              <w:rPr>
                <w:rFonts w:ascii="Arial" w:cs="Arial" w:eastAsia="Arial" w:hAnsi="Arial"/>
                <w:sz w:val="13"/>
                <w:szCs w:val="13"/>
                <w:color w:val="auto"/>
                <w:w w:val="92"/>
              </w:rPr>
              <w:t>06/15/2015</w:t>
            </w:r>
          </w:p>
        </w:tc>
        <w:tc>
          <w:tcPr>
            <w:tcW w:w="8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Financial Services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6.24%</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80" w:type="dxa"/>
            <w:vAlign w:val="bottom"/>
            <w:gridSpan w:val="2"/>
          </w:tcPr>
          <w:p>
            <w:pPr>
              <w:ind w:left="300"/>
              <w:spacing w:after="0"/>
              <w:rPr>
                <w:sz w:val="20"/>
                <w:szCs w:val="20"/>
                <w:color w:val="auto"/>
              </w:rPr>
            </w:pPr>
            <w:r>
              <w:rPr>
                <w:rFonts w:ascii="Arial" w:cs="Arial" w:eastAsia="Arial" w:hAnsi="Arial"/>
                <w:sz w:val="13"/>
                <w:szCs w:val="13"/>
                <w:color w:val="auto"/>
              </w:rPr>
              <w:t>L+600</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7,811,488</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7,422,480</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6,756,937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176,092,412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152,065,785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20" w:type="dxa"/>
            <w:vAlign w:val="bottom"/>
          </w:tcPr>
          <w:p>
            <w:pPr>
              <w:spacing w:after="0"/>
              <w:rPr>
                <w:sz w:val="20"/>
                <w:szCs w:val="20"/>
                <w:color w:val="auto"/>
              </w:rPr>
            </w:pPr>
            <w:r>
              <w:rPr>
                <w:rFonts w:ascii="Arial" w:cs="Arial" w:eastAsia="Arial" w:hAnsi="Arial"/>
                <w:sz w:val="13"/>
                <w:szCs w:val="13"/>
                <w:b w:val="1"/>
                <w:bCs w:val="1"/>
                <w:color w:val="auto"/>
              </w:rPr>
              <w:t>Subordinated Debt/Corporate Notes—65.0%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Affinion Group Holdings, Inc. </w:t>
            </w:r>
            <w:r>
              <w:rPr>
                <w:rFonts w:ascii="Arial" w:cs="Arial" w:eastAsia="Arial" w:hAnsi="Arial"/>
                <w:sz w:val="17"/>
                <w:szCs w:val="17"/>
                <w:color w:val="auto"/>
                <w:vertAlign w:val="superscript"/>
              </w:rPr>
              <w:t>(5)</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2"/>
              </w:rPr>
              <w:t>11/15/2015</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Consumer Products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11.63%</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26,345,000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26,391,240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20,285,650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20" w:type="dxa"/>
            <w:vAlign w:val="bottom"/>
          </w:tcPr>
          <w:p>
            <w:pPr>
              <w:spacing w:after="0" w:line="138" w:lineRule="exact"/>
              <w:rPr>
                <w:sz w:val="20"/>
                <w:szCs w:val="20"/>
                <w:color w:val="auto"/>
              </w:rPr>
            </w:pPr>
            <w:r>
              <w:rPr>
                <w:rFonts w:ascii="Arial" w:cs="Arial" w:eastAsia="Arial" w:hAnsi="Arial"/>
                <w:sz w:val="10"/>
                <w:szCs w:val="10"/>
                <w:color w:val="auto"/>
              </w:rPr>
              <w:t xml:space="preserve">Aquilex Holdings, LLC </w:t>
            </w:r>
            <w:r>
              <w:rPr>
                <w:rFonts w:ascii="Arial" w:cs="Arial" w:eastAsia="Arial" w:hAnsi="Arial"/>
                <w:sz w:val="15"/>
                <w:szCs w:val="15"/>
                <w:color w:val="auto"/>
                <w:vertAlign w:val="superscript"/>
              </w:rPr>
              <w:t>(5)</w:t>
            </w:r>
          </w:p>
        </w:tc>
        <w:tc>
          <w:tcPr>
            <w:tcW w:w="720" w:type="dxa"/>
            <w:vAlign w:val="bottom"/>
            <w:gridSpan w:val="2"/>
          </w:tcPr>
          <w:p>
            <w:pPr>
              <w:ind w:left="100"/>
              <w:spacing w:after="0" w:line="138" w:lineRule="exact"/>
              <w:rPr>
                <w:sz w:val="20"/>
                <w:szCs w:val="20"/>
                <w:color w:val="auto"/>
              </w:rPr>
            </w:pPr>
            <w:r>
              <w:rPr>
                <w:rFonts w:ascii="Arial" w:cs="Arial" w:eastAsia="Arial" w:hAnsi="Arial"/>
                <w:sz w:val="13"/>
                <w:szCs w:val="13"/>
                <w:color w:val="auto"/>
                <w:w w:val="92"/>
              </w:rPr>
              <w:t>12/15/2016</w:t>
            </w:r>
          </w:p>
        </w:tc>
        <w:tc>
          <w:tcPr>
            <w:tcW w:w="80" w:type="dxa"/>
            <w:vAlign w:val="bottom"/>
          </w:tcPr>
          <w:p>
            <w:pPr>
              <w:spacing w:after="0"/>
              <w:rPr>
                <w:sz w:val="11"/>
                <w:szCs w:val="11"/>
                <w:color w:val="auto"/>
              </w:rPr>
            </w:pPr>
          </w:p>
        </w:tc>
        <w:tc>
          <w:tcPr>
            <w:tcW w:w="154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rPr>
              <w:t>Diversified /</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11.13%</w:t>
            </w:r>
          </w:p>
        </w:tc>
        <w:tc>
          <w:tcPr>
            <w:tcW w:w="280" w:type="dxa"/>
            <w:vAlign w:val="bottom"/>
          </w:tcPr>
          <w:p>
            <w:pPr>
              <w:spacing w:after="0"/>
              <w:rPr>
                <w:sz w:val="11"/>
                <w:szCs w:val="11"/>
                <w:color w:val="auto"/>
              </w:rPr>
            </w:pPr>
          </w:p>
        </w:tc>
        <w:tc>
          <w:tcPr>
            <w:tcW w:w="98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18,885,000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18,440,262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8,309,400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Conglomerate Services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Consolidated Foundries, Inc.</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2"/>
              </w:rPr>
              <w:t>04/17/2015</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Aerospace and Defense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14.25%</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8,109,468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7,997,216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8,109,468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20" w:type="dxa"/>
            <w:vAlign w:val="bottom"/>
          </w:tcPr>
          <w:p>
            <w:pPr>
              <w:spacing w:after="0" w:line="138" w:lineRule="exact"/>
              <w:rPr>
                <w:sz w:val="20"/>
                <w:szCs w:val="20"/>
                <w:color w:val="auto"/>
              </w:rPr>
            </w:pPr>
            <w:r>
              <w:rPr>
                <w:rFonts w:ascii="Arial" w:cs="Arial" w:eastAsia="Arial" w:hAnsi="Arial"/>
                <w:sz w:val="13"/>
                <w:szCs w:val="13"/>
                <w:color w:val="auto"/>
              </w:rPr>
              <w:t>Diversitech Corporation</w:t>
            </w:r>
          </w:p>
        </w:tc>
        <w:tc>
          <w:tcPr>
            <w:tcW w:w="720" w:type="dxa"/>
            <w:vAlign w:val="bottom"/>
            <w:gridSpan w:val="2"/>
          </w:tcPr>
          <w:p>
            <w:pPr>
              <w:ind w:left="100"/>
              <w:spacing w:after="0" w:line="138" w:lineRule="exact"/>
              <w:rPr>
                <w:sz w:val="20"/>
                <w:szCs w:val="20"/>
                <w:color w:val="auto"/>
              </w:rPr>
            </w:pPr>
            <w:r>
              <w:rPr>
                <w:rFonts w:ascii="Arial" w:cs="Arial" w:eastAsia="Arial" w:hAnsi="Arial"/>
                <w:sz w:val="13"/>
                <w:szCs w:val="13"/>
                <w:color w:val="auto"/>
                <w:w w:val="92"/>
              </w:rPr>
              <w:t>01/29/2017</w:t>
            </w:r>
          </w:p>
        </w:tc>
        <w:tc>
          <w:tcPr>
            <w:tcW w:w="80" w:type="dxa"/>
            <w:vAlign w:val="bottom"/>
          </w:tcPr>
          <w:p>
            <w:pPr>
              <w:spacing w:after="0"/>
              <w:rPr>
                <w:sz w:val="11"/>
                <w:szCs w:val="11"/>
                <w:color w:val="auto"/>
              </w:rPr>
            </w:pPr>
          </w:p>
        </w:tc>
        <w:tc>
          <w:tcPr>
            <w:tcW w:w="154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5"/>
              </w:rPr>
              <w:t>Manufacturing / Basic</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13.50%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8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w w:val="95"/>
              </w:rPr>
              <w:t>11,000,000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10,783,491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10,780,000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Industry</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Escort, Inc.</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2"/>
              </w:rPr>
              <w:t>06/01/2016</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4"/>
              </w:rPr>
              <w:t>Electronics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14.75%</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24,560,142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23,964,150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24,314,541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Last Mile Funding, Corp.</w:t>
            </w:r>
          </w:p>
        </w:tc>
        <w:tc>
          <w:tcPr>
            <w:tcW w:w="720" w:type="dxa"/>
            <w:vAlign w:val="bottom"/>
            <w:gridSpan w:val="2"/>
          </w:tcPr>
          <w:p>
            <w:pPr>
              <w:ind w:left="100"/>
              <w:spacing w:after="0"/>
              <w:rPr>
                <w:sz w:val="20"/>
                <w:szCs w:val="20"/>
                <w:color w:val="auto"/>
              </w:rPr>
            </w:pPr>
            <w:r>
              <w:rPr>
                <w:rFonts w:ascii="Arial" w:cs="Arial" w:eastAsia="Arial" w:hAnsi="Arial"/>
                <w:sz w:val="13"/>
                <w:szCs w:val="13"/>
                <w:color w:val="auto"/>
                <w:w w:val="92"/>
              </w:rPr>
              <w:t>06/30/2016</w:t>
            </w:r>
          </w:p>
        </w:tc>
        <w:tc>
          <w:tcPr>
            <w:tcW w:w="8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Cargo Transport</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14.50%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44,456,391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43,380,579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43,344,981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Learning Care Group (US) Inc.</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2"/>
              </w:rPr>
              <w:t>06/30/2016</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Education</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15.00%</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4,566,982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3,891,689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4,133,119</w:t>
            </w:r>
          </w:p>
        </w:tc>
        <w:tc>
          <w:tcPr>
            <w:tcW w:w="0" w:type="dxa"/>
            <w:vAlign w:val="bottom"/>
          </w:tcPr>
          <w:p>
            <w:pPr>
              <w:spacing w:after="0"/>
              <w:rPr>
                <w:sz w:val="1"/>
                <w:szCs w:val="1"/>
                <w:color w:val="auto"/>
              </w:rPr>
            </w:pPr>
          </w:p>
        </w:tc>
      </w:tr>
      <w:tr>
        <w:trPr>
          <w:trHeight w:val="138"/>
        </w:trPr>
        <w:tc>
          <w:tcPr>
            <w:tcW w:w="4520" w:type="dxa"/>
            <w:vAlign w:val="bottom"/>
          </w:tcPr>
          <w:p>
            <w:pPr>
              <w:spacing w:after="0" w:line="138" w:lineRule="exact"/>
              <w:rPr>
                <w:sz w:val="20"/>
                <w:szCs w:val="20"/>
                <w:color w:val="auto"/>
              </w:rPr>
            </w:pPr>
            <w:r>
              <w:rPr>
                <w:rFonts w:ascii="Arial" w:cs="Arial" w:eastAsia="Arial" w:hAnsi="Arial"/>
                <w:sz w:val="13"/>
                <w:szCs w:val="13"/>
                <w:color w:val="auto"/>
              </w:rPr>
              <w:t>LTI Flexible Products, Inc.</w:t>
            </w:r>
          </w:p>
        </w:tc>
        <w:tc>
          <w:tcPr>
            <w:tcW w:w="720" w:type="dxa"/>
            <w:vAlign w:val="bottom"/>
            <w:gridSpan w:val="2"/>
          </w:tcPr>
          <w:p>
            <w:pPr>
              <w:ind w:left="100"/>
              <w:spacing w:after="0" w:line="138" w:lineRule="exact"/>
              <w:rPr>
                <w:sz w:val="20"/>
                <w:szCs w:val="20"/>
                <w:color w:val="auto"/>
              </w:rPr>
            </w:pPr>
            <w:r>
              <w:rPr>
                <w:rFonts w:ascii="Arial" w:cs="Arial" w:eastAsia="Arial" w:hAnsi="Arial"/>
                <w:sz w:val="13"/>
                <w:szCs w:val="13"/>
                <w:color w:val="auto"/>
                <w:w w:val="92"/>
              </w:rPr>
              <w:t>01/26/2017</w:t>
            </w:r>
          </w:p>
        </w:tc>
        <w:tc>
          <w:tcPr>
            <w:tcW w:w="80" w:type="dxa"/>
            <w:vAlign w:val="bottom"/>
          </w:tcPr>
          <w:p>
            <w:pPr>
              <w:spacing w:after="0"/>
              <w:rPr>
                <w:sz w:val="11"/>
                <w:szCs w:val="11"/>
                <w:color w:val="auto"/>
              </w:rPr>
            </w:pPr>
          </w:p>
        </w:tc>
        <w:tc>
          <w:tcPr>
            <w:tcW w:w="154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2"/>
              </w:rPr>
              <w:t>Chemical, Plastic and</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13.88%</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8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33,937,985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33,119,280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33,768,295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Rubber</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Mailsouth, Inc.</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2"/>
              </w:rPr>
              <w:t>06/15/2017</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Printing and Publishing</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14.50%</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15,000,000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14,579,991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20"/>
                <w:szCs w:val="20"/>
                <w:color w:val="auto"/>
              </w:rPr>
            </w:pPr>
            <w:r>
              <w:rPr>
                <w:rFonts w:ascii="Arial" w:cs="Arial" w:eastAsia="Arial" w:hAnsi="Arial"/>
                <w:sz w:val="13"/>
                <w:szCs w:val="13"/>
                <w:color w:val="auto"/>
              </w:rPr>
              <w:t>MedQuist, Inc.</w:t>
            </w:r>
          </w:p>
        </w:tc>
        <w:tc>
          <w:tcPr>
            <w:tcW w:w="720" w:type="dxa"/>
            <w:vAlign w:val="bottom"/>
            <w:gridSpan w:val="2"/>
          </w:tcPr>
          <w:p>
            <w:pPr>
              <w:ind w:left="100"/>
              <w:spacing w:after="0"/>
              <w:rPr>
                <w:sz w:val="20"/>
                <w:szCs w:val="20"/>
                <w:color w:val="auto"/>
              </w:rPr>
            </w:pPr>
            <w:r>
              <w:rPr>
                <w:rFonts w:ascii="Arial" w:cs="Arial" w:eastAsia="Arial" w:hAnsi="Arial"/>
                <w:sz w:val="13"/>
                <w:szCs w:val="13"/>
                <w:color w:val="auto"/>
                <w:w w:val="92"/>
              </w:rPr>
              <w:t>10/14/2016</w:t>
            </w:r>
          </w:p>
        </w:tc>
        <w:tc>
          <w:tcPr>
            <w:tcW w:w="8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13.00%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19,000,000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18,492,685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PAS Technologies, Inc.</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2"/>
              </w:rPr>
              <w:t>05/12/2017</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Aerospace and Defense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14.02%</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16,785,000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16,400,403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16,600,365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20" w:type="dxa"/>
            <w:vAlign w:val="bottom"/>
          </w:tcPr>
          <w:p>
            <w:pPr>
              <w:spacing w:after="0" w:line="138" w:lineRule="exact"/>
              <w:rPr>
                <w:sz w:val="20"/>
                <w:szCs w:val="20"/>
                <w:color w:val="auto"/>
              </w:rPr>
            </w:pPr>
            <w:r>
              <w:rPr>
                <w:rFonts w:ascii="Arial" w:cs="Arial" w:eastAsia="Arial" w:hAnsi="Arial"/>
                <w:sz w:val="13"/>
                <w:szCs w:val="13"/>
                <w:color w:val="auto"/>
              </w:rPr>
              <w:t>Prince Mineral Holdings Corp.</w:t>
            </w:r>
          </w:p>
        </w:tc>
        <w:tc>
          <w:tcPr>
            <w:tcW w:w="2340" w:type="dxa"/>
            <w:vAlign w:val="bottom"/>
            <w:gridSpan w:val="5"/>
          </w:tcPr>
          <w:p>
            <w:pPr>
              <w:ind w:left="100"/>
              <w:spacing w:after="0" w:line="138" w:lineRule="exact"/>
              <w:rPr>
                <w:sz w:val="20"/>
                <w:szCs w:val="20"/>
                <w:color w:val="auto"/>
              </w:rPr>
            </w:pPr>
            <w:r>
              <w:rPr>
                <w:rFonts w:ascii="Arial" w:cs="Arial" w:eastAsia="Arial" w:hAnsi="Arial"/>
                <w:sz w:val="13"/>
                <w:szCs w:val="13"/>
                <w:color w:val="auto"/>
              </w:rPr>
              <w:t>12/03/2016   Mining, Steel, Iron and</w:t>
            </w:r>
          </w:p>
        </w:tc>
        <w:tc>
          <w:tcPr>
            <w:tcW w:w="880" w:type="dxa"/>
            <w:vAlign w:val="bottom"/>
            <w:gridSpan w:val="3"/>
          </w:tcPr>
          <w:p>
            <w:pPr>
              <w:jc w:val="right"/>
              <w:ind w:right="124"/>
              <w:spacing w:after="0" w:line="138" w:lineRule="exact"/>
              <w:rPr>
                <w:sz w:val="20"/>
                <w:szCs w:val="20"/>
                <w:color w:val="auto"/>
              </w:rPr>
            </w:pPr>
            <w:r>
              <w:rPr>
                <w:rFonts w:ascii="Arial" w:cs="Arial" w:eastAsia="Arial" w:hAnsi="Arial"/>
                <w:sz w:val="10"/>
                <w:szCs w:val="10"/>
                <w:color w:val="auto"/>
              </w:rPr>
              <w:t>13.50%</w:t>
            </w:r>
            <w:r>
              <w:rPr>
                <w:rFonts w:ascii="Arial" w:cs="Arial" w:eastAsia="Arial" w:hAnsi="Arial"/>
                <w:sz w:val="15"/>
                <w:szCs w:val="15"/>
                <w:color w:val="auto"/>
                <w:vertAlign w:val="superscript"/>
              </w:rPr>
              <w:t>(6)</w:t>
            </w:r>
          </w:p>
        </w:tc>
        <w:tc>
          <w:tcPr>
            <w:tcW w:w="98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26,169,195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25,667,843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25,645,811</w:t>
            </w:r>
          </w:p>
        </w:tc>
        <w:tc>
          <w:tcPr>
            <w:tcW w:w="0" w:type="dxa"/>
            <w:vAlign w:val="bottom"/>
          </w:tcPr>
          <w:p>
            <w:pPr>
              <w:spacing w:after="0"/>
              <w:rPr>
                <w:sz w:val="1"/>
                <w:szCs w:val="1"/>
                <w:color w:val="auto"/>
              </w:rPr>
            </w:pPr>
          </w:p>
        </w:tc>
      </w:tr>
      <w:tr>
        <w:trPr>
          <w:trHeight w:val="159"/>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Non-Precious Metals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Realogy Corp.</w:t>
            </w:r>
          </w:p>
        </w:tc>
        <w:tc>
          <w:tcPr>
            <w:tcW w:w="2340" w:type="dxa"/>
            <w:vAlign w:val="bottom"/>
            <w:gridSpan w:val="5"/>
            <w:shd w:val="clear" w:color="auto" w:fill="CCEEFF"/>
          </w:tcPr>
          <w:p>
            <w:pPr>
              <w:ind w:left="100"/>
              <w:spacing w:after="0"/>
              <w:rPr>
                <w:sz w:val="20"/>
                <w:szCs w:val="20"/>
                <w:color w:val="auto"/>
              </w:rPr>
            </w:pPr>
            <w:r>
              <w:rPr>
                <w:rFonts w:ascii="Arial" w:cs="Arial" w:eastAsia="Arial" w:hAnsi="Arial"/>
                <w:sz w:val="13"/>
                <w:szCs w:val="13"/>
                <w:color w:val="auto"/>
              </w:rPr>
              <w:t>04/15/2018  Buildings and Real Estate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11.00%</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10,000,000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9,159,259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TRAK Acquisition Corp.</w:t>
            </w:r>
          </w:p>
        </w:tc>
        <w:tc>
          <w:tcPr>
            <w:tcW w:w="720" w:type="dxa"/>
            <w:vAlign w:val="bottom"/>
            <w:gridSpan w:val="2"/>
          </w:tcPr>
          <w:p>
            <w:pPr>
              <w:ind w:left="100"/>
              <w:spacing w:after="0"/>
              <w:rPr>
                <w:sz w:val="20"/>
                <w:szCs w:val="20"/>
                <w:color w:val="auto"/>
              </w:rPr>
            </w:pPr>
            <w:r>
              <w:rPr>
                <w:rFonts w:ascii="Arial" w:cs="Arial" w:eastAsia="Arial" w:hAnsi="Arial"/>
                <w:sz w:val="13"/>
                <w:szCs w:val="13"/>
                <w:color w:val="auto"/>
                <w:w w:val="92"/>
              </w:rPr>
              <w:t>12/29/2015</w:t>
            </w:r>
          </w:p>
        </w:tc>
        <w:tc>
          <w:tcPr>
            <w:tcW w:w="8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15.00%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12,020,950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11,683,548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11,984,887</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UP Support Services Inc.</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2"/>
              </w:rPr>
              <w:t>02/08/2015</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Oil and Gas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19.00%</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26,276,070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26,063,224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24,173,984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20"/>
                <w:szCs w:val="20"/>
                <w:color w:val="auto"/>
              </w:rPr>
            </w:pPr>
            <w:r>
              <w:rPr>
                <w:rFonts w:ascii="Arial" w:cs="Arial" w:eastAsia="Arial" w:hAnsi="Arial"/>
                <w:sz w:val="13"/>
                <w:szCs w:val="13"/>
                <w:color w:val="auto"/>
              </w:rPr>
              <w:t>Veritext Corp.</w:t>
            </w:r>
          </w:p>
        </w:tc>
        <w:tc>
          <w:tcPr>
            <w:tcW w:w="720" w:type="dxa"/>
            <w:vAlign w:val="bottom"/>
            <w:gridSpan w:val="2"/>
          </w:tcPr>
          <w:p>
            <w:pPr>
              <w:ind w:left="100"/>
              <w:spacing w:after="0"/>
              <w:rPr>
                <w:sz w:val="20"/>
                <w:szCs w:val="20"/>
                <w:color w:val="auto"/>
              </w:rPr>
            </w:pPr>
            <w:r>
              <w:rPr>
                <w:rFonts w:ascii="Arial" w:cs="Arial" w:eastAsia="Arial" w:hAnsi="Arial"/>
                <w:sz w:val="13"/>
                <w:szCs w:val="13"/>
                <w:color w:val="auto"/>
                <w:w w:val="92"/>
              </w:rPr>
              <w:t>12/31/2015</w:t>
            </w:r>
          </w:p>
        </w:tc>
        <w:tc>
          <w:tcPr>
            <w:tcW w:w="8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14.00%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8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15,000,000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14,686,238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Veritext Corp. </w:t>
            </w:r>
            <w:r>
              <w:rPr>
                <w:rFonts w:ascii="Arial" w:cs="Arial" w:eastAsia="Arial" w:hAnsi="Arial"/>
                <w:sz w:val="17"/>
                <w:szCs w:val="17"/>
                <w:color w:val="auto"/>
                <w:vertAlign w:val="superscript"/>
              </w:rPr>
              <w:t>(9)</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92"/>
              </w:rPr>
              <w:t>12/31/2012</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12,000,000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11,700,000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4520" w:type="dxa"/>
            <w:vAlign w:val="bottom"/>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8"/>
              </w:rPr>
              <w:t>316,401,098</w:t>
            </w: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300,840,501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00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Maturity</w:t>
            </w:r>
          </w:p>
        </w:tc>
        <w:tc>
          <w:tcPr>
            <w:tcW w:w="15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680" w:type="dxa"/>
            <w:vAlign w:val="bottom"/>
          </w:tcPr>
          <w:p>
            <w:pPr>
              <w:jc w:val="right"/>
              <w:ind w:right="93"/>
              <w:spacing w:after="0"/>
              <w:rPr>
                <w:sz w:val="20"/>
                <w:szCs w:val="20"/>
                <w:color w:val="auto"/>
              </w:rPr>
            </w:pPr>
            <w:r>
              <w:rPr>
                <w:rFonts w:ascii="Arial" w:cs="Arial" w:eastAsia="Arial" w:hAnsi="Arial"/>
                <w:sz w:val="13"/>
                <w:szCs w:val="13"/>
                <w:b w:val="1"/>
                <w:bCs w:val="1"/>
                <w:color w:val="auto"/>
              </w:rPr>
              <w:t>Current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Above</w:t>
            </w:r>
          </w:p>
        </w:tc>
        <w:tc>
          <w:tcPr>
            <w:tcW w:w="9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Par /</w:t>
            </w:r>
          </w:p>
        </w:tc>
        <w:tc>
          <w:tcPr>
            <w:tcW w:w="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46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680" w:type="dxa"/>
            <w:vAlign w:val="bottom"/>
          </w:tcPr>
          <w:p>
            <w:pPr>
              <w:jc w:val="right"/>
              <w:ind w:right="113"/>
              <w:spacing w:after="0"/>
              <w:rPr>
                <w:sz w:val="20"/>
                <w:szCs w:val="20"/>
                <w:color w:val="auto"/>
              </w:rPr>
            </w:pPr>
            <w:r>
              <w:rPr>
                <w:rFonts w:ascii="Arial" w:cs="Arial" w:eastAsia="Arial" w:hAnsi="Arial"/>
                <w:sz w:val="13"/>
                <w:szCs w:val="13"/>
                <w:b w:val="1"/>
                <w:bCs w:val="1"/>
                <w:color w:val="auto"/>
                <w:w w:val="97"/>
              </w:rPr>
              <w:t>Coupon</w:t>
            </w:r>
          </w:p>
        </w:tc>
        <w:tc>
          <w:tcPr>
            <w:tcW w:w="8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13"/>
                <w:szCs w:val="13"/>
                <w:b w:val="1"/>
                <w:bCs w:val="1"/>
                <w:color w:val="auto"/>
              </w:rPr>
              <w:t xml:space="preserve">Preferred Equity/Partnership Interests —1.7% </w:t>
            </w:r>
            <w:r>
              <w:rPr>
                <w:rFonts w:ascii="Arial" w:cs="Arial" w:eastAsia="Arial" w:hAnsi="Arial"/>
                <w:sz w:val="22"/>
                <w:szCs w:val="22"/>
                <w:b w:val="1"/>
                <w:bCs w:val="1"/>
                <w:color w:val="auto"/>
                <w:vertAlign w:val="superscript"/>
              </w:rPr>
              <w:t>(7)</w:t>
            </w:r>
          </w:p>
        </w:tc>
        <w:tc>
          <w:tcPr>
            <w:tcW w:w="10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3"/>
                <w:szCs w:val="13"/>
                <w:color w:val="auto"/>
              </w:rPr>
              <w:t>AH Holdings, Inc.</w:t>
            </w:r>
          </w:p>
        </w:tc>
        <w:tc>
          <w:tcPr>
            <w:tcW w:w="1000" w:type="dxa"/>
            <w:vAlign w:val="bottom"/>
          </w:tcPr>
          <w:p>
            <w:pPr>
              <w:ind w:left="56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6.00%</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211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500,000</w:t>
            </w:r>
          </w:p>
        </w:tc>
        <w:tc>
          <w:tcPr>
            <w:tcW w:w="140" w:type="dxa"/>
            <w:vAlign w:val="bottom"/>
          </w:tcPr>
          <w:p>
            <w:pPr>
              <w:spacing w:after="0"/>
              <w:rPr>
                <w:sz w:val="11"/>
                <w:szCs w:val="11"/>
                <w:color w:val="auto"/>
              </w:rPr>
            </w:pPr>
          </w:p>
        </w:tc>
        <w:tc>
          <w:tcPr>
            <w:tcW w:w="8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491,004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tcPr>
          <w:p>
            <w:pPr>
              <w:ind w:left="220"/>
              <w:spacing w:after="0"/>
              <w:rPr>
                <w:sz w:val="20"/>
                <w:szCs w:val="20"/>
                <w:color w:val="auto"/>
              </w:rPr>
            </w:pPr>
            <w:r>
              <w:rPr>
                <w:rFonts w:ascii="Arial" w:cs="Arial" w:eastAsia="Arial" w:hAnsi="Arial"/>
                <w:sz w:val="13"/>
                <w:szCs w:val="13"/>
                <w:color w:val="auto"/>
              </w:rPr>
              <w:t>(American Surgical Holdings, Inc.)</w:t>
            </w:r>
          </w:p>
        </w:tc>
        <w:tc>
          <w:tcPr>
            <w:tcW w:w="10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AHC Mezzanine, LLC (Advanstar Inc.)</w:t>
            </w:r>
          </w:p>
        </w:tc>
        <w:tc>
          <w:tcPr>
            <w:tcW w:w="10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Other Media</w:t>
            </w:r>
          </w:p>
        </w:tc>
        <w:tc>
          <w:tcPr>
            <w:tcW w:w="6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7505</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318,896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3"/>
                <w:szCs w:val="13"/>
                <w:color w:val="auto"/>
              </w:rPr>
              <w:t>CFHC Holdings, Inc., Class A</w:t>
            </w:r>
          </w:p>
        </w:tc>
        <w:tc>
          <w:tcPr>
            <w:tcW w:w="1000" w:type="dxa"/>
            <w:vAlign w:val="bottom"/>
          </w:tcPr>
          <w:p>
            <w:pPr>
              <w:ind w:left="56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1"/>
              </w:rPr>
              <w:t>Aerospace and Defense</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12.00%</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909</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909,248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1,328,977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tcPr>
          <w:p>
            <w:pPr>
              <w:ind w:left="220"/>
              <w:spacing w:after="0"/>
              <w:rPr>
                <w:sz w:val="20"/>
                <w:szCs w:val="20"/>
                <w:color w:val="auto"/>
              </w:rPr>
            </w:pPr>
            <w:r>
              <w:rPr>
                <w:rFonts w:ascii="Arial" w:cs="Arial" w:eastAsia="Arial" w:hAnsi="Arial"/>
                <w:sz w:val="13"/>
                <w:szCs w:val="13"/>
                <w:color w:val="auto"/>
              </w:rPr>
              <w:t>(Consolidated Foundries, Inc.)</w:t>
            </w:r>
          </w:p>
        </w:tc>
        <w:tc>
          <w:tcPr>
            <w:tcW w:w="10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PAS Tech Holdings, Inc., Series A-1</w:t>
            </w:r>
          </w:p>
        </w:tc>
        <w:tc>
          <w:tcPr>
            <w:tcW w:w="1000" w:type="dxa"/>
            <w:vAlign w:val="bottom"/>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1"/>
              </w:rPr>
              <w:t>Aerospace and Defense</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8.00%</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20,000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1,980,000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2,026,969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(PAS Technologies, Inc.)</w:t>
            </w:r>
          </w:p>
        </w:tc>
        <w:tc>
          <w:tcPr>
            <w:tcW w:w="10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3"/>
                <w:szCs w:val="13"/>
                <w:color w:val="auto"/>
              </w:rPr>
              <w:t>TZ Holdings, L.P., Series A (Trizetto Group, Inc.)</w:t>
            </w:r>
          </w:p>
        </w:tc>
        <w:tc>
          <w:tcPr>
            <w:tcW w:w="1000" w:type="dxa"/>
            <w:vAlign w:val="bottom"/>
          </w:tcPr>
          <w:p>
            <w:pPr>
              <w:ind w:left="560"/>
              <w:spacing w:after="0"/>
              <w:rPr>
                <w:sz w:val="20"/>
                <w:szCs w:val="20"/>
                <w:color w:val="auto"/>
              </w:rPr>
            </w:pPr>
            <w:r>
              <w:rPr>
                <w:rFonts w:ascii="Arial" w:cs="Arial" w:eastAsia="Arial" w:hAnsi="Arial"/>
                <w:sz w:val="13"/>
                <w:szCs w:val="13"/>
                <w:color w:val="auto"/>
              </w:rPr>
              <w:t>—</w:t>
            </w:r>
          </w:p>
        </w:tc>
        <w:tc>
          <w:tcPr>
            <w:tcW w:w="1520" w:type="dxa"/>
            <w:vAlign w:val="bottom"/>
          </w:tcPr>
          <w:p>
            <w:pPr>
              <w:jc w:val="center"/>
              <w:spacing w:after="0"/>
              <w:rPr>
                <w:sz w:val="20"/>
                <w:szCs w:val="20"/>
                <w:color w:val="auto"/>
              </w:rPr>
            </w:pPr>
            <w:r>
              <w:rPr>
                <w:rFonts w:ascii="Arial" w:cs="Arial" w:eastAsia="Arial" w:hAnsi="Arial"/>
                <w:sz w:val="13"/>
                <w:szCs w:val="13"/>
                <w:color w:val="auto"/>
                <w:w w:val="91"/>
              </w:rPr>
              <w:t>Insurance</w:t>
            </w:r>
          </w:p>
        </w:tc>
        <w:tc>
          <w:tcPr>
            <w:tcW w:w="6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ind w:left="5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686</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685,820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685,820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TZ Holdings, L.P., Series B (Trizetto Group, Inc.)</w:t>
            </w:r>
          </w:p>
        </w:tc>
        <w:tc>
          <w:tcPr>
            <w:tcW w:w="10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Insurance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1,312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1,312,006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1,581,165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3"/>
                <w:szCs w:val="13"/>
                <w:color w:val="auto"/>
              </w:rPr>
              <w:t>Universal Pegasus International, Inc.</w:t>
            </w:r>
          </w:p>
        </w:tc>
        <w:tc>
          <w:tcPr>
            <w:tcW w:w="1000" w:type="dxa"/>
            <w:vAlign w:val="bottom"/>
          </w:tcPr>
          <w:p>
            <w:pPr>
              <w:ind w:left="56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3"/>
              </w:rPr>
              <w:t>Oil and Gas</w:t>
            </w: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8.00%</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101,175</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2,738,050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600" w:type="dxa"/>
            <w:vAlign w:val="bottom"/>
          </w:tcPr>
          <w:p>
            <w:pPr>
              <w:ind w:left="220"/>
              <w:spacing w:after="0"/>
              <w:rPr>
                <w:sz w:val="20"/>
                <w:szCs w:val="20"/>
                <w:color w:val="auto"/>
              </w:rPr>
            </w:pPr>
            <w:r>
              <w:rPr>
                <w:rFonts w:ascii="Arial" w:cs="Arial" w:eastAsia="Arial" w:hAnsi="Arial"/>
                <w:sz w:val="13"/>
                <w:szCs w:val="13"/>
                <w:color w:val="auto"/>
              </w:rPr>
              <w:t>(UP Support Services, Inc.)</w:t>
            </w:r>
          </w:p>
        </w:tc>
        <w:tc>
          <w:tcPr>
            <w:tcW w:w="10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Verde Parent Holdings, Inc. (VPSI, Inc.)</w:t>
            </w:r>
          </w:p>
        </w:tc>
        <w:tc>
          <w:tcPr>
            <w:tcW w:w="10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Personal Transportation</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1,824,167</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1,824,167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1,911,003</w:t>
            </w:r>
          </w:p>
        </w:tc>
        <w:tc>
          <w:tcPr>
            <w:tcW w:w="0" w:type="dxa"/>
            <w:vAlign w:val="bottom"/>
          </w:tcPr>
          <w:p>
            <w:pPr>
              <w:spacing w:after="0"/>
              <w:rPr>
                <w:sz w:val="1"/>
                <w:szCs w:val="1"/>
                <w:color w:val="auto"/>
              </w:rPr>
            </w:pPr>
          </w:p>
        </w:tc>
      </w:tr>
      <w:tr>
        <w:trPr>
          <w:trHeight w:val="271"/>
        </w:trPr>
        <w:tc>
          <w:tcPr>
            <w:tcW w:w="4600" w:type="dxa"/>
            <w:vAlign w:val="bottom"/>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10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10,268,187</w:t>
            </w:r>
          </w:p>
        </w:tc>
        <w:tc>
          <w:tcPr>
            <w:tcW w:w="140" w:type="dxa"/>
            <w:vAlign w:val="bottom"/>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8,024,938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Equity/Warrants/Partnership Interests—7.0%</w:t>
            </w:r>
            <w:r>
              <w:rPr>
                <w:rFonts w:ascii="Arial" w:cs="Arial" w:eastAsia="Arial" w:hAnsi="Arial"/>
                <w:sz w:val="17"/>
                <w:szCs w:val="17"/>
                <w:b w:val="1"/>
                <w:bCs w:val="1"/>
                <w:color w:val="auto"/>
                <w:vertAlign w:val="superscript"/>
              </w:rPr>
              <w:t>(7)</w:t>
            </w:r>
          </w:p>
        </w:tc>
        <w:tc>
          <w:tcPr>
            <w:tcW w:w="10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3"/>
                <w:szCs w:val="13"/>
                <w:color w:val="auto"/>
              </w:rPr>
              <w:t>AH Holdings, Inc.</w:t>
            </w:r>
          </w:p>
        </w:tc>
        <w:tc>
          <w:tcPr>
            <w:tcW w:w="1000" w:type="dxa"/>
            <w:vAlign w:val="bottom"/>
          </w:tcPr>
          <w:p>
            <w:pPr>
              <w:ind w:left="360"/>
              <w:spacing w:after="0" w:line="138" w:lineRule="exact"/>
              <w:rPr>
                <w:sz w:val="20"/>
                <w:szCs w:val="20"/>
                <w:color w:val="auto"/>
              </w:rPr>
            </w:pPr>
            <w:r>
              <w:rPr>
                <w:rFonts w:ascii="Arial" w:cs="Arial" w:eastAsia="Arial" w:hAnsi="Arial"/>
                <w:sz w:val="13"/>
                <w:szCs w:val="13"/>
                <w:color w:val="auto"/>
                <w:w w:val="95"/>
              </w:rPr>
              <w:t>03/23/2021</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680" w:type="dxa"/>
            <w:vAlign w:val="bottom"/>
          </w:tcPr>
          <w:p>
            <w:pPr>
              <w:jc w:val="right"/>
              <w:ind w:right="173"/>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753</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gridSpan w:val="2"/>
          </w:tcPr>
          <w:p>
            <w:pPr>
              <w:ind w:left="4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600" w:type="dxa"/>
            <w:vAlign w:val="bottom"/>
          </w:tcPr>
          <w:p>
            <w:pPr>
              <w:ind w:left="220"/>
              <w:spacing w:after="0"/>
              <w:rPr>
                <w:sz w:val="20"/>
                <w:szCs w:val="20"/>
                <w:color w:val="auto"/>
              </w:rPr>
            </w:pPr>
            <w:r>
              <w:rPr>
                <w:rFonts w:ascii="Arial" w:cs="Arial" w:eastAsia="Arial" w:hAnsi="Arial"/>
                <w:sz w:val="13"/>
                <w:szCs w:val="13"/>
                <w:color w:val="auto"/>
              </w:rPr>
              <w:t>(American Surgical Holdings, Inc.) (Warrants)</w:t>
            </w:r>
          </w:p>
        </w:tc>
        <w:tc>
          <w:tcPr>
            <w:tcW w:w="10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CEA Autumn Management, L.L.C.</w:t>
            </w:r>
          </w:p>
        </w:tc>
        <w:tc>
          <w:tcPr>
            <w:tcW w:w="1000" w:type="dxa"/>
            <w:vAlign w:val="bottom"/>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Broadcasting and</w:t>
            </w:r>
          </w:p>
        </w:tc>
        <w:tc>
          <w:tcPr>
            <w:tcW w:w="68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1,333</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280,176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3"/>
                <w:szCs w:val="13"/>
                <w:color w:val="auto"/>
              </w:rPr>
              <w:t>CFHC Holdings, Inc. (Consolidated Foundries, Inc.)</w:t>
            </w:r>
          </w:p>
        </w:tc>
        <w:tc>
          <w:tcPr>
            <w:tcW w:w="1000" w:type="dxa"/>
            <w:vAlign w:val="bottom"/>
          </w:tcPr>
          <w:p>
            <w:pPr>
              <w:ind w:left="560"/>
              <w:spacing w:after="0"/>
              <w:rPr>
                <w:sz w:val="20"/>
                <w:szCs w:val="20"/>
                <w:color w:val="auto"/>
              </w:rPr>
            </w:pPr>
            <w:r>
              <w:rPr>
                <w:rFonts w:ascii="Arial" w:cs="Arial" w:eastAsia="Arial" w:hAnsi="Arial"/>
                <w:sz w:val="13"/>
                <w:szCs w:val="13"/>
                <w:color w:val="auto"/>
              </w:rPr>
              <w:t>—</w:t>
            </w:r>
          </w:p>
        </w:tc>
        <w:tc>
          <w:tcPr>
            <w:tcW w:w="1520" w:type="dxa"/>
            <w:vAlign w:val="bottom"/>
          </w:tcPr>
          <w:p>
            <w:pPr>
              <w:jc w:val="center"/>
              <w:spacing w:after="0"/>
              <w:rPr>
                <w:sz w:val="20"/>
                <w:szCs w:val="20"/>
                <w:color w:val="auto"/>
              </w:rPr>
            </w:pPr>
            <w:r>
              <w:rPr>
                <w:rFonts w:ascii="Arial" w:cs="Arial" w:eastAsia="Arial" w:hAnsi="Arial"/>
                <w:sz w:val="13"/>
                <w:szCs w:val="13"/>
                <w:color w:val="auto"/>
                <w:w w:val="91"/>
              </w:rPr>
              <w:t>Aerospace and Defense</w:t>
            </w:r>
          </w:p>
        </w:tc>
        <w:tc>
          <w:tcPr>
            <w:tcW w:w="6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ind w:left="5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1,856</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18,556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1,443,556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CT Technologies Holdings, LLC</w:t>
            </w:r>
          </w:p>
        </w:tc>
        <w:tc>
          <w:tcPr>
            <w:tcW w:w="1000" w:type="dxa"/>
            <w:vAlign w:val="bottom"/>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Business Services</w:t>
            </w:r>
          </w:p>
        </w:tc>
        <w:tc>
          <w:tcPr>
            <w:tcW w:w="68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5,556</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2,277,209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8,431,871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(CT Technologies Intermediate Holdings, Inc.)</w:t>
            </w:r>
          </w:p>
        </w:tc>
        <w:tc>
          <w:tcPr>
            <w:tcW w:w="10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3"/>
                <w:szCs w:val="13"/>
                <w:color w:val="auto"/>
              </w:rPr>
              <w:t>DirectBuy Investors, L.P.</w:t>
            </w:r>
          </w:p>
        </w:tc>
        <w:tc>
          <w:tcPr>
            <w:tcW w:w="1000" w:type="dxa"/>
            <w:vAlign w:val="bottom"/>
          </w:tcPr>
          <w:p>
            <w:pPr>
              <w:ind w:left="560"/>
              <w:spacing w:after="0"/>
              <w:rPr>
                <w:sz w:val="20"/>
                <w:szCs w:val="20"/>
                <w:color w:val="auto"/>
              </w:rPr>
            </w:pPr>
            <w:r>
              <w:rPr>
                <w:rFonts w:ascii="Arial" w:cs="Arial" w:eastAsia="Arial" w:hAnsi="Arial"/>
                <w:sz w:val="13"/>
                <w:szCs w:val="13"/>
                <w:color w:val="auto"/>
              </w:rPr>
              <w:t>—</w:t>
            </w:r>
          </w:p>
        </w:tc>
        <w:tc>
          <w:tcPr>
            <w:tcW w:w="1520" w:type="dxa"/>
            <w:vAlign w:val="bottom"/>
          </w:tcPr>
          <w:p>
            <w:pPr>
              <w:jc w:val="center"/>
              <w:spacing w:after="0"/>
              <w:rPr>
                <w:sz w:val="20"/>
                <w:szCs w:val="20"/>
                <w:color w:val="auto"/>
              </w:rPr>
            </w:pPr>
            <w:r>
              <w:rPr>
                <w:rFonts w:ascii="Arial" w:cs="Arial" w:eastAsia="Arial" w:hAnsi="Arial"/>
                <w:sz w:val="13"/>
                <w:szCs w:val="13"/>
                <w:color w:val="auto"/>
                <w:w w:val="92"/>
              </w:rPr>
              <w:t>Consumer Products</w:t>
            </w:r>
          </w:p>
        </w:tc>
        <w:tc>
          <w:tcPr>
            <w:tcW w:w="6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ind w:left="5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30,000</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1,350,000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469,500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Kadmon Corporation, LLC, Class A</w:t>
            </w:r>
          </w:p>
        </w:tc>
        <w:tc>
          <w:tcPr>
            <w:tcW w:w="1000" w:type="dxa"/>
            <w:vAlign w:val="bottom"/>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68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1,079,920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1,236,832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295,205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(f/k/a Kadmon Holdings, LLC) (Kadmon Pharmaceuticals, LLC)</w:t>
            </w:r>
          </w:p>
        </w:tc>
        <w:tc>
          <w:tcPr>
            <w:tcW w:w="100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Childcare</w:t>
            </w: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3"/>
                <w:szCs w:val="13"/>
                <w:color w:val="auto"/>
              </w:rPr>
              <w:t>Kadmon Corporation, LLC, Class D</w:t>
            </w:r>
          </w:p>
        </w:tc>
        <w:tc>
          <w:tcPr>
            <w:tcW w:w="1000" w:type="dxa"/>
            <w:vAlign w:val="bottom"/>
          </w:tcPr>
          <w:p>
            <w:pPr>
              <w:ind w:left="56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680" w:type="dxa"/>
            <w:vAlign w:val="bottom"/>
          </w:tcPr>
          <w:p>
            <w:pPr>
              <w:jc w:val="right"/>
              <w:ind w:right="173"/>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1,079,920</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1,028,807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1,028,807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tcPr>
          <w:p>
            <w:pPr>
              <w:ind w:left="220"/>
              <w:spacing w:after="0"/>
              <w:rPr>
                <w:sz w:val="20"/>
                <w:szCs w:val="20"/>
                <w:color w:val="auto"/>
              </w:rPr>
            </w:pPr>
            <w:r>
              <w:rPr>
                <w:rFonts w:ascii="Arial" w:cs="Arial" w:eastAsia="Arial" w:hAnsi="Arial"/>
                <w:sz w:val="13"/>
                <w:szCs w:val="13"/>
                <w:color w:val="auto"/>
              </w:rPr>
              <w:t>(f/k/a Kadmon Holdings, LLC) (Kadmon Pharmaceuticals, LLC)</w:t>
            </w:r>
          </w:p>
        </w:tc>
        <w:tc>
          <w:tcPr>
            <w:tcW w:w="10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auto"/>
                <w:w w:val="94"/>
              </w:rPr>
              <w:t>Childcare</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Learning Care Group (US) Inc. (Warrants)</w:t>
            </w:r>
          </w:p>
        </w:tc>
        <w:tc>
          <w:tcPr>
            <w:tcW w:w="100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5"/>
              </w:rPr>
              <w:t>04/27/2020</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Education</w:t>
            </w:r>
          </w:p>
        </w:tc>
        <w:tc>
          <w:tcPr>
            <w:tcW w:w="6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1,267</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779,920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112,064</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20"/>
                <w:szCs w:val="20"/>
                <w:color w:val="auto"/>
              </w:rPr>
            </w:pPr>
            <w:r>
              <w:rPr>
                <w:rFonts w:ascii="Arial" w:cs="Arial" w:eastAsia="Arial" w:hAnsi="Arial"/>
                <w:sz w:val="13"/>
                <w:szCs w:val="13"/>
                <w:color w:val="auto"/>
              </w:rPr>
              <w:t>Magnum Hunter Resources Corporation</w:t>
            </w:r>
          </w:p>
        </w:tc>
        <w:tc>
          <w:tcPr>
            <w:tcW w:w="1000" w:type="dxa"/>
            <w:vAlign w:val="bottom"/>
          </w:tcPr>
          <w:p>
            <w:pPr>
              <w:ind w:left="560"/>
              <w:spacing w:after="0"/>
              <w:rPr>
                <w:sz w:val="20"/>
                <w:szCs w:val="20"/>
                <w:color w:val="auto"/>
              </w:rPr>
            </w:pPr>
            <w:r>
              <w:rPr>
                <w:rFonts w:ascii="Arial" w:cs="Arial" w:eastAsia="Arial" w:hAnsi="Arial"/>
                <w:sz w:val="13"/>
                <w:szCs w:val="13"/>
                <w:color w:val="auto"/>
              </w:rPr>
              <w:t>—</w:t>
            </w:r>
          </w:p>
        </w:tc>
        <w:tc>
          <w:tcPr>
            <w:tcW w:w="1520" w:type="dxa"/>
            <w:vAlign w:val="bottom"/>
          </w:tcPr>
          <w:p>
            <w:pPr>
              <w:jc w:val="center"/>
              <w:spacing w:after="0"/>
              <w:rPr>
                <w:sz w:val="20"/>
                <w:szCs w:val="20"/>
                <w:color w:val="auto"/>
              </w:rPr>
            </w:pPr>
            <w:r>
              <w:rPr>
                <w:rFonts w:ascii="Arial" w:cs="Arial" w:eastAsia="Arial" w:hAnsi="Arial"/>
                <w:sz w:val="13"/>
                <w:szCs w:val="13"/>
                <w:color w:val="auto"/>
                <w:w w:val="93"/>
              </w:rPr>
              <w:t>Oil and Gas</w:t>
            </w:r>
          </w:p>
        </w:tc>
        <w:tc>
          <w:tcPr>
            <w:tcW w:w="6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ind w:left="5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1,221,932</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3,239,999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4,044,595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Magnum Hunter Resources Corporation (Warrants)</w:t>
            </w:r>
          </w:p>
        </w:tc>
        <w:tc>
          <w:tcPr>
            <w:tcW w:w="100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5"/>
              </w:rPr>
              <w:t>10/14/2013</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Oil and Gas</w:t>
            </w:r>
          </w:p>
        </w:tc>
        <w:tc>
          <w:tcPr>
            <w:tcW w:w="6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122,193</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105,697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3"/>
                <w:szCs w:val="13"/>
                <w:color w:val="auto"/>
              </w:rPr>
              <w:t>MidOcean PPL Holdings, Inc.</w:t>
            </w:r>
          </w:p>
        </w:tc>
        <w:tc>
          <w:tcPr>
            <w:tcW w:w="1000" w:type="dxa"/>
            <w:vAlign w:val="bottom"/>
          </w:tcPr>
          <w:p>
            <w:pPr>
              <w:ind w:left="56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680" w:type="dxa"/>
            <w:vAlign w:val="bottom"/>
          </w:tcPr>
          <w:p>
            <w:pPr>
              <w:jc w:val="right"/>
              <w:ind w:right="173"/>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3,000</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3,000,000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3,320,146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tcPr>
          <w:p>
            <w:pPr>
              <w:ind w:left="220"/>
              <w:spacing w:after="0"/>
              <w:rPr>
                <w:sz w:val="20"/>
                <w:szCs w:val="20"/>
                <w:color w:val="auto"/>
              </w:rPr>
            </w:pPr>
            <w:r>
              <w:rPr>
                <w:rFonts w:ascii="Arial" w:cs="Arial" w:eastAsia="Arial" w:hAnsi="Arial"/>
                <w:sz w:val="13"/>
                <w:szCs w:val="13"/>
                <w:color w:val="auto"/>
              </w:rPr>
              <w:t>(Pre-Paid LegalServices, Inc.)</w:t>
            </w:r>
          </w:p>
        </w:tc>
        <w:tc>
          <w:tcPr>
            <w:tcW w:w="10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auto"/>
                <w:w w:val="92"/>
              </w:rPr>
              <w:t>Miscellaneous Services</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PAS Tech Holdings, Inc. (PAS Technologies, Inc.)</w:t>
            </w:r>
          </w:p>
        </w:tc>
        <w:tc>
          <w:tcPr>
            <w:tcW w:w="10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Aerospace and Defense</w:t>
            </w:r>
          </w:p>
        </w:tc>
        <w:tc>
          <w:tcPr>
            <w:tcW w:w="6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3"/>
                <w:szCs w:val="13"/>
                <w:color w:val="auto"/>
              </w:rPr>
              <w:t>QMG HoldCo, LLC, Class A</w:t>
            </w:r>
          </w:p>
        </w:tc>
        <w:tc>
          <w:tcPr>
            <w:tcW w:w="1000" w:type="dxa"/>
            <w:vAlign w:val="bottom"/>
          </w:tcPr>
          <w:p>
            <w:pPr>
              <w:ind w:left="56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680" w:type="dxa"/>
            <w:vAlign w:val="bottom"/>
          </w:tcPr>
          <w:p>
            <w:pPr>
              <w:jc w:val="right"/>
              <w:ind w:right="173"/>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4,325</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1,306,167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1,352,585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tcPr>
          <w:p>
            <w:pPr>
              <w:ind w:left="220"/>
              <w:spacing w:after="0"/>
              <w:rPr>
                <w:sz w:val="20"/>
                <w:szCs w:val="20"/>
                <w:color w:val="auto"/>
              </w:rPr>
            </w:pPr>
            <w:r>
              <w:rPr>
                <w:rFonts w:ascii="Arial" w:cs="Arial" w:eastAsia="Arial" w:hAnsi="Arial"/>
                <w:sz w:val="13"/>
                <w:szCs w:val="13"/>
                <w:color w:val="auto"/>
              </w:rPr>
              <w:t>(Questex Media Group, Inc.)</w:t>
            </w:r>
          </w:p>
        </w:tc>
        <w:tc>
          <w:tcPr>
            <w:tcW w:w="10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QMG HoldCo, LLC, Class B</w:t>
            </w:r>
          </w:p>
        </w:tc>
        <w:tc>
          <w:tcPr>
            <w:tcW w:w="1000" w:type="dxa"/>
            <w:vAlign w:val="bottom"/>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Other Media</w:t>
            </w:r>
          </w:p>
        </w:tc>
        <w:tc>
          <w:tcPr>
            <w:tcW w:w="68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531</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166,063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(Questex Media Group, Inc.)</w:t>
            </w:r>
          </w:p>
        </w:tc>
        <w:tc>
          <w:tcPr>
            <w:tcW w:w="10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3"/>
                <w:szCs w:val="13"/>
                <w:color w:val="auto"/>
              </w:rPr>
              <w:t>TRAK Acquisition Corp. (Warrants)</w:t>
            </w:r>
          </w:p>
        </w:tc>
        <w:tc>
          <w:tcPr>
            <w:tcW w:w="1000" w:type="dxa"/>
            <w:vAlign w:val="bottom"/>
          </w:tcPr>
          <w:p>
            <w:pPr>
              <w:ind w:left="360"/>
              <w:spacing w:after="0"/>
              <w:rPr>
                <w:sz w:val="20"/>
                <w:szCs w:val="20"/>
                <w:color w:val="auto"/>
              </w:rPr>
            </w:pPr>
            <w:r>
              <w:rPr>
                <w:rFonts w:ascii="Arial" w:cs="Arial" w:eastAsia="Arial" w:hAnsi="Arial"/>
                <w:sz w:val="13"/>
                <w:szCs w:val="13"/>
                <w:color w:val="auto"/>
                <w:w w:val="95"/>
              </w:rPr>
              <w:t>12/29/2019</w:t>
            </w:r>
          </w:p>
        </w:tc>
        <w:tc>
          <w:tcPr>
            <w:tcW w:w="152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6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ind w:left="5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3,500</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29,400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577,061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Transportation 100 Holdco, L.L.C.</w:t>
            </w:r>
          </w:p>
        </w:tc>
        <w:tc>
          <w:tcPr>
            <w:tcW w:w="1000" w:type="dxa"/>
            <w:vAlign w:val="bottom"/>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Cargo Transport</w:t>
            </w:r>
          </w:p>
        </w:tc>
        <w:tc>
          <w:tcPr>
            <w:tcW w:w="68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137,923</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2,111,588</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1,521,406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(Greatwide Logistics Services, L.L.C.)</w:t>
            </w:r>
          </w:p>
        </w:tc>
        <w:tc>
          <w:tcPr>
            <w:tcW w:w="10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tcPr>
          <w:p>
            <w:pPr>
              <w:spacing w:after="0" w:line="138" w:lineRule="exact"/>
              <w:rPr>
                <w:sz w:val="20"/>
                <w:szCs w:val="20"/>
                <w:color w:val="auto"/>
              </w:rPr>
            </w:pPr>
            <w:r>
              <w:rPr>
                <w:rFonts w:ascii="Arial" w:cs="Arial" w:eastAsia="Arial" w:hAnsi="Arial"/>
                <w:sz w:val="13"/>
                <w:szCs w:val="13"/>
                <w:color w:val="auto"/>
              </w:rPr>
              <w:t>TZ Holdings, L.P.</w:t>
            </w:r>
          </w:p>
        </w:tc>
        <w:tc>
          <w:tcPr>
            <w:tcW w:w="1000" w:type="dxa"/>
            <w:vAlign w:val="bottom"/>
          </w:tcPr>
          <w:p>
            <w:pPr>
              <w:ind w:left="560"/>
              <w:spacing w:after="0" w:line="138" w:lineRule="exact"/>
              <w:rPr>
                <w:sz w:val="20"/>
                <w:szCs w:val="20"/>
                <w:color w:val="auto"/>
              </w:rPr>
            </w:pPr>
            <w:r>
              <w:rPr>
                <w:rFonts w:ascii="Arial" w:cs="Arial" w:eastAsia="Arial" w:hAnsi="Arial"/>
                <w:sz w:val="13"/>
                <w:szCs w:val="13"/>
                <w:color w:val="auto"/>
              </w:rPr>
              <w:t>—</w:t>
            </w:r>
          </w:p>
        </w:tc>
        <w:tc>
          <w:tcPr>
            <w:tcW w:w="1520" w:type="dxa"/>
            <w:vAlign w:val="bottom"/>
          </w:tcPr>
          <w:p>
            <w:pPr>
              <w:jc w:val="center"/>
              <w:spacing w:after="0" w:line="138" w:lineRule="exact"/>
              <w:rPr>
                <w:sz w:val="20"/>
                <w:szCs w:val="20"/>
                <w:color w:val="auto"/>
              </w:rPr>
            </w:pPr>
            <w:r>
              <w:rPr>
                <w:rFonts w:ascii="Arial" w:cs="Arial" w:eastAsia="Arial" w:hAnsi="Arial"/>
                <w:sz w:val="13"/>
                <w:szCs w:val="13"/>
                <w:color w:val="auto"/>
                <w:w w:val="91"/>
              </w:rPr>
              <w:t>Insurance</w:t>
            </w:r>
          </w:p>
        </w:tc>
        <w:tc>
          <w:tcPr>
            <w:tcW w:w="680" w:type="dxa"/>
            <w:vAlign w:val="bottom"/>
          </w:tcPr>
          <w:p>
            <w:pPr>
              <w:jc w:val="right"/>
              <w:ind w:right="173"/>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ind w:left="5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9,843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color w:val="auto"/>
              </w:rPr>
              <w:t>1,591,505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tcPr>
          <w:p>
            <w:pPr>
              <w:ind w:left="220"/>
              <w:spacing w:after="0"/>
              <w:rPr>
                <w:sz w:val="20"/>
                <w:szCs w:val="20"/>
                <w:color w:val="auto"/>
              </w:rPr>
            </w:pPr>
            <w:r>
              <w:rPr>
                <w:rFonts w:ascii="Arial" w:cs="Arial" w:eastAsia="Arial" w:hAnsi="Arial"/>
                <w:sz w:val="13"/>
                <w:szCs w:val="13"/>
                <w:color w:val="auto"/>
              </w:rPr>
              <w:t>(Trizetto Group, Inc.)</w:t>
            </w:r>
          </w:p>
        </w:tc>
        <w:tc>
          <w:tcPr>
            <w:tcW w:w="10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Universal Pegasus International, Inc.</w:t>
            </w:r>
          </w:p>
        </w:tc>
        <w:tc>
          <w:tcPr>
            <w:tcW w:w="1000" w:type="dxa"/>
            <w:vAlign w:val="bottom"/>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3"/>
              </w:rPr>
              <w:t>Oil and Gas</w:t>
            </w:r>
          </w:p>
        </w:tc>
        <w:tc>
          <w:tcPr>
            <w:tcW w:w="68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110,742</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1,107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46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(UP Support Services, Inc.)</w:t>
            </w:r>
          </w:p>
        </w:tc>
        <w:tc>
          <w:tcPr>
            <w:tcW w:w="10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20"/>
                <w:szCs w:val="20"/>
                <w:color w:val="auto"/>
              </w:rPr>
            </w:pPr>
            <w:r>
              <w:rPr>
                <w:rFonts w:ascii="Arial" w:cs="Arial" w:eastAsia="Arial" w:hAnsi="Arial"/>
                <w:sz w:val="13"/>
                <w:szCs w:val="13"/>
                <w:color w:val="auto"/>
              </w:rPr>
              <w:t>Verde Parent Holdings, Inc. (VPSI, Inc.)</w:t>
            </w:r>
          </w:p>
        </w:tc>
        <w:tc>
          <w:tcPr>
            <w:tcW w:w="1000" w:type="dxa"/>
            <w:vAlign w:val="bottom"/>
          </w:tcPr>
          <w:p>
            <w:pPr>
              <w:ind w:left="560"/>
              <w:spacing w:after="0"/>
              <w:rPr>
                <w:sz w:val="20"/>
                <w:szCs w:val="20"/>
                <w:color w:val="auto"/>
              </w:rPr>
            </w:pPr>
            <w:r>
              <w:rPr>
                <w:rFonts w:ascii="Arial" w:cs="Arial" w:eastAsia="Arial" w:hAnsi="Arial"/>
                <w:sz w:val="13"/>
                <w:szCs w:val="13"/>
                <w:color w:val="auto"/>
              </w:rPr>
              <w:t>—</w:t>
            </w:r>
          </w:p>
        </w:tc>
        <w:tc>
          <w:tcPr>
            <w:tcW w:w="1520" w:type="dxa"/>
            <w:vAlign w:val="bottom"/>
          </w:tcPr>
          <w:p>
            <w:pPr>
              <w:jc w:val="center"/>
              <w:spacing w:after="0"/>
              <w:rPr>
                <w:sz w:val="20"/>
                <w:szCs w:val="20"/>
                <w:color w:val="auto"/>
              </w:rPr>
            </w:pPr>
            <w:r>
              <w:rPr>
                <w:rFonts w:ascii="Arial" w:cs="Arial" w:eastAsia="Arial" w:hAnsi="Arial"/>
                <w:sz w:val="13"/>
                <w:szCs w:val="13"/>
                <w:color w:val="auto"/>
                <w:w w:val="93"/>
              </w:rPr>
              <w:t>Personal Transportation</w:t>
            </w:r>
          </w:p>
        </w:tc>
        <w:tc>
          <w:tcPr>
            <w:tcW w:w="6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tcPr>
          <w:p>
            <w:pPr>
              <w:ind w:left="5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9,166</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Vtext Holdings, Inc. (Veritext Corp.)</w:t>
            </w:r>
          </w:p>
        </w:tc>
        <w:tc>
          <w:tcPr>
            <w:tcW w:w="10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68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35,526</w:t>
            </w: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4,050,000</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7,501,780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600" w:type="dxa"/>
            <w:vAlign w:val="bottom"/>
          </w:tcPr>
          <w:p>
            <w:pPr>
              <w:spacing w:after="0"/>
              <w:rPr>
                <w:sz w:val="20"/>
                <w:szCs w:val="20"/>
                <w:color w:val="auto"/>
              </w:rPr>
            </w:pPr>
            <w:r>
              <w:rPr>
                <w:rFonts w:ascii="Arial" w:cs="Arial" w:eastAsia="Arial" w:hAnsi="Arial"/>
                <w:sz w:val="13"/>
                <w:szCs w:val="13"/>
                <w:b w:val="1"/>
                <w:bCs w:val="1"/>
                <w:color w:val="auto"/>
              </w:rPr>
              <w:t>Total Common Equity/Warrants/Partnership Interests</w:t>
            </w:r>
          </w:p>
        </w:tc>
        <w:tc>
          <w:tcPr>
            <w:tcW w:w="10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23,574,291</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32,299,342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4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10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1"/>
              </w:rPr>
              <w:t>816,078,311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773,375,381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jc w:val="center"/>
              <w:ind w:right="53"/>
              <w:spacing w:after="0"/>
              <w:rPr>
                <w:sz w:val="20"/>
                <w:szCs w:val="20"/>
                <w:color w:val="auto"/>
              </w:rPr>
            </w:pPr>
            <w:r>
              <w:rPr>
                <w:rFonts w:ascii="Arial" w:cs="Arial" w:eastAsia="Arial" w:hAnsi="Arial"/>
                <w:sz w:val="13"/>
                <w:szCs w:val="13"/>
                <w:b w:val="1"/>
                <w:bCs w:val="1"/>
                <w:color w:val="auto"/>
                <w:w w:val="90"/>
              </w:rPr>
              <w:t>Basis Point</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jc w:val="center"/>
              <w:ind w:right="53"/>
              <w:spacing w:after="0"/>
              <w:rPr>
                <w:sz w:val="20"/>
                <w:szCs w:val="20"/>
                <w:color w:val="auto"/>
              </w:rPr>
            </w:pPr>
            <w:r>
              <w:rPr>
                <w:rFonts w:ascii="Arial" w:cs="Arial" w:eastAsia="Arial" w:hAnsi="Arial"/>
                <w:sz w:val="13"/>
                <w:szCs w:val="13"/>
                <w:b w:val="1"/>
                <w:bCs w:val="1"/>
                <w:color w:val="auto"/>
                <w:w w:val="90"/>
              </w:rPr>
              <w:t>Spread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60" w:type="dxa"/>
            <w:vAlign w:val="bottom"/>
          </w:tcPr>
          <w:p>
            <w:pPr>
              <w:jc w:val="right"/>
              <w:ind w:right="276"/>
              <w:spacing w:after="0" w:line="134" w:lineRule="exact"/>
              <w:rPr>
                <w:sz w:val="20"/>
                <w:szCs w:val="20"/>
                <w:color w:val="auto"/>
              </w:rPr>
            </w:pPr>
            <w:r>
              <w:rPr>
                <w:rFonts w:ascii="Arial" w:cs="Arial" w:eastAsia="Arial" w:hAnsi="Arial"/>
                <w:sz w:val="13"/>
                <w:szCs w:val="13"/>
                <w:b w:val="1"/>
                <w:bCs w:val="1"/>
                <w:color w:val="auto"/>
              </w:rPr>
              <w:t>Current</w:t>
            </w:r>
          </w:p>
        </w:tc>
        <w:tc>
          <w:tcPr>
            <w:tcW w:w="920" w:type="dxa"/>
            <w:vAlign w:val="bottom"/>
          </w:tcPr>
          <w:p>
            <w:pPr>
              <w:jc w:val="center"/>
              <w:ind w:right="53"/>
              <w:spacing w:after="0" w:line="134" w:lineRule="exact"/>
              <w:rPr>
                <w:sz w:val="20"/>
                <w:szCs w:val="20"/>
                <w:color w:val="auto"/>
              </w:rPr>
            </w:pPr>
            <w:r>
              <w:rPr>
                <w:rFonts w:ascii="Arial" w:cs="Arial" w:eastAsia="Arial" w:hAnsi="Arial"/>
                <w:sz w:val="13"/>
                <w:szCs w:val="13"/>
                <w:b w:val="1"/>
                <w:bCs w:val="1"/>
                <w:color w:val="auto"/>
                <w:w w:val="90"/>
              </w:rPr>
              <w:t>Above</w:t>
            </w:r>
          </w:p>
        </w:tc>
        <w:tc>
          <w:tcPr>
            <w:tcW w:w="840" w:type="dxa"/>
            <w:vAlign w:val="bottom"/>
          </w:tcPr>
          <w:p>
            <w:pPr>
              <w:jc w:val="right"/>
              <w:ind w:right="273"/>
              <w:spacing w:after="0" w:line="134"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860" w:type="dxa"/>
            <w:vAlign w:val="bottom"/>
          </w:tcPr>
          <w:p>
            <w:pPr>
              <w:jc w:val="right"/>
              <w:ind w:right="296"/>
              <w:spacing w:after="0"/>
              <w:rPr>
                <w:sz w:val="20"/>
                <w:szCs w:val="20"/>
                <w:color w:val="auto"/>
              </w:rPr>
            </w:pPr>
            <w:r>
              <w:rPr>
                <w:rFonts w:ascii="Arial" w:cs="Arial" w:eastAsia="Arial" w:hAnsi="Arial"/>
                <w:sz w:val="13"/>
                <w:szCs w:val="13"/>
                <w:b w:val="1"/>
                <w:bCs w:val="1"/>
                <w:color w:val="auto"/>
                <w:w w:val="97"/>
              </w:rPr>
              <w:t>Coupon</w:t>
            </w:r>
          </w:p>
        </w:tc>
        <w:tc>
          <w:tcPr>
            <w:tcW w:w="920" w:type="dxa"/>
            <w:vAlign w:val="bottom"/>
          </w:tcPr>
          <w:p>
            <w:pPr>
              <w:jc w:val="center"/>
              <w:ind w:right="53"/>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(4)</w:t>
            </w:r>
          </w:p>
        </w:tc>
        <w:tc>
          <w:tcPr>
            <w:tcW w:w="840" w:type="dxa"/>
            <w:vAlign w:val="bottom"/>
          </w:tcPr>
          <w:p>
            <w:pPr>
              <w:jc w:val="right"/>
              <w:ind w:right="213"/>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660" w:type="dxa"/>
            <w:vAlign w:val="bottom"/>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13"/>
                <w:szCs w:val="13"/>
                <w:b w:val="1"/>
                <w:bCs w:val="1"/>
                <w:color w:val="auto"/>
                <w:w w:val="98"/>
              </w:rPr>
              <w:t xml:space="preserve">Investments in Non-Controlled, Affiliated Portfolio Companies—8.8% </w:t>
            </w:r>
            <w:r>
              <w:rPr>
                <w:rFonts w:ascii="Arial" w:cs="Arial" w:eastAsia="Arial" w:hAnsi="Arial"/>
                <w:sz w:val="22"/>
                <w:szCs w:val="22"/>
                <w:b w:val="1"/>
                <w:bCs w:val="1"/>
                <w:color w:val="auto"/>
                <w:w w:val="98"/>
                <w:vertAlign w:val="superscript"/>
              </w:rPr>
              <w:t>(1),(2)</w:t>
            </w:r>
          </w:p>
        </w:tc>
        <w:tc>
          <w:tcPr>
            <w:tcW w:w="6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20"/>
                <w:szCs w:val="20"/>
                <w:color w:val="auto"/>
              </w:rPr>
            </w:pPr>
            <w:r>
              <w:rPr>
                <w:rFonts w:ascii="Arial" w:cs="Arial" w:eastAsia="Arial" w:hAnsi="Arial"/>
                <w:sz w:val="13"/>
                <w:szCs w:val="13"/>
                <w:b w:val="1"/>
                <w:bCs w:val="1"/>
                <w:color w:val="auto"/>
              </w:rPr>
              <w:t>First Lien Secured Debt – 1.4%</w:t>
            </w:r>
          </w:p>
        </w:tc>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EnviroSolutions, Inc. </w:t>
            </w:r>
            <w:r>
              <w:rPr>
                <w:rFonts w:ascii="Arial" w:cs="Arial" w:eastAsia="Arial" w:hAnsi="Arial"/>
                <w:sz w:val="17"/>
                <w:szCs w:val="17"/>
                <w:color w:val="auto"/>
                <w:vertAlign w:val="superscript"/>
              </w:rPr>
              <w:t>(9)</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07/29/2013</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Environmental Services</w:t>
            </w:r>
          </w:p>
        </w:tc>
        <w:tc>
          <w:tcPr>
            <w:tcW w:w="86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left="19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6,666,666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6,666,666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6,666,666</w:t>
            </w:r>
          </w:p>
        </w:tc>
        <w:tc>
          <w:tcPr>
            <w:tcW w:w="0" w:type="dxa"/>
            <w:vAlign w:val="bottom"/>
          </w:tcPr>
          <w:p>
            <w:pPr>
              <w:spacing w:after="0"/>
              <w:rPr>
                <w:sz w:val="1"/>
                <w:szCs w:val="1"/>
                <w:color w:val="auto"/>
              </w:rPr>
            </w:pPr>
          </w:p>
        </w:tc>
      </w:tr>
      <w:tr>
        <w:trPr>
          <w:trHeight w:val="156"/>
        </w:trPr>
        <w:tc>
          <w:tcPr>
            <w:tcW w:w="4640" w:type="dxa"/>
            <w:vAlign w:val="bottom"/>
          </w:tcPr>
          <w:p>
            <w:pPr>
              <w:spacing w:after="0"/>
              <w:rPr>
                <w:sz w:val="20"/>
                <w:szCs w:val="20"/>
                <w:color w:val="auto"/>
              </w:rPr>
            </w:pPr>
            <w:r>
              <w:rPr>
                <w:rFonts w:ascii="Arial" w:cs="Arial" w:eastAsia="Arial" w:hAnsi="Arial"/>
                <w:sz w:val="13"/>
                <w:szCs w:val="13"/>
                <w:b w:val="1"/>
                <w:bCs w:val="1"/>
                <w:color w:val="auto"/>
              </w:rPr>
              <w:t>Second Lien Secured Debt—2.9%</w:t>
            </w:r>
          </w:p>
        </w:tc>
        <w:tc>
          <w:tcPr>
            <w:tcW w:w="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vMerge w:val="restart"/>
          </w:tcPr>
          <w:p>
            <w:pPr>
              <w:jc w:val="center"/>
              <w:ind w:left="193"/>
              <w:spacing w:after="0"/>
              <w:rPr>
                <w:sz w:val="20"/>
                <w:szCs w:val="20"/>
                <w:color w:val="auto"/>
              </w:rPr>
            </w:pPr>
            <w:r>
              <w:rPr>
                <w:rFonts w:ascii="Arial" w:cs="Arial" w:eastAsia="Arial" w:hAnsi="Arial"/>
                <w:sz w:val="13"/>
                <w:szCs w:val="13"/>
                <w:color w:val="auto"/>
                <w:w w:val="92"/>
              </w:rPr>
              <w:t xml:space="preserve">L+600 </w:t>
            </w:r>
            <w:r>
              <w:rPr>
                <w:rFonts w:ascii="Arial" w:cs="Arial" w:eastAsia="Arial" w:hAnsi="Arial"/>
                <w:sz w:val="22"/>
                <w:szCs w:val="22"/>
                <w:color w:val="auto"/>
                <w:w w:val="92"/>
                <w:vertAlign w:val="superscript"/>
              </w:rPr>
              <w:t>(8)</w:t>
            </w:r>
          </w:p>
        </w:tc>
        <w:tc>
          <w:tcPr>
            <w:tcW w:w="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20"/>
                <w:szCs w:val="20"/>
                <w:color w:val="auto"/>
              </w:rPr>
            </w:pPr>
            <w:r>
              <w:rPr>
                <w:rFonts w:ascii="Arial" w:cs="Arial" w:eastAsia="Arial" w:hAnsi="Arial"/>
                <w:sz w:val="13"/>
                <w:szCs w:val="13"/>
                <w:color w:val="auto"/>
              </w:rPr>
              <w:t>EnviroSolutions,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07/29/2014</w:t>
            </w:r>
          </w:p>
        </w:tc>
        <w:tc>
          <w:tcPr>
            <w:tcW w:w="1400" w:type="dxa"/>
            <w:vAlign w:val="bottom"/>
          </w:tcPr>
          <w:p>
            <w:pPr>
              <w:jc w:val="center"/>
              <w:spacing w:after="0"/>
              <w:rPr>
                <w:sz w:val="20"/>
                <w:szCs w:val="20"/>
                <w:color w:val="auto"/>
              </w:rPr>
            </w:pPr>
            <w:r>
              <w:rPr>
                <w:rFonts w:ascii="Arial" w:cs="Arial" w:eastAsia="Arial" w:hAnsi="Arial"/>
                <w:sz w:val="13"/>
                <w:szCs w:val="13"/>
                <w:color w:val="auto"/>
                <w:w w:val="93"/>
              </w:rPr>
              <w:t>Environmental Services</w:t>
            </w:r>
          </w:p>
        </w:tc>
        <w:tc>
          <w:tcPr>
            <w:tcW w:w="860" w:type="dxa"/>
            <w:vAlign w:val="bottom"/>
          </w:tcPr>
          <w:p>
            <w:pPr>
              <w:jc w:val="right"/>
              <w:ind w:right="176"/>
              <w:spacing w:after="0"/>
              <w:rPr>
                <w:sz w:val="20"/>
                <w:szCs w:val="20"/>
                <w:color w:val="auto"/>
              </w:rPr>
            </w:pPr>
            <w:r>
              <w:rPr>
                <w:rFonts w:ascii="Arial" w:cs="Arial" w:eastAsia="Arial" w:hAnsi="Arial"/>
                <w:sz w:val="13"/>
                <w:szCs w:val="13"/>
                <w:color w:val="auto"/>
              </w:rPr>
              <w:t>8.00%</w:t>
            </w:r>
          </w:p>
        </w:tc>
        <w:tc>
          <w:tcPr>
            <w:tcW w:w="920" w:type="dxa"/>
            <w:vAlign w:val="bottom"/>
            <w:vMerge w:val="continue"/>
          </w:tcPr>
          <w:p>
            <w:pPr>
              <w:spacing w:after="0"/>
              <w:rPr>
                <w:sz w:val="12"/>
                <w:szCs w:val="12"/>
                <w:color w:val="auto"/>
              </w:rPr>
            </w:pPr>
          </w:p>
        </w:tc>
        <w:tc>
          <w:tcPr>
            <w:tcW w:w="840" w:type="dxa"/>
            <w:vAlign w:val="bottom"/>
          </w:tcPr>
          <w:p>
            <w:pPr>
              <w:jc w:val="right"/>
              <w:ind w:right="93"/>
              <w:spacing w:after="0"/>
              <w:rPr>
                <w:sz w:val="20"/>
                <w:szCs w:val="20"/>
                <w:color w:val="auto"/>
              </w:rPr>
            </w:pPr>
            <w:r>
              <w:rPr>
                <w:rFonts w:ascii="Arial" w:cs="Arial" w:eastAsia="Arial" w:hAnsi="Arial"/>
                <w:sz w:val="13"/>
                <w:szCs w:val="13"/>
                <w:color w:val="auto"/>
              </w:rPr>
              <w:t>5,870,416</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5,870,416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5,870,416</w:t>
            </w:r>
          </w:p>
        </w:tc>
        <w:tc>
          <w:tcPr>
            <w:tcW w:w="0" w:type="dxa"/>
            <w:vAlign w:val="bottom"/>
          </w:tcPr>
          <w:p>
            <w:pPr>
              <w:spacing w:after="0"/>
              <w:rPr>
                <w:sz w:val="1"/>
                <w:szCs w:val="1"/>
                <w:color w:val="auto"/>
              </w:rPr>
            </w:pPr>
          </w:p>
        </w:tc>
      </w:tr>
      <w:tr>
        <w:trPr>
          <w:trHeight w:val="246"/>
        </w:trPr>
        <w:tc>
          <w:tcPr>
            <w:tcW w:w="4640" w:type="dxa"/>
            <w:vAlign w:val="bottom"/>
          </w:tcPr>
          <w:p>
            <w:pPr>
              <w:spacing w:after="0"/>
              <w:rPr>
                <w:sz w:val="20"/>
                <w:szCs w:val="20"/>
                <w:color w:val="auto"/>
              </w:rPr>
            </w:pPr>
            <w:r>
              <w:rPr>
                <w:rFonts w:ascii="Arial" w:cs="Arial" w:eastAsia="Arial" w:hAnsi="Arial"/>
                <w:sz w:val="13"/>
                <w:szCs w:val="13"/>
                <w:color w:val="auto"/>
              </w:rPr>
              <w:t>Performance, Inc.</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01/16/2015</w:t>
            </w:r>
          </w:p>
        </w:tc>
        <w:tc>
          <w:tcPr>
            <w:tcW w:w="1400" w:type="dxa"/>
            <w:vAlign w:val="bottom"/>
          </w:tcPr>
          <w:p>
            <w:pPr>
              <w:jc w:val="center"/>
              <w:spacing w:after="0"/>
              <w:rPr>
                <w:sz w:val="20"/>
                <w:szCs w:val="20"/>
                <w:color w:val="auto"/>
              </w:rPr>
            </w:pPr>
            <w:r>
              <w:rPr>
                <w:rFonts w:ascii="Arial" w:cs="Arial" w:eastAsia="Arial" w:hAnsi="Arial"/>
                <w:sz w:val="13"/>
                <w:szCs w:val="13"/>
                <w:color w:val="auto"/>
                <w:w w:val="93"/>
              </w:rPr>
              <w:t>Leisure, Amusement</w:t>
            </w:r>
          </w:p>
        </w:tc>
        <w:tc>
          <w:tcPr>
            <w:tcW w:w="860" w:type="dxa"/>
            <w:vAlign w:val="bottom"/>
          </w:tcPr>
          <w:p>
            <w:pPr>
              <w:jc w:val="right"/>
              <w:ind w:right="176"/>
              <w:spacing w:after="0"/>
              <w:rPr>
                <w:sz w:val="20"/>
                <w:szCs w:val="20"/>
                <w:color w:val="auto"/>
              </w:rPr>
            </w:pPr>
            <w:r>
              <w:rPr>
                <w:rFonts w:ascii="Arial" w:cs="Arial" w:eastAsia="Arial" w:hAnsi="Arial"/>
                <w:sz w:val="13"/>
                <w:szCs w:val="13"/>
                <w:color w:val="auto"/>
              </w:rPr>
              <w:t>7.25%</w:t>
            </w:r>
          </w:p>
        </w:tc>
        <w:tc>
          <w:tcPr>
            <w:tcW w:w="920" w:type="dxa"/>
            <w:vAlign w:val="bottom"/>
          </w:tcPr>
          <w:p>
            <w:pPr>
              <w:jc w:val="center"/>
              <w:ind w:left="193"/>
              <w:spacing w:after="0" w:line="246" w:lineRule="exact"/>
              <w:rPr>
                <w:sz w:val="20"/>
                <w:szCs w:val="20"/>
                <w:color w:val="auto"/>
              </w:rPr>
            </w:pPr>
            <w:r>
              <w:rPr>
                <w:rFonts w:ascii="Arial" w:cs="Arial" w:eastAsia="Arial" w:hAnsi="Arial"/>
                <w:sz w:val="13"/>
                <w:szCs w:val="13"/>
                <w:color w:val="auto"/>
                <w:w w:val="92"/>
              </w:rPr>
              <w:t xml:space="preserve">L+625 </w:t>
            </w:r>
            <w:r>
              <w:rPr>
                <w:rFonts w:ascii="Arial" w:cs="Arial" w:eastAsia="Arial" w:hAnsi="Arial"/>
                <w:sz w:val="22"/>
                <w:szCs w:val="22"/>
                <w:color w:val="auto"/>
                <w:w w:val="92"/>
                <w:vertAlign w:val="superscript"/>
              </w:rPr>
              <w:t>(8)</w:t>
            </w:r>
          </w:p>
        </w:tc>
        <w:tc>
          <w:tcPr>
            <w:tcW w:w="840" w:type="dxa"/>
            <w:vAlign w:val="bottom"/>
          </w:tcPr>
          <w:p>
            <w:pPr>
              <w:jc w:val="right"/>
              <w:ind w:right="93"/>
              <w:spacing w:after="0"/>
              <w:rPr>
                <w:sz w:val="20"/>
                <w:szCs w:val="20"/>
                <w:color w:val="auto"/>
              </w:rPr>
            </w:pPr>
            <w:r>
              <w:rPr>
                <w:rFonts w:ascii="Arial" w:cs="Arial" w:eastAsia="Arial" w:hAnsi="Arial"/>
                <w:sz w:val="13"/>
                <w:szCs w:val="13"/>
                <w:color w:val="auto"/>
              </w:rPr>
              <w:t>8,000,000</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8,000,000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7,336,000</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8"/>
              </w:rPr>
              <w:t>Motion Pictures</w:t>
            </w: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4"/>
              </w:rPr>
              <w:t>and Entertainment</w:t>
            </w: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13,870,416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13,206,416</w:t>
            </w:r>
          </w:p>
        </w:tc>
        <w:tc>
          <w:tcPr>
            <w:tcW w:w="0" w:type="dxa"/>
            <w:vAlign w:val="bottom"/>
          </w:tcPr>
          <w:p>
            <w:pPr>
              <w:spacing w:after="0"/>
              <w:rPr>
                <w:sz w:val="1"/>
                <w:szCs w:val="1"/>
                <w:color w:val="auto"/>
              </w:rPr>
            </w:pPr>
          </w:p>
        </w:tc>
      </w:tr>
      <w:tr>
        <w:trPr>
          <w:trHeight w:val="156"/>
        </w:trPr>
        <w:tc>
          <w:tcPr>
            <w:tcW w:w="4640" w:type="dxa"/>
            <w:vAlign w:val="bottom"/>
          </w:tcPr>
          <w:p>
            <w:pPr>
              <w:spacing w:after="0"/>
              <w:rPr>
                <w:sz w:val="20"/>
                <w:szCs w:val="20"/>
                <w:color w:val="auto"/>
              </w:rPr>
            </w:pPr>
            <w:r>
              <w:rPr>
                <w:rFonts w:ascii="Arial" w:cs="Arial" w:eastAsia="Arial" w:hAnsi="Arial"/>
                <w:sz w:val="13"/>
                <w:szCs w:val="13"/>
                <w:b w:val="1"/>
                <w:bCs w:val="1"/>
                <w:color w:val="auto"/>
              </w:rPr>
              <w:t>Subordinated Debt/Corporate Notes—1.4%</w:t>
            </w:r>
          </w:p>
        </w:tc>
        <w:tc>
          <w:tcPr>
            <w:tcW w:w="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Performance Holdings,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07/16/2015</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Leisure, Amusement,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15.00% </w:t>
            </w:r>
            <w:r>
              <w:rPr>
                <w:rFonts w:ascii="Arial" w:cs="Arial" w:eastAsia="Arial" w:hAnsi="Arial"/>
                <w:sz w:val="17"/>
                <w:szCs w:val="17"/>
                <w:color w:val="auto"/>
                <w:vertAlign w:val="superscript"/>
              </w:rPr>
              <w:t>(6)</w:t>
            </w:r>
          </w:p>
        </w:tc>
        <w:tc>
          <w:tcPr>
            <w:tcW w:w="920" w:type="dxa"/>
            <w:vAlign w:val="bottom"/>
            <w:shd w:val="clear" w:color="auto" w:fill="CCEEFF"/>
          </w:tcPr>
          <w:p>
            <w:pPr>
              <w:jc w:val="center"/>
              <w:ind w:left="19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6,775,991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6,617,860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6,403,311</w:t>
            </w:r>
          </w:p>
        </w:tc>
        <w:tc>
          <w:tcPr>
            <w:tcW w:w="0" w:type="dxa"/>
            <w:vAlign w:val="bottom"/>
          </w:tcPr>
          <w:p>
            <w:pPr>
              <w:spacing w:after="0"/>
              <w:rPr>
                <w:sz w:val="1"/>
                <w:szCs w:val="1"/>
                <w:color w:val="auto"/>
              </w:rPr>
            </w:pPr>
          </w:p>
        </w:tc>
      </w:tr>
      <w:tr>
        <w:trPr>
          <w:trHeight w:val="145"/>
        </w:trPr>
        <w:tc>
          <w:tcPr>
            <w:tcW w:w="46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jc w:val="center"/>
              <w:spacing w:after="0" w:line="145" w:lineRule="exact"/>
              <w:rPr>
                <w:sz w:val="20"/>
                <w:szCs w:val="20"/>
                <w:color w:val="auto"/>
              </w:rPr>
            </w:pPr>
            <w:r>
              <w:rPr>
                <w:rFonts w:ascii="Arial" w:cs="Arial" w:eastAsia="Arial" w:hAnsi="Arial"/>
                <w:sz w:val="13"/>
                <w:szCs w:val="13"/>
                <w:color w:val="auto"/>
                <w:w w:val="93"/>
              </w:rPr>
              <w:t>Motion Pictures and</w:t>
            </w:r>
          </w:p>
        </w:tc>
        <w:tc>
          <w:tcPr>
            <w:tcW w:w="8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Entertainment</w:t>
            </w:r>
          </w:p>
        </w:tc>
        <w:tc>
          <w:tcPr>
            <w:tcW w:w="8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Interest—3.1% </w:t>
            </w:r>
            <w:r>
              <w:rPr>
                <w:rFonts w:ascii="Arial" w:cs="Arial" w:eastAsia="Arial" w:hAnsi="Arial"/>
                <w:sz w:val="17"/>
                <w:szCs w:val="17"/>
                <w:b w:val="1"/>
                <w:bCs w:val="1"/>
                <w:color w:val="auto"/>
                <w:vertAlign w:val="superscript"/>
              </w:rPr>
              <w:t>(7)</w:t>
            </w:r>
          </w:p>
        </w:tc>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EnviroSolutions, Inc.</w:t>
            </w:r>
          </w:p>
        </w:tc>
        <w:tc>
          <w:tcPr>
            <w:tcW w:w="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Environmental Services</w:t>
            </w:r>
          </w:p>
        </w:tc>
        <w:tc>
          <w:tcPr>
            <w:tcW w:w="86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center"/>
              <w:ind w:left="19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37,382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2,710,036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5,641,925</w:t>
            </w:r>
          </w:p>
        </w:tc>
        <w:tc>
          <w:tcPr>
            <w:tcW w:w="0" w:type="dxa"/>
            <w:vAlign w:val="bottom"/>
          </w:tcPr>
          <w:p>
            <w:pPr>
              <w:spacing w:after="0"/>
              <w:rPr>
                <w:sz w:val="1"/>
                <w:szCs w:val="1"/>
                <w:color w:val="auto"/>
              </w:rPr>
            </w:pPr>
          </w:p>
        </w:tc>
      </w:tr>
      <w:tr>
        <w:trPr>
          <w:trHeight w:val="138"/>
        </w:trPr>
        <w:tc>
          <w:tcPr>
            <w:tcW w:w="4640" w:type="dxa"/>
            <w:vAlign w:val="bottom"/>
          </w:tcPr>
          <w:p>
            <w:pPr>
              <w:spacing w:after="0" w:line="138" w:lineRule="exact"/>
              <w:rPr>
                <w:sz w:val="20"/>
                <w:szCs w:val="20"/>
                <w:color w:val="auto"/>
              </w:rPr>
            </w:pPr>
            <w:r>
              <w:rPr>
                <w:rFonts w:ascii="Arial" w:cs="Arial" w:eastAsia="Arial" w:hAnsi="Arial"/>
                <w:sz w:val="13"/>
                <w:szCs w:val="13"/>
                <w:color w:val="auto"/>
              </w:rPr>
              <w:t>EnviroSolutions, Inc. (Warrants)</w:t>
            </w:r>
          </w:p>
        </w:tc>
        <w:tc>
          <w:tcPr>
            <w:tcW w:w="660" w:type="dxa"/>
            <w:vAlign w:val="bottom"/>
          </w:tcPr>
          <w:p>
            <w:pPr>
              <w:ind w:left="200"/>
              <w:spacing w:after="0" w:line="138" w:lineRule="exact"/>
              <w:rPr>
                <w:sz w:val="20"/>
                <w:szCs w:val="20"/>
                <w:color w:val="auto"/>
              </w:rPr>
            </w:pPr>
            <w:r>
              <w:rPr>
                <w:rFonts w:ascii="Arial" w:cs="Arial" w:eastAsia="Arial" w:hAnsi="Arial"/>
                <w:sz w:val="13"/>
                <w:szCs w:val="13"/>
                <w:color w:val="auto"/>
              </w:rPr>
              <w:t>—</w:t>
            </w:r>
          </w:p>
        </w:tc>
        <w:tc>
          <w:tcPr>
            <w:tcW w:w="1400" w:type="dxa"/>
            <w:vAlign w:val="bottom"/>
          </w:tcPr>
          <w:p>
            <w:pPr>
              <w:jc w:val="center"/>
              <w:spacing w:after="0" w:line="138" w:lineRule="exact"/>
              <w:rPr>
                <w:sz w:val="20"/>
                <w:szCs w:val="20"/>
                <w:color w:val="auto"/>
              </w:rPr>
            </w:pPr>
            <w:r>
              <w:rPr>
                <w:rFonts w:ascii="Arial" w:cs="Arial" w:eastAsia="Arial" w:hAnsi="Arial"/>
                <w:sz w:val="13"/>
                <w:szCs w:val="13"/>
                <w:color w:val="auto"/>
                <w:w w:val="93"/>
              </w:rPr>
              <w:t>Environmental Services</w:t>
            </w:r>
          </w:p>
        </w:tc>
        <w:tc>
          <w:tcPr>
            <w:tcW w:w="860" w:type="dxa"/>
            <w:vAlign w:val="bottom"/>
          </w:tcPr>
          <w:p>
            <w:pPr>
              <w:jc w:val="right"/>
              <w:ind w:right="356"/>
              <w:spacing w:after="0" w:line="138" w:lineRule="exact"/>
              <w:rPr>
                <w:sz w:val="20"/>
                <w:szCs w:val="20"/>
                <w:color w:val="auto"/>
              </w:rPr>
            </w:pPr>
            <w:r>
              <w:rPr>
                <w:rFonts w:ascii="Arial" w:cs="Arial" w:eastAsia="Arial" w:hAnsi="Arial"/>
                <w:sz w:val="13"/>
                <w:szCs w:val="13"/>
                <w:color w:val="auto"/>
              </w:rPr>
              <w:t>—</w:t>
            </w:r>
          </w:p>
        </w:tc>
        <w:tc>
          <w:tcPr>
            <w:tcW w:w="920" w:type="dxa"/>
            <w:vAlign w:val="bottom"/>
          </w:tcPr>
          <w:p>
            <w:pPr>
              <w:jc w:val="center"/>
              <w:ind w:left="193"/>
              <w:spacing w:after="0" w:line="138"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3"/>
              <w:spacing w:after="0" w:line="138" w:lineRule="exact"/>
              <w:rPr>
                <w:sz w:val="20"/>
                <w:szCs w:val="20"/>
                <w:color w:val="auto"/>
              </w:rPr>
            </w:pPr>
            <w:r>
              <w:rPr>
                <w:rFonts w:ascii="Arial" w:cs="Arial" w:eastAsia="Arial" w:hAnsi="Arial"/>
                <w:sz w:val="13"/>
                <w:szCs w:val="13"/>
                <w:color w:val="auto"/>
              </w:rPr>
              <w:t>50,102</w:t>
            </w: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3,129,447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7,561,205</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20"/>
                <w:szCs w:val="20"/>
                <w:color w:val="auto"/>
              </w:rPr>
            </w:pPr>
            <w:r>
              <w:rPr>
                <w:rFonts w:ascii="Arial" w:cs="Arial" w:eastAsia="Arial" w:hAnsi="Arial"/>
                <w:sz w:val="13"/>
                <w:szCs w:val="13"/>
                <w:color w:val="auto"/>
              </w:rPr>
              <w:t>NCP-Performance (Performance Holdings, Inc.)</w:t>
            </w:r>
          </w:p>
        </w:tc>
        <w:tc>
          <w:tcPr>
            <w:tcW w:w="660" w:type="dxa"/>
            <w:vAlign w:val="bottom"/>
          </w:tcPr>
          <w:p>
            <w:pPr>
              <w:ind w:left="200"/>
              <w:spacing w:after="0"/>
              <w:rPr>
                <w:sz w:val="20"/>
                <w:szCs w:val="20"/>
                <w:color w:val="auto"/>
              </w:rPr>
            </w:pPr>
            <w:r>
              <w:rPr>
                <w:rFonts w:ascii="Arial" w:cs="Arial" w:eastAsia="Arial" w:hAnsi="Arial"/>
                <w:sz w:val="13"/>
                <w:szCs w:val="13"/>
                <w:color w:val="auto"/>
              </w:rPr>
              <w:t>—</w:t>
            </w:r>
          </w:p>
        </w:tc>
        <w:tc>
          <w:tcPr>
            <w:tcW w:w="1400" w:type="dxa"/>
            <w:vAlign w:val="bottom"/>
          </w:tcPr>
          <w:p>
            <w:pPr>
              <w:jc w:val="center"/>
              <w:spacing w:after="0"/>
              <w:rPr>
                <w:sz w:val="20"/>
                <w:szCs w:val="20"/>
                <w:color w:val="auto"/>
              </w:rPr>
            </w:pPr>
            <w:r>
              <w:rPr>
                <w:rFonts w:ascii="Arial" w:cs="Arial" w:eastAsia="Arial" w:hAnsi="Arial"/>
                <w:sz w:val="13"/>
                <w:szCs w:val="13"/>
                <w:color w:val="auto"/>
                <w:w w:val="94"/>
              </w:rPr>
              <w:t>Leisure, Amusement,</w:t>
            </w:r>
          </w:p>
        </w:tc>
        <w:tc>
          <w:tcPr>
            <w:tcW w:w="86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920" w:type="dxa"/>
            <w:vAlign w:val="bottom"/>
          </w:tcPr>
          <w:p>
            <w:pPr>
              <w:jc w:val="center"/>
              <w:ind w:left="19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3"/>
              <w:spacing w:after="0"/>
              <w:rPr>
                <w:sz w:val="20"/>
                <w:szCs w:val="20"/>
                <w:color w:val="auto"/>
              </w:rPr>
            </w:pPr>
            <w:r>
              <w:rPr>
                <w:rFonts w:ascii="Arial" w:cs="Arial" w:eastAsia="Arial" w:hAnsi="Arial"/>
                <w:sz w:val="13"/>
                <w:szCs w:val="13"/>
                <w:color w:val="auto"/>
              </w:rPr>
              <w:t>375,000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3,750,000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1,193,610</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3"/>
              </w:rPr>
              <w:t>Motion Pictures and</w:t>
            </w: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3"/>
              </w:rPr>
              <w:t>Entertainment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Common Equity/Partnership Interest</w:t>
            </w:r>
          </w:p>
        </w:tc>
        <w:tc>
          <w:tcPr>
            <w:tcW w:w="6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9,589,483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14,396,740</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36,744,425</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40,673,133</w:t>
            </w: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Controlled, Affiliated Portfolio Companies—2.9% </w:t>
            </w:r>
            <w:r>
              <w:rPr>
                <w:rFonts w:ascii="Arial" w:cs="Arial" w:eastAsia="Arial" w:hAnsi="Arial"/>
                <w:sz w:val="17"/>
                <w:szCs w:val="17"/>
                <w:b w:val="1"/>
                <w:bCs w:val="1"/>
                <w:color w:val="auto"/>
                <w:vertAlign w:val="superscript"/>
              </w:rPr>
              <w:t>(1),(2)</w:t>
            </w:r>
          </w:p>
        </w:tc>
        <w:tc>
          <w:tcPr>
            <w:tcW w:w="6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20"/>
                <w:szCs w:val="20"/>
                <w:color w:val="auto"/>
              </w:rPr>
            </w:pPr>
            <w:r>
              <w:rPr>
                <w:rFonts w:ascii="Arial" w:cs="Arial" w:eastAsia="Arial" w:hAnsi="Arial"/>
                <w:sz w:val="13"/>
                <w:szCs w:val="13"/>
                <w:b w:val="1"/>
                <w:bCs w:val="1"/>
                <w:color w:val="auto"/>
              </w:rPr>
              <w:t>First Lien Secured Debt—2.1%</w:t>
            </w:r>
          </w:p>
        </w:tc>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06/30/2020</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(6)</w:t>
            </w:r>
          </w:p>
        </w:tc>
        <w:tc>
          <w:tcPr>
            <w:tcW w:w="920" w:type="dxa"/>
            <w:vAlign w:val="bottom"/>
            <w:shd w:val="clear" w:color="auto" w:fill="CCEEFF"/>
          </w:tcPr>
          <w:p>
            <w:pPr>
              <w:jc w:val="center"/>
              <w:ind w:left="19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9,200,000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9,676,650</w:t>
            </w:r>
          </w:p>
        </w:tc>
        <w:tc>
          <w:tcPr>
            <w:tcW w:w="0" w:type="dxa"/>
            <w:vAlign w:val="bottom"/>
          </w:tcPr>
          <w:p>
            <w:pPr>
              <w:spacing w:after="0"/>
              <w:rPr>
                <w:sz w:val="1"/>
                <w:szCs w:val="1"/>
                <w:color w:val="auto"/>
              </w:rPr>
            </w:pPr>
          </w:p>
        </w:tc>
      </w:tr>
      <w:tr>
        <w:trPr>
          <w:trHeight w:val="155"/>
        </w:trPr>
        <w:tc>
          <w:tcPr>
            <w:tcW w:w="4640" w:type="dxa"/>
            <w:vAlign w:val="bottom"/>
          </w:tcPr>
          <w:p>
            <w:pPr>
              <w:spacing w:after="0"/>
              <w:rPr>
                <w:sz w:val="20"/>
                <w:szCs w:val="20"/>
                <w:color w:val="auto"/>
              </w:rPr>
            </w:pPr>
            <w:r>
              <w:rPr>
                <w:rFonts w:ascii="Arial" w:cs="Arial" w:eastAsia="Arial" w:hAnsi="Arial"/>
                <w:sz w:val="13"/>
                <w:szCs w:val="13"/>
                <w:b w:val="1"/>
                <w:bCs w:val="1"/>
                <w:color w:val="auto"/>
              </w:rPr>
              <w:t>Subordinated Debt/Corporate Notes—0.5%</w:t>
            </w:r>
          </w:p>
        </w:tc>
        <w:tc>
          <w:tcPr>
            <w:tcW w:w="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06/30/2020</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(6)</w:t>
            </w:r>
          </w:p>
        </w:tc>
        <w:tc>
          <w:tcPr>
            <w:tcW w:w="920" w:type="dxa"/>
            <w:vAlign w:val="bottom"/>
            <w:shd w:val="clear" w:color="auto" w:fill="CCEEFF"/>
          </w:tcPr>
          <w:p>
            <w:pPr>
              <w:jc w:val="center"/>
              <w:ind w:left="19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2,300,,000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2,085,357</w:t>
            </w:r>
          </w:p>
        </w:tc>
        <w:tc>
          <w:tcPr>
            <w:tcW w:w="0" w:type="dxa"/>
            <w:vAlign w:val="bottom"/>
          </w:tcPr>
          <w:p>
            <w:pPr>
              <w:spacing w:after="0"/>
              <w:rPr>
                <w:sz w:val="1"/>
                <w:szCs w:val="1"/>
                <w:color w:val="auto"/>
              </w:rPr>
            </w:pPr>
          </w:p>
        </w:tc>
      </w:tr>
      <w:tr>
        <w:trPr>
          <w:trHeight w:val="155"/>
        </w:trPr>
        <w:tc>
          <w:tcPr>
            <w:tcW w:w="4640" w:type="dxa"/>
            <w:vAlign w:val="bottom"/>
          </w:tcPr>
          <w:p>
            <w:pPr>
              <w:spacing w:after="0" w:line="156" w:lineRule="exact"/>
              <w:rPr>
                <w:sz w:val="20"/>
                <w:szCs w:val="20"/>
                <w:color w:val="auto"/>
              </w:rPr>
            </w:pPr>
            <w:r>
              <w:rPr>
                <w:rFonts w:ascii="Arial" w:cs="Arial" w:eastAsia="Arial" w:hAnsi="Arial"/>
                <w:sz w:val="11"/>
                <w:szCs w:val="11"/>
                <w:b w:val="1"/>
                <w:bCs w:val="1"/>
                <w:color w:val="auto"/>
              </w:rPr>
              <w:t xml:space="preserve">Preferred Equity—0.4% </w:t>
            </w:r>
            <w:r>
              <w:rPr>
                <w:rFonts w:ascii="Arial" w:cs="Arial" w:eastAsia="Arial" w:hAnsi="Arial"/>
                <w:sz w:val="18"/>
                <w:szCs w:val="18"/>
                <w:b w:val="1"/>
                <w:bCs w:val="1"/>
                <w:color w:val="auto"/>
                <w:vertAlign w:val="superscript"/>
              </w:rPr>
              <w:t>(7)</w:t>
            </w:r>
          </w:p>
        </w:tc>
        <w:tc>
          <w:tcPr>
            <w:tcW w:w="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8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14.00%</w:t>
            </w:r>
          </w:p>
        </w:tc>
        <w:tc>
          <w:tcPr>
            <w:tcW w:w="920" w:type="dxa"/>
            <w:vAlign w:val="bottom"/>
            <w:shd w:val="clear" w:color="auto" w:fill="CCEEFF"/>
          </w:tcPr>
          <w:p>
            <w:pPr>
              <w:jc w:val="center"/>
              <w:ind w:left="19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1,737.994</w:t>
            </w:r>
          </w:p>
        </w:tc>
        <w:tc>
          <w:tcPr>
            <w:tcW w:w="0" w:type="dxa"/>
            <w:vAlign w:val="bottom"/>
          </w:tcPr>
          <w:p>
            <w:pPr>
              <w:spacing w:after="0"/>
              <w:rPr>
                <w:sz w:val="1"/>
                <w:szCs w:val="1"/>
                <w:color w:val="auto"/>
              </w:rPr>
            </w:pPr>
          </w:p>
        </w:tc>
      </w:tr>
      <w:tr>
        <w:trPr>
          <w:trHeight w:val="156"/>
        </w:trPr>
        <w:tc>
          <w:tcPr>
            <w:tcW w:w="4640" w:type="dxa"/>
            <w:vAlign w:val="bottom"/>
          </w:tcPr>
          <w:p>
            <w:pPr>
              <w:spacing w:after="0" w:line="156"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8"/>
                <w:szCs w:val="18"/>
                <w:b w:val="1"/>
                <w:bCs w:val="1"/>
                <w:color w:val="auto"/>
                <w:vertAlign w:val="superscript"/>
              </w:rPr>
              <w:t>(7)</w:t>
            </w:r>
          </w:p>
        </w:tc>
        <w:tc>
          <w:tcPr>
            <w:tcW w:w="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6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86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center"/>
              <w:ind w:left="19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100</w:t>
            </w: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40" w:type="dxa"/>
            <w:vAlign w:val="bottom"/>
          </w:tcPr>
          <w:p>
            <w:pPr>
              <w:spacing w:after="0"/>
              <w:rPr>
                <w:sz w:val="20"/>
                <w:szCs w:val="20"/>
                <w:color w:val="auto"/>
              </w:rPr>
            </w:pPr>
            <w:r>
              <w:rPr>
                <w:rFonts w:ascii="Arial" w:cs="Arial" w:eastAsia="Arial" w:hAnsi="Arial"/>
                <w:sz w:val="13"/>
                <w:szCs w:val="13"/>
                <w:b w:val="1"/>
                <w:bCs w:val="1"/>
                <w:color w:val="auto"/>
              </w:rPr>
              <w:t>Total Investments in Controlled, Affiliated Portfolio Companies</w:t>
            </w:r>
          </w:p>
        </w:tc>
        <w:tc>
          <w:tcPr>
            <w:tcW w:w="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13,500,100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13,500,001</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Investments—178.9%</w:t>
            </w:r>
          </w:p>
        </w:tc>
        <w:tc>
          <w:tcPr>
            <w:tcW w:w="6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866,322,836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827,548,515</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3"/>
                <w:szCs w:val="13"/>
                <w:b w:val="1"/>
                <w:bCs w:val="1"/>
                <w:color w:val="auto"/>
              </w:rPr>
              <w:t>Cash Equivalents—15.5%</w:t>
            </w: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3"/>
                <w:szCs w:val="13"/>
                <w:color w:val="auto"/>
              </w:rPr>
              <w:t>71,604,519</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71,604,519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71,604,519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Equivalents—194.3%</w:t>
            </w:r>
          </w:p>
        </w:tc>
        <w:tc>
          <w:tcPr>
            <w:tcW w:w="6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937,927,355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899,153,034</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Assets—(94.3%)</w:t>
            </w: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w w:val="91"/>
              </w:rPr>
              <w:t>(436,495,838)</w:t>
            </w:r>
          </w:p>
        </w:tc>
        <w:tc>
          <w:tcPr>
            <w:tcW w:w="0" w:type="dxa"/>
            <w:vAlign w:val="bottom"/>
          </w:tcPr>
          <w:p>
            <w:pPr>
              <w:spacing w:after="0"/>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462,657,196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-3505200</wp:posOffset>
            </wp:positionV>
            <wp:extent cx="7132320"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12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31" w:lineRule="exact"/>
        <w:rPr>
          <w:sz w:val="20"/>
          <w:szCs w:val="20"/>
          <w:color w:val="auto"/>
        </w:rPr>
      </w:pPr>
    </w:p>
    <w:p>
      <w:pPr>
        <w:ind w:left="340" w:right="540" w:hanging="332"/>
        <w:spacing w:after="0" w:line="201" w:lineRule="auto"/>
        <w:tabs>
          <w:tab w:leader="none" w:pos="340"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00" w:hanging="332"/>
        <w:spacing w:after="0" w:line="182" w:lineRule="auto"/>
        <w:tabs>
          <w:tab w:leader="none" w:pos="340"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182" w:lineRule="auto"/>
        <w:tabs>
          <w:tab w:leader="none" w:pos="340" w:val="left"/>
        </w:tabs>
        <w:numPr>
          <w:ilvl w:val="0"/>
          <w:numId w:val="4"/>
        </w:numPr>
        <w:rPr>
          <w:rFonts w:ascii="Arial" w:cs="Arial" w:eastAsia="Arial" w:hAnsi="Arial"/>
          <w:sz w:val="17"/>
          <w:szCs w:val="17"/>
          <w:color w:val="auto"/>
          <w:vertAlign w:val="superscript"/>
        </w:rPr>
      </w:pPr>
      <w:r>
        <w:rPr>
          <w:rFonts w:ascii="Arial" w:cs="Arial" w:eastAsia="Arial" w:hAnsi="Arial"/>
          <w:sz w:val="11"/>
          <w:szCs w:val="11"/>
          <w:color w:val="auto"/>
        </w:rPr>
        <w:t>Valued based on our accounting policy (see Note 2).</w:t>
      </w:r>
    </w:p>
    <w:p>
      <w:pPr>
        <w:ind w:left="340" w:hanging="332"/>
        <w:spacing w:after="0" w:line="182" w:lineRule="auto"/>
        <w:tabs>
          <w:tab w:leader="none" w:pos="340" w:val="left"/>
        </w:tabs>
        <w:numPr>
          <w:ilvl w:val="0"/>
          <w:numId w:val="4"/>
        </w:numPr>
        <w:rPr>
          <w:rFonts w:ascii="Arial" w:cs="Arial" w:eastAsia="Arial" w:hAnsi="Arial"/>
          <w:sz w:val="17"/>
          <w:szCs w:val="17"/>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Prime rate.</w:t>
      </w:r>
    </w:p>
    <w:p>
      <w:pPr>
        <w:ind w:left="340" w:right="680" w:hanging="332"/>
        <w:spacing w:after="0" w:line="182" w:lineRule="auto"/>
        <w:tabs>
          <w:tab w:leader="none" w:pos="340"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usually to qualified institutional buyers.</w:t>
      </w:r>
    </w:p>
    <w:p>
      <w:pPr>
        <w:ind w:left="340" w:hanging="332"/>
        <w:spacing w:after="0" w:line="182" w:lineRule="auto"/>
        <w:tabs>
          <w:tab w:leader="none" w:pos="340" w:val="left"/>
        </w:tabs>
        <w:numPr>
          <w:ilvl w:val="0"/>
          <w:numId w:val="4"/>
        </w:numPr>
        <w:rPr>
          <w:rFonts w:ascii="Arial" w:cs="Arial" w:eastAsia="Arial" w:hAnsi="Arial"/>
          <w:sz w:val="17"/>
          <w:szCs w:val="17"/>
          <w:color w:val="auto"/>
          <w:vertAlign w:val="superscript"/>
        </w:rPr>
      </w:pPr>
      <w:r>
        <w:rPr>
          <w:rFonts w:ascii="Arial" w:cs="Arial" w:eastAsia="Arial" w:hAnsi="Arial"/>
          <w:sz w:val="11"/>
          <w:szCs w:val="11"/>
          <w:color w:val="auto"/>
        </w:rPr>
        <w:t>Coupon is payable in cash and/or through PIK.</w:t>
      </w:r>
    </w:p>
    <w:p>
      <w:pPr>
        <w:ind w:left="340" w:hanging="332"/>
        <w:spacing w:after="0" w:line="182" w:lineRule="auto"/>
        <w:tabs>
          <w:tab w:leader="none" w:pos="340" w:val="left"/>
        </w:tabs>
        <w:numPr>
          <w:ilvl w:val="0"/>
          <w:numId w:val="4"/>
        </w:numPr>
        <w:rPr>
          <w:rFonts w:ascii="Arial" w:cs="Arial" w:eastAsia="Arial" w:hAnsi="Arial"/>
          <w:sz w:val="17"/>
          <w:szCs w:val="17"/>
          <w:color w:val="auto"/>
          <w:vertAlign w:val="superscript"/>
        </w:rPr>
      </w:pPr>
      <w:r>
        <w:rPr>
          <w:rFonts w:ascii="Arial" w:cs="Arial" w:eastAsia="Arial" w:hAnsi="Arial"/>
          <w:sz w:val="11"/>
          <w:szCs w:val="11"/>
          <w:color w:val="auto"/>
        </w:rPr>
        <w:t>Non-income producing securities.</w:t>
      </w:r>
    </w:p>
    <w:p>
      <w:pPr>
        <w:ind w:left="340" w:hanging="332"/>
        <w:spacing w:after="0" w:line="182" w:lineRule="auto"/>
        <w:tabs>
          <w:tab w:leader="none" w:pos="340" w:val="left"/>
        </w:tabs>
        <w:numPr>
          <w:ilvl w:val="0"/>
          <w:numId w:val="4"/>
        </w:numPr>
        <w:rPr>
          <w:rFonts w:ascii="Arial" w:cs="Arial" w:eastAsia="Arial" w:hAnsi="Arial"/>
          <w:sz w:val="17"/>
          <w:szCs w:val="17"/>
          <w:color w:val="auto"/>
          <w:vertAlign w:val="superscript"/>
        </w:rPr>
      </w:pPr>
      <w:r>
        <w:rPr>
          <w:rFonts w:ascii="Arial" w:cs="Arial" w:eastAsia="Arial" w:hAnsi="Arial"/>
          <w:sz w:val="11"/>
          <w:szCs w:val="11"/>
          <w:color w:val="auto"/>
        </w:rPr>
        <w:t>Coupon is subject to a LIBOR or Prime rate floor.</w:t>
      </w:r>
    </w:p>
    <w:p>
      <w:pPr>
        <w:ind w:left="340" w:hanging="332"/>
        <w:spacing w:after="0" w:line="182" w:lineRule="auto"/>
        <w:tabs>
          <w:tab w:leader="none" w:pos="340" w:val="left"/>
        </w:tabs>
        <w:numPr>
          <w:ilvl w:val="0"/>
          <w:numId w:val="4"/>
        </w:numPr>
        <w:rPr>
          <w:rFonts w:ascii="Arial" w:cs="Arial" w:eastAsia="Arial" w:hAnsi="Arial"/>
          <w:sz w:val="17"/>
          <w:szCs w:val="17"/>
          <w:color w:val="auto"/>
          <w:vertAlign w:val="superscript"/>
        </w:rPr>
      </w:pPr>
      <w:r>
        <w:rPr>
          <w:rFonts w:ascii="Arial" w:cs="Arial" w:eastAsia="Arial" w:hAnsi="Arial"/>
          <w:sz w:val="11"/>
          <w:szCs w:val="11"/>
          <w:color w:val="auto"/>
        </w:rPr>
        <w:t>Represents the purchase of a security with delayed settlement (unfunded investment). This security does not have a basis point spread above an index.</w:t>
      </w:r>
    </w:p>
    <w:p>
      <w:pPr>
        <w:ind w:left="340" w:hanging="332"/>
        <w:spacing w:after="0" w:line="185"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Non-U.S. company or principal place of business outside the United States.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00" w:firstLine="449"/>
        <w:spacing w:after="0" w:line="298"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 is a closed-end, externally managed, non-diversified investment company that has elected to be treated as a business development company, or BDC, under the 1940 Act. PennantPark Investment’s objective is to generate both current income and capital appreciation through debt and equity investments. We invest primarily in U.S. middle-market companies in the form of senior secured loans, mezzanine debt and equity investments.</w:t>
      </w:r>
    </w:p>
    <w:p>
      <w:pPr>
        <w:spacing w:after="0" w:line="11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On April 24, 2007, we closed our initial public offering and our common stock trades on the NASDAQ Global Select Market under the symbol “PNNT.” We completed our initial public offering of common stock in 2007 and issued 21.0 million shares raising $294.1 million in net proceeds. Since our initial public offering, we have sold 34.6 million shares of common stock through follow-on public offerings, resulting in net proceeds of $347.7 million. During the three months ended March 31, 2012, we sold approximately 10.4 million shares in a follow-on public offering, resulting in net proceeds of $105.2 million, after estimated offering costs.</w:t>
      </w:r>
    </w:p>
    <w:p>
      <w:pPr>
        <w:spacing w:after="0" w:line="147" w:lineRule="exact"/>
        <w:rPr>
          <w:sz w:val="20"/>
          <w:szCs w:val="20"/>
          <w:color w:val="auto"/>
        </w:rPr>
      </w:pPr>
    </w:p>
    <w:p>
      <w:pPr>
        <w:ind w:right="40" w:firstLine="449"/>
        <w:spacing w:after="0" w:line="268" w:lineRule="auto"/>
        <w:rPr>
          <w:sz w:val="20"/>
          <w:szCs w:val="20"/>
          <w:color w:val="auto"/>
        </w:rPr>
      </w:pPr>
      <w:r>
        <w:rPr>
          <w:rFonts w:ascii="Arial" w:cs="Arial" w:eastAsia="Arial" w:hAnsi="Arial"/>
          <w:sz w:val="18"/>
          <w:szCs w:val="18"/>
          <w:color w:val="auto"/>
        </w:rPr>
        <w:t>We are externally managed by PennantPark Investment Advisers. PennantPark Investment Administration provides the administrative services necessary for us to operate.</w:t>
      </w:r>
    </w:p>
    <w:p>
      <w:pPr>
        <w:spacing w:after="0" w:line="132"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SBIC LP and its general partner, SBIC GP, were organized in Delaware as a limited partnership and a limited liability company, respectively, in May 2010 and began operations in June 2010. SBIC LP received a license from the Small Business Administration, or SBA, to operate as an SBIC effective July 30, 2010 under Section 301(c) of the Small Business Investment Act of 1958, or the 1958 Act. Both SBIC LP and SBIC GP are consolidated wholly owned subsidiaries of PennantPark Investment. SBIC LP’s objective is to generate both current income and capital appreciation through debt and equity investments generally, investing with us in SBA eligible businesses that meet the investment criteria used by PennantPark Investment.</w:t>
      </w:r>
    </w:p>
    <w:p>
      <w:pPr>
        <w:spacing w:after="0" w:line="115" w:lineRule="exact"/>
        <w:rPr>
          <w:sz w:val="20"/>
          <w:szCs w:val="20"/>
          <w:color w:val="auto"/>
        </w:rPr>
      </w:pPr>
    </w:p>
    <w:p>
      <w:pPr>
        <w:ind w:right="260" w:firstLine="449"/>
        <w:spacing w:after="0" w:line="306" w:lineRule="auto"/>
        <w:rPr>
          <w:sz w:val="20"/>
          <w:szCs w:val="20"/>
          <w:color w:val="auto"/>
        </w:rPr>
      </w:pPr>
      <w:r>
        <w:rPr>
          <w:rFonts w:ascii="Arial" w:cs="Arial" w:eastAsia="Arial" w:hAnsi="Arial"/>
          <w:sz w:val="16"/>
          <w:szCs w:val="16"/>
          <w:color w:val="auto"/>
        </w:rPr>
        <w:t>PennantPark Investment, through the Investment Adviser, manages day-to-day operations of and provides investment advisory services to SBIC LP under a separate investment management agreement. PennantPark Investment, through the Administrator, also provides similar services to SBIC LP and our controlled affiliate SuttonPark Holdings, Inc. and its subsidiaries, or SPH, under separate administration agreements. See Note 3.</w:t>
      </w:r>
    </w:p>
    <w:p>
      <w:pPr>
        <w:spacing w:after="0" w:line="106" w:lineRule="exact"/>
        <w:rPr>
          <w:sz w:val="20"/>
          <w:szCs w:val="20"/>
          <w:color w:val="auto"/>
        </w:rPr>
      </w:pPr>
    </w:p>
    <w:p>
      <w:pPr>
        <w:ind w:right="220" w:firstLine="449"/>
        <w:spacing w:after="0" w:line="306" w:lineRule="auto"/>
        <w:rPr>
          <w:sz w:val="20"/>
          <w:szCs w:val="20"/>
          <w:color w:val="auto"/>
        </w:rPr>
      </w:pPr>
      <w:r>
        <w:rPr>
          <w:rFonts w:ascii="Arial" w:cs="Arial" w:eastAsia="Arial" w:hAnsi="Arial"/>
          <w:sz w:val="16"/>
          <w:szCs w:val="16"/>
          <w:color w:val="auto"/>
        </w:rPr>
        <w:t>We have formed and expect to continue to form certain taxable subsidiaries, or the Taxable Subsidiaries, which are taxed as corporations for federal income tax purposes. These Taxable Subsidiaries allow us to hold portfolio companies organized as pass-through entities and still satisfy the requirements of regulated investment companies, or RICs, under the Internal Revenue Code of 1986, as amended, or the Code.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449"/>
        <w:spacing w:after="0" w:line="317" w:lineRule="auto"/>
        <w:rPr>
          <w:sz w:val="20"/>
          <w:szCs w:val="20"/>
          <w:color w:val="auto"/>
        </w:rPr>
      </w:pPr>
      <w:r>
        <w:rPr>
          <w:rFonts w:ascii="Arial" w:cs="Arial" w:eastAsia="Arial" w:hAnsi="Arial"/>
          <w:sz w:val="15"/>
          <w:szCs w:val="15"/>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03"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10-Q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200" w:firstLine="449"/>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MARCH 31, 2012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9"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7"/>
        <w:spacing w:after="0" w:line="256"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hanging="447"/>
        <w:spacing w:after="0" w:line="331"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80" w:hanging="447"/>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12" w:lineRule="exact"/>
        <w:rPr>
          <w:rFonts w:ascii="Arial" w:cs="Arial" w:eastAsia="Arial" w:hAnsi="Arial"/>
          <w:sz w:val="18"/>
          <w:szCs w:val="18"/>
          <w:color w:val="auto"/>
        </w:rPr>
      </w:pPr>
    </w:p>
    <w:p>
      <w:pPr>
        <w:ind w:left="480" w:hanging="248"/>
        <w:spacing w:after="0"/>
        <w:tabs>
          <w:tab w:leader="none" w:pos="4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90"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investments and our senior secured revolving credit facility, or the Credit Facility, values during the reporting period, including any reversal of previously recorded unrealized appreciation or depreciation, when gains or losses are realized.</w:t>
      </w:r>
    </w:p>
    <w:p>
      <w:pPr>
        <w:spacing w:after="0" w:line="115"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 or amortize such amounts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240" w:firstLine="449"/>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Since May 1, 2007, PennantPark Investment has complied with the requirements of Subchapter M of the Code and expects to be subject to tax as a RIC. As a result, PennantPark Investment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recorded an excise tax of approximately $0.3 million and $0.2 million for the six months ended March 31, 2012 and 2011, respectively.</w:t>
      </w:r>
    </w:p>
    <w:p>
      <w:pPr>
        <w:spacing w:after="0" w:line="118"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from 2008 to date remain subject to examination by the Internal Revenue Service and the state department of revenue.</w:t>
      </w:r>
    </w:p>
    <w:p>
      <w:pPr>
        <w:spacing w:after="0" w:line="147" w:lineRule="exact"/>
        <w:rPr>
          <w:sz w:val="20"/>
          <w:szCs w:val="20"/>
          <w:color w:val="auto"/>
        </w:rPr>
      </w:pPr>
    </w:p>
    <w:p>
      <w:pPr>
        <w:ind w:right="420" w:firstLine="449"/>
        <w:spacing w:after="0" w:line="331" w:lineRule="auto"/>
        <w:rPr>
          <w:sz w:val="20"/>
          <w:szCs w:val="20"/>
          <w:color w:val="auto"/>
        </w:rPr>
      </w:pPr>
      <w:r>
        <w:rPr>
          <w:rFonts w:ascii="Arial" w:cs="Arial" w:eastAsia="Arial" w:hAnsi="Arial"/>
          <w:sz w:val="16"/>
          <w:szCs w:val="16"/>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w:t>
      </w:r>
    </w:p>
    <w:p>
      <w:pPr>
        <w:spacing w:after="0" w:line="87" w:lineRule="exact"/>
        <w:rPr>
          <w:sz w:val="20"/>
          <w:szCs w:val="20"/>
          <w:color w:val="auto"/>
        </w:rPr>
      </w:pPr>
    </w:p>
    <w:p>
      <w:pPr>
        <w:ind w:right="340" w:firstLine="449"/>
        <w:spacing w:after="0" w:line="268" w:lineRule="auto"/>
        <w:rPr>
          <w:sz w:val="20"/>
          <w:szCs w:val="20"/>
          <w:color w:val="auto"/>
        </w:rPr>
      </w:pPr>
      <w:r>
        <w:rPr>
          <w:rFonts w:ascii="Arial" w:cs="Arial" w:eastAsia="Arial" w:hAnsi="Arial"/>
          <w:sz w:val="18"/>
          <w:szCs w:val="18"/>
          <w:color w:val="auto"/>
        </w:rPr>
        <w:t>We do not consolidate the Taxable Subsidiaries for income tax purposes, but we do consolidate the results of these Taxable Subsidiaries for financial reporting purposes.</w:t>
      </w:r>
    </w:p>
    <w:p>
      <w:pPr>
        <w:sectPr>
          <w:pgSz w:w="11900" w:h="16838" w:orient="portrait"/>
          <w:cols w:equalWidth="0" w:num="1">
            <w:col w:w="11240"/>
          </w:cols>
          <w:pgMar w:left="320" w:top="459" w:right="339" w:bottom="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459" w:right="339" w:bottom="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MARCH 31,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to be paid, if any, as a dividend or distributions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the Subsidiaries in our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New Accounting Pronouncement</w:t>
      </w:r>
    </w:p>
    <w:p>
      <w:pPr>
        <w:spacing w:after="0" w:line="90" w:lineRule="exact"/>
        <w:rPr>
          <w:sz w:val="20"/>
          <w:szCs w:val="20"/>
          <w:color w:val="auto"/>
        </w:rPr>
      </w:pPr>
    </w:p>
    <w:p>
      <w:pPr>
        <w:ind w:right="80" w:firstLine="449"/>
        <w:spacing w:after="0" w:line="310" w:lineRule="auto"/>
        <w:rPr>
          <w:sz w:val="20"/>
          <w:szCs w:val="20"/>
          <w:color w:val="auto"/>
        </w:rPr>
      </w:pPr>
      <w:r>
        <w:rPr>
          <w:rFonts w:ascii="Arial" w:cs="Arial" w:eastAsia="Arial" w:hAnsi="Arial"/>
          <w:sz w:val="15"/>
          <w:szCs w:val="15"/>
          <w:color w:val="auto"/>
        </w:rPr>
        <w:t>In May 2011, the Financial Accounting Standards Board issued Accounting Standards Update 2011-04, Amendments to Achieve Common Fair Value Measurement and Disclosure Requirements in U.S. GAAP and IFRSs, or ASU 2011-04. ASU 2011-04 amends ASC 820, Fair Value Measurements, or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on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as adopted, did not have a material impact on our Consolidated Financial Statements. See Note 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PennantPark Investment’s investment management agreement, or the Investment Management Agreement, with the Investment Adviser was re-approved by our board of directors, including a majority of our directors who are not interested persons of PennantPark Investment, in February 2012. Under the Investment Management Agreement, the Investment Adviser, subject to the overall supervision of PennantPark Investment’s board of directors, manages the day-to-day operations of and provides investment advisory services to PennantPark Investment. SBIC LP’s investment management agreement does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20"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The base management fee is calculated at an annual rate of 2.00% of our “average adjusted gross assets” (net of U.S. Treasury Bills and/or temporary draws, if any, on the Credit Facility). The base management fee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the three and six months ended March 31, 2012, the Investment Adviser earned a base management fee of $4.2 million and $8.2 million, respectively, from us. For the three and six months ended March 31, 2011, the Investment Adviser earned a base management fee of $3.6 million and $7.1 million, respectively,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w:t>
      </w:r>
    </w:p>
    <w:p>
      <w:pPr>
        <w:spacing w:after="0" w:line="3" w:lineRule="exact"/>
        <w:rPr>
          <w:sz w:val="20"/>
          <w:szCs w:val="20"/>
          <w:color w:val="auto"/>
        </w:rPr>
      </w:pPr>
    </w:p>
    <w:p>
      <w:pPr>
        <w:ind w:right="20" w:firstLine="8"/>
        <w:spacing w:after="0" w:line="290"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applicable quarter. For the three and six months ended March 31, 2012, the Investment Adviser earned an incentive fee of $2.4 million and $6.1 million, respectively, from us. For the three and six months ended March 31, 2011, the Investment Adviser earned an incentive fee of $3.3 million and $6.1 million, respectively, from us.</w:t>
      </w:r>
    </w:p>
    <w:p>
      <w:pPr>
        <w:spacing w:after="0" w:line="118" w:lineRule="exact"/>
        <w:rPr>
          <w:sz w:val="20"/>
          <w:szCs w:val="20"/>
          <w:color w:val="auto"/>
        </w:rPr>
      </w:pPr>
    </w:p>
    <w:p>
      <w:pPr>
        <w:ind w:right="260" w:firstLine="449"/>
        <w:spacing w:after="0" w:line="317" w:lineRule="auto"/>
        <w:rPr>
          <w:sz w:val="20"/>
          <w:szCs w:val="20"/>
          <w:color w:val="auto"/>
        </w:rPr>
      </w:pPr>
      <w:r>
        <w:rPr>
          <w:rFonts w:ascii="Arial" w:cs="Arial" w:eastAsia="Arial" w:hAnsi="Arial"/>
          <w:sz w:val="15"/>
          <w:szCs w:val="15"/>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The performance based incentive fee on capital gains due to our Investment Adviser as calculated under the Investment Management Agreement (as described above) for the three and six months ended March 31, 2012 and March 31, 2011 resulted in no accrual.</w:t>
      </w:r>
    </w:p>
    <w:p>
      <w:pPr>
        <w:sectPr>
          <w:pgSz w:w="11900" w:h="16838" w:orient="portrait"/>
          <w:cols w:equalWidth="0" w:num="1">
            <w:col w:w="11240"/>
          </w:cols>
          <w:pgMar w:left="320" w:top="459" w:right="339" w:bottom="420" w:gutter="0" w:footer="0" w:header="0"/>
        </w:sectPr>
      </w:pP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459" w:right="339" w:bottom="42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MARCH 31, 2012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49"/>
        <w:spacing w:after="0" w:line="253" w:lineRule="auto"/>
        <w:rPr>
          <w:sz w:val="20"/>
          <w:szCs w:val="20"/>
          <w:color w:val="auto"/>
        </w:rPr>
      </w:pPr>
      <w:r>
        <w:rPr>
          <w:rFonts w:ascii="Arial" w:cs="Arial" w:eastAsia="Arial" w:hAnsi="Arial"/>
          <w:sz w:val="18"/>
          <w:szCs w:val="18"/>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w:t>
      </w:r>
    </w:p>
    <w:p>
      <w:pPr>
        <w:spacing w:after="0" w:line="147"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PennantPark Investment’s Administration Agreement with the Administrator was reapproved by our board of directors, including a majority of our directors who are not interested persons of PennantPark Investment, in February 2012. Under the Administration Agreement, PennantPark Investment Administration provides administrative services for PennantPark Investment. The Administrator provides similar services to SBIC LP under its administration agreement with PennantPark Investment.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and six months ended March 31, 2012, the Investment Adviser and Administrator, collectively, were reimbursed $1.7 million and $2.4 million, respectively, from us, including expenses incurred by the Investment Advisor on behalf of the Administrator, for the services described above. For the three and six months ended March 31, 2011, the Investment Adviser and Administrator, collectively, were reimbursed $1.3 million and $1.9 million, respectively, from us, including expenses incurred by the Investment Advisor on behalf of the Administrator, for the services described above.</w:t>
      </w:r>
    </w:p>
    <w:p>
      <w:pPr>
        <w:spacing w:after="0" w:line="130"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PennantPark Investment entered into an administration agreement with its controlled affiliate, Sutton Park Holdings, or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respective staffs. For the three and six months ended March 31, 2012, PennantPark Investment was reimbursed $0.3 million and $0.5 million, respectively, for the services described above. For the three and six months ended March 31, 2011, PennantPark Investment was reimbursed $0.3 million and $0.4 million, respectively, for the services described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460" w:right="2640"/>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MARCH 31, 2012</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Purchases of long-term investments including PIK for the three and six months ended March 31, 2012 totaled $114.0 million and $160.0 million, respectively. For the same period in the prior year, purchases of long-term investments including PIK totaled $98.8 million and $201.7 million, respectively. Sales and repayments of long-term investments for the three and six months ended March 31, 2012 totaled $49.3 million and $118.5 million, respectively. For the same period in the prior year, sales and repayments of long-term investments totaled $51.6 million and $137.1 million, respectively. Investments and cash equivalents consisted of the following:</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3"/>
          </w:tcPr>
          <w:p>
            <w:pPr>
              <w:jc w:val="right"/>
              <w:ind w:right="657"/>
              <w:spacing w:after="0"/>
              <w:rPr>
                <w:sz w:val="20"/>
                <w:szCs w:val="20"/>
                <w:color w:val="auto"/>
              </w:rPr>
            </w:pPr>
            <w:r>
              <w:rPr>
                <w:rFonts w:ascii="Arial" w:cs="Arial" w:eastAsia="Arial" w:hAnsi="Arial"/>
                <w:sz w:val="13"/>
                <w:szCs w:val="13"/>
                <w:b w:val="1"/>
                <w:bCs w:val="1"/>
                <w:color w:val="auto"/>
              </w:rPr>
              <w:t>March 31, 2012</w:t>
            </w:r>
          </w:p>
        </w:tc>
        <w:tc>
          <w:tcPr>
            <w:tcW w:w="380" w:type="dxa"/>
            <w:vAlign w:val="bottom"/>
          </w:tcPr>
          <w:p>
            <w:pPr>
              <w:spacing w:after="0"/>
              <w:rPr>
                <w:sz w:val="14"/>
                <w:szCs w:val="14"/>
                <w:color w:val="auto"/>
              </w:rPr>
            </w:pPr>
          </w:p>
        </w:tc>
        <w:tc>
          <w:tcPr>
            <w:tcW w:w="2440" w:type="dxa"/>
            <w:vAlign w:val="bottom"/>
            <w:gridSpan w:val="4"/>
          </w:tcPr>
          <w:p>
            <w:pPr>
              <w:ind w:left="600"/>
              <w:spacing w:after="0"/>
              <w:rPr>
                <w:sz w:val="20"/>
                <w:szCs w:val="20"/>
                <w:color w:val="auto"/>
              </w:rPr>
            </w:pPr>
            <w:r>
              <w:rPr>
                <w:rFonts w:ascii="Arial" w:cs="Arial" w:eastAsia="Arial" w:hAnsi="Arial"/>
                <w:sz w:val="13"/>
                <w:szCs w:val="13"/>
                <w:b w:val="1"/>
                <w:bCs w:val="1"/>
                <w:color w:val="auto"/>
              </w:rPr>
              <w:t>September 30, 2011</w:t>
            </w:r>
          </w:p>
        </w:tc>
      </w:tr>
      <w:tr>
        <w:trPr>
          <w:trHeight w:val="142"/>
        </w:trPr>
        <w:tc>
          <w:tcPr>
            <w:tcW w:w="5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3"/>
                <w:szCs w:val="13"/>
                <w:b w:val="1"/>
                <w:bCs w:val="1"/>
                <w:color w:val="auto"/>
              </w:rPr>
              <w:t>Cost</w:t>
            </w:r>
          </w:p>
        </w:tc>
        <w:tc>
          <w:tcPr>
            <w:tcW w:w="4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Fair Value</w:t>
            </w:r>
          </w:p>
        </w:tc>
        <w:tc>
          <w:tcPr>
            <w:tcW w:w="3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Fair Value</w:t>
            </w:r>
          </w:p>
        </w:tc>
        <w:tc>
          <w:tcPr>
            <w:tcW w:w="100" w:type="dxa"/>
            <w:vAlign w:val="bottom"/>
            <w:tcBorders>
              <w:bottom w:val="single" w:sz="8" w:color="CCEEFF"/>
            </w:tcBorders>
          </w:tcPr>
          <w:p>
            <w:pPr>
              <w:spacing w:after="0"/>
              <w:rPr>
                <w:sz w:val="12"/>
                <w:szCs w:val="12"/>
                <w:color w:val="auto"/>
              </w:rPr>
            </w:pPr>
          </w:p>
        </w:tc>
      </w:tr>
      <w:tr>
        <w:trPr>
          <w:trHeight w:val="209"/>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$274,973,384</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$274,161,737</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$305,608,989</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$296,488,131</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Second lien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3"/>
              </w:rPr>
              <w:t>192,418,196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168,085,901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189,962,828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165,272,201</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369,162,462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362,908,657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325,318,958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309,329,169</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Preferred equity</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12,531,077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9,148,173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12,268,187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9,762,932</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47,737,577</w:t>
            </w:r>
          </w:p>
        </w:tc>
        <w:tc>
          <w:tcPr>
            <w:tcW w:w="4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74,548,823</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33,163,874</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46,696,082</w:t>
            </w:r>
          </w:p>
        </w:tc>
        <w:tc>
          <w:tcPr>
            <w:tcW w:w="100" w:type="dxa"/>
            <w:vAlign w:val="bottom"/>
            <w:shd w:val="clear" w:color="auto" w:fill="CCEEFF"/>
          </w:tcPr>
          <w:p>
            <w:pPr>
              <w:spacing w:after="0"/>
              <w:rPr>
                <w:sz w:val="18"/>
                <w:szCs w:val="18"/>
                <w:color w:val="auto"/>
              </w:rPr>
            </w:pPr>
          </w:p>
        </w:tc>
      </w:tr>
      <w:tr>
        <w:trPr>
          <w:trHeight w:val="221"/>
        </w:trPr>
        <w:tc>
          <w:tcPr>
            <w:tcW w:w="5180" w:type="dxa"/>
            <w:vAlign w:val="bottom"/>
          </w:tcPr>
          <w:p>
            <w:pPr>
              <w:spacing w:after="0"/>
              <w:rPr>
                <w:sz w:val="20"/>
                <w:szCs w:val="20"/>
                <w:color w:val="auto"/>
              </w:rPr>
            </w:pPr>
            <w:r>
              <w:rPr>
                <w:rFonts w:ascii="Arial" w:cs="Arial" w:eastAsia="Arial" w:hAnsi="Arial"/>
                <w:sz w:val="18"/>
                <w:szCs w:val="18"/>
                <w:color w:val="auto"/>
              </w:rPr>
              <w:t>Total investments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3"/>
              </w:rPr>
              <w:t>896,822,696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888,853,291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866,322,836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827,548,515</w:t>
            </w:r>
          </w:p>
        </w:tc>
        <w:tc>
          <w:tcPr>
            <w:tcW w:w="100" w:type="dxa"/>
            <w:vAlign w:val="bottom"/>
          </w:tcPr>
          <w:p>
            <w:pPr>
              <w:spacing w:after="0"/>
              <w:rPr>
                <w:sz w:val="19"/>
                <w:szCs w:val="19"/>
                <w:color w:val="auto"/>
              </w:rPr>
            </w:pPr>
          </w:p>
        </w:tc>
      </w:tr>
      <w:tr>
        <w:trPr>
          <w:trHeight w:val="21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26,964,225</w:t>
            </w:r>
          </w:p>
        </w:tc>
        <w:tc>
          <w:tcPr>
            <w:tcW w:w="4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26,964,225</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100" w:type="dxa"/>
            <w:vAlign w:val="bottom"/>
            <w:shd w:val="clear" w:color="auto" w:fill="CCEEFF"/>
          </w:tcPr>
          <w:p>
            <w:pPr>
              <w:spacing w:after="0"/>
              <w:rPr>
                <w:sz w:val="18"/>
                <w:szCs w:val="18"/>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923,786,921</w:t>
            </w:r>
          </w:p>
        </w:tc>
        <w:tc>
          <w:tcPr>
            <w:tcW w:w="1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915,817,516</w:t>
            </w: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937,927,355</w:t>
            </w: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899,153,034</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March 31, 2012 and September 30, 2011.</w:t>
      </w:r>
    </w:p>
    <w:p>
      <w:pPr>
        <w:spacing w:after="0" w:line="16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380" w:type="dxa"/>
            <w:vAlign w:val="bottom"/>
            <w:vMerge w:val="restart"/>
          </w:tcPr>
          <w:p>
            <w:pPr>
              <w:spacing w:after="0"/>
              <w:rPr>
                <w:sz w:val="20"/>
                <w:szCs w:val="20"/>
                <w:color w:val="auto"/>
              </w:rPr>
            </w:pPr>
            <w:r>
              <w:rPr>
                <w:rFonts w:ascii="Arial" w:cs="Arial" w:eastAsia="Arial" w:hAnsi="Arial"/>
                <w:sz w:val="13"/>
                <w:szCs w:val="13"/>
                <w:b w:val="1"/>
                <w:bCs w:val="1"/>
                <w:color w:val="auto"/>
                <w:w w:val="97"/>
              </w:rPr>
              <w:t>Industry Classification</w:t>
            </w:r>
          </w:p>
        </w:tc>
        <w:tc>
          <w:tcPr>
            <w:tcW w:w="4540" w:type="dxa"/>
            <w:vAlign w:val="bottom"/>
            <w:vMerge w:val="restart"/>
          </w:tcPr>
          <w:p>
            <w:pPr>
              <w:spacing w:after="0"/>
              <w:rPr>
                <w:sz w:val="12"/>
                <w:szCs w:val="12"/>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3"/>
                <w:szCs w:val="13"/>
                <w:b w:val="1"/>
                <w:bCs w:val="1"/>
                <w:color w:val="auto"/>
                <w:w w:val="96"/>
              </w:rPr>
              <w:t>March 31,</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9"/>
              </w:rPr>
              <w:t>September 30,</w:t>
            </w:r>
          </w:p>
        </w:tc>
        <w:tc>
          <w:tcPr>
            <w:tcW w:w="0" w:type="dxa"/>
            <w:vAlign w:val="bottom"/>
          </w:tcPr>
          <w:p>
            <w:pPr>
              <w:spacing w:after="0"/>
              <w:rPr>
                <w:sz w:val="1"/>
                <w:szCs w:val="1"/>
                <w:color w:val="auto"/>
              </w:rPr>
            </w:pPr>
          </w:p>
        </w:tc>
      </w:tr>
      <w:tr>
        <w:trPr>
          <w:trHeight w:val="153"/>
        </w:trPr>
        <w:tc>
          <w:tcPr>
            <w:tcW w:w="1380" w:type="dxa"/>
            <w:vAlign w:val="bottom"/>
            <w:tcBorders>
              <w:bottom w:val="single" w:sz="8" w:color="auto"/>
            </w:tcBorders>
            <w:vMerge w:val="continue"/>
          </w:tcPr>
          <w:p>
            <w:pPr>
              <w:spacing w:after="0"/>
              <w:rPr>
                <w:sz w:val="12"/>
                <w:szCs w:val="12"/>
                <w:color w:val="auto"/>
              </w:rPr>
            </w:pPr>
          </w:p>
        </w:tc>
        <w:tc>
          <w:tcPr>
            <w:tcW w:w="4540" w:type="dxa"/>
            <w:vAlign w:val="bottom"/>
            <w:vMerge w:val="continue"/>
          </w:tcPr>
          <w:p>
            <w:pPr>
              <w:spacing w:after="0"/>
              <w:rPr>
                <w:sz w:val="12"/>
                <w:szCs w:val="12"/>
                <w:color w:val="auto"/>
              </w:rPr>
            </w:pPr>
          </w:p>
        </w:tc>
        <w:tc>
          <w:tcPr>
            <w:tcW w:w="600" w:type="dxa"/>
            <w:vAlign w:val="bottom"/>
          </w:tcPr>
          <w:p>
            <w:pPr>
              <w:jc w:val="right"/>
              <w:ind w:right="74"/>
              <w:spacing w:after="0" w:line="148" w:lineRule="exact"/>
              <w:rPr>
                <w:sz w:val="20"/>
                <w:szCs w:val="20"/>
                <w:color w:val="auto"/>
              </w:rPr>
            </w:pPr>
            <w:r>
              <w:rPr>
                <w:rFonts w:ascii="Arial" w:cs="Arial" w:eastAsia="Arial" w:hAnsi="Arial"/>
                <w:sz w:val="13"/>
                <w:szCs w:val="13"/>
                <w:b w:val="1"/>
                <w:bCs w:val="1"/>
                <w:color w:val="auto"/>
              </w:rPr>
              <w:t>2012</w:t>
            </w:r>
          </w:p>
        </w:tc>
        <w:tc>
          <w:tcPr>
            <w:tcW w:w="980" w:type="dxa"/>
            <w:vAlign w:val="bottom"/>
          </w:tcPr>
          <w:p>
            <w:pPr>
              <w:spacing w:after="0"/>
              <w:rPr>
                <w:sz w:val="12"/>
                <w:szCs w:val="12"/>
                <w:color w:val="auto"/>
              </w:rPr>
            </w:pPr>
          </w:p>
        </w:tc>
        <w:tc>
          <w:tcPr>
            <w:tcW w:w="820" w:type="dxa"/>
            <w:vAlign w:val="bottom"/>
          </w:tcPr>
          <w:p>
            <w:pPr>
              <w:jc w:val="right"/>
              <w:ind w:right="194"/>
              <w:spacing w:after="0" w:line="148" w:lineRule="exact"/>
              <w:rPr>
                <w:sz w:val="20"/>
                <w:szCs w:val="20"/>
                <w:color w:val="auto"/>
              </w:rPr>
            </w:pPr>
            <w:r>
              <w:rPr>
                <w:rFonts w:ascii="Arial" w:cs="Arial" w:eastAsia="Arial" w:hAnsi="Arial"/>
                <w:sz w:val="13"/>
                <w:szCs w:val="13"/>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gridSpan w:val="2"/>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840"/>
              <w:spacing w:after="0" w:line="203" w:lineRule="exact"/>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Food and Miscellaneous Services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 Steel, Iron and Non-Precious Metals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Pictures, Entertainment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20" w:type="dxa"/>
            <w:vAlign w:val="bottom"/>
            <w:gridSpan w:val="2"/>
          </w:tcPr>
          <w:p>
            <w:pPr>
              <w:spacing w:after="0"/>
              <w:rPr>
                <w:sz w:val="20"/>
                <w:szCs w:val="20"/>
                <w:color w:val="auto"/>
              </w:rPr>
            </w:pPr>
            <w:r>
              <w:rPr>
                <w:rFonts w:ascii="Arial" w:cs="Arial" w:eastAsia="Arial" w:hAnsi="Arial"/>
                <w:sz w:val="18"/>
                <w:szCs w:val="18"/>
                <w:color w:val="auto"/>
              </w:rPr>
              <w:t>Home and Office Furnishings, Housewares and Durable Consumer</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Manufacturing / Basic Industry</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ind w:left="4180"/>
              <w:spacing w:after="0"/>
              <w:rPr>
                <w:sz w:val="20"/>
                <w:szCs w:val="20"/>
                <w:color w:val="auto"/>
              </w:rPr>
            </w:pPr>
            <w:r>
              <w:rPr>
                <w:rFonts w:ascii="Arial" w:cs="Arial" w:eastAsia="Arial" w:hAnsi="Arial"/>
                <w:sz w:val="18"/>
                <w:szCs w:val="18"/>
                <w:color w:val="auto"/>
              </w:rPr>
              <w:t>18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9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MARCH 31,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180" w:right="660" w:hanging="728"/>
        <w:spacing w:after="0" w:line="259" w:lineRule="auto"/>
        <w:tabs>
          <w:tab w:leader="none" w:pos="116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180" w:right="860" w:hanging="728"/>
        <w:spacing w:after="0" w:line="268" w:lineRule="auto"/>
        <w:tabs>
          <w:tab w:leader="none" w:pos="116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15"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2012, our ability to observe valuation inputs has resulted in no reclassification of assets from Level 3 to 2. There were no investments transferred between Levels 1 and 2 for the same period.</w:t>
      </w:r>
    </w:p>
    <w:p>
      <w:pPr>
        <w:spacing w:after="0" w:line="11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jc w:val="both"/>
        <w:ind w:right="200" w:firstLine="449"/>
        <w:spacing w:after="0" w:line="259" w:lineRule="auto"/>
        <w:rPr>
          <w:sz w:val="20"/>
          <w:szCs w:val="20"/>
          <w:color w:val="auto"/>
        </w:rPr>
      </w:pPr>
      <w:r>
        <w:rPr>
          <w:rFonts w:ascii="Arial" w:cs="Arial" w:eastAsia="Arial" w:hAnsi="Arial"/>
          <w:sz w:val="18"/>
          <w:szCs w:val="18"/>
          <w:color w:val="auto"/>
        </w:rPr>
        <w:t>In accordance with ASU 2011-04 and as outlined in the table below, our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0" w:lineRule="exact"/>
        <w:rPr>
          <w:sz w:val="20"/>
          <w:szCs w:val="20"/>
          <w:color w:val="auto"/>
        </w:rPr>
      </w:pPr>
    </w:p>
    <w:p>
      <w:pPr>
        <w:ind w:right="20" w:firstLine="348"/>
        <w:spacing w:after="0" w:line="309" w:lineRule="auto"/>
        <w:rPr>
          <w:sz w:val="20"/>
          <w:szCs w:val="20"/>
          <w:color w:val="auto"/>
        </w:rPr>
      </w:pPr>
      <w:r>
        <w:rPr>
          <w:rFonts w:ascii="Arial" w:cs="Arial" w:eastAsia="Arial" w:hAnsi="Arial"/>
          <w:sz w:val="15"/>
          <w:szCs w:val="15"/>
          <w:color w:val="auto"/>
        </w:rPr>
        <w:t>The remainder of our portfolio was valued using a market comparable or enterprise valuation technique and our long-term Credit Facility used an income approach valuation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Asset Category</w:t>
            </w:r>
          </w:p>
        </w:tc>
        <w:tc>
          <w:tcPr>
            <w:tcW w:w="374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3"/>
                <w:szCs w:val="13"/>
                <w:b w:val="1"/>
                <w:bCs w:val="1"/>
                <w:color w:val="auto"/>
              </w:rPr>
              <w:t>Fair Value</w:t>
            </w:r>
          </w:p>
        </w:tc>
        <w:tc>
          <w:tcPr>
            <w:tcW w:w="21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0"/>
              </w:rPr>
              <w:t>Valuation Techniques</w:t>
            </w:r>
          </w:p>
        </w:tc>
        <w:tc>
          <w:tcPr>
            <w:tcW w:w="20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3"/>
              </w:rPr>
              <w:t>Unobservable Inputs</w:t>
            </w:r>
          </w:p>
        </w:tc>
        <w:tc>
          <w:tcPr>
            <w:tcW w:w="1300" w:type="dxa"/>
            <w:vAlign w:val="bottom"/>
          </w:tcPr>
          <w:p>
            <w:pPr>
              <w:ind w:left="20"/>
              <w:spacing w:after="0"/>
              <w:rPr>
                <w:sz w:val="20"/>
                <w:szCs w:val="20"/>
                <w:color w:val="auto"/>
              </w:rPr>
            </w:pPr>
            <w:r>
              <w:rPr>
                <w:rFonts w:ascii="Arial" w:cs="Arial" w:eastAsia="Arial" w:hAnsi="Arial"/>
                <w:sz w:val="13"/>
                <w:szCs w:val="13"/>
                <w:b w:val="1"/>
                <w:bCs w:val="1"/>
                <w:color w:val="auto"/>
                <w:w w:val="92"/>
              </w:rPr>
              <w:t>Range of Values/Input</w:t>
            </w:r>
          </w:p>
        </w:tc>
      </w:tr>
      <w:tr>
        <w:trPr>
          <w:trHeight w:val="181"/>
        </w:trPr>
        <w:tc>
          <w:tcPr>
            <w:tcW w:w="46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 subordinated debt/corporate notes</w:t>
            </w:r>
          </w:p>
        </w:tc>
        <w:tc>
          <w:tcPr>
            <w:tcW w:w="600" w:type="dxa"/>
            <w:vAlign w:val="bottom"/>
            <w:tcBorders>
              <w:top w:val="single" w:sz="8" w:color="auto"/>
            </w:tcBorders>
            <w:shd w:val="clear" w:color="auto" w:fill="CCEEFF"/>
          </w:tcPr>
          <w:p>
            <w:pPr>
              <w:jc w:val="right"/>
              <w:ind w:right="17"/>
              <w:spacing w:after="0" w:line="182" w:lineRule="exact"/>
              <w:rPr>
                <w:sz w:val="20"/>
                <w:szCs w:val="20"/>
                <w:color w:val="auto"/>
              </w:rPr>
            </w:pPr>
            <w:r>
              <w:rPr>
                <w:rFonts w:ascii="Arial" w:cs="Arial" w:eastAsia="Arial" w:hAnsi="Arial"/>
                <w:sz w:val="18"/>
                <w:szCs w:val="18"/>
                <w:color w:val="auto"/>
              </w:rPr>
              <w:t>23%</w:t>
            </w:r>
          </w:p>
        </w:tc>
        <w:tc>
          <w:tcPr>
            <w:tcW w:w="44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Market approach</w:t>
            </w:r>
          </w:p>
        </w:tc>
        <w:tc>
          <w:tcPr>
            <w:tcW w:w="44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Broker/Dealer bids</w:t>
            </w:r>
          </w:p>
        </w:tc>
        <w:tc>
          <w:tcPr>
            <w:tcW w:w="54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1 - 9</w:t>
            </w:r>
          </w:p>
        </w:tc>
      </w:tr>
      <w:tr>
        <w:trPr>
          <w:trHeight w:val="224"/>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preferred and common equity</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8"/>
        </w:trPr>
        <w:tc>
          <w:tcPr>
            <w:tcW w:w="4660" w:type="dxa"/>
            <w:vAlign w:val="bottom"/>
            <w:gridSpan w:val="2"/>
          </w:tcPr>
          <w:p>
            <w:pPr>
              <w:spacing w:after="0"/>
              <w:rPr>
                <w:sz w:val="20"/>
                <w:szCs w:val="20"/>
                <w:color w:val="auto"/>
              </w:rPr>
            </w:pPr>
            <w:r>
              <w:rPr>
                <w:rFonts w:ascii="Arial" w:cs="Arial" w:eastAsia="Arial" w:hAnsi="Arial"/>
                <w:sz w:val="18"/>
                <w:szCs w:val="18"/>
                <w:color w:val="auto"/>
              </w:rPr>
              <w:t>First lien, second lien, subordinated debt/corporate notes</w:t>
            </w:r>
          </w:p>
        </w:tc>
        <w:tc>
          <w:tcPr>
            <w:tcW w:w="600" w:type="dxa"/>
            <w:vAlign w:val="bottom"/>
          </w:tcPr>
          <w:p>
            <w:pPr>
              <w:jc w:val="right"/>
              <w:ind w:right="57"/>
              <w:spacing w:after="0"/>
              <w:rPr>
                <w:sz w:val="20"/>
                <w:szCs w:val="20"/>
                <w:color w:val="auto"/>
              </w:rPr>
            </w:pPr>
            <w:r>
              <w:rPr>
                <w:rFonts w:ascii="Arial" w:cs="Arial" w:eastAsia="Arial" w:hAnsi="Arial"/>
                <w:sz w:val="18"/>
                <w:szCs w:val="18"/>
                <w:color w:val="auto"/>
              </w:rPr>
              <w:t>77%</w:t>
            </w:r>
          </w:p>
        </w:tc>
        <w:tc>
          <w:tcPr>
            <w:tcW w:w="440" w:type="dxa"/>
            <w:vAlign w:val="bottom"/>
          </w:tcPr>
          <w:p>
            <w:pPr>
              <w:spacing w:after="0"/>
              <w:rPr>
                <w:sz w:val="18"/>
                <w:szCs w:val="18"/>
                <w:color w:val="auto"/>
              </w:rPr>
            </w:pPr>
          </w:p>
        </w:tc>
        <w:tc>
          <w:tcPr>
            <w:tcW w:w="218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Market comparable /</w:t>
            </w:r>
          </w:p>
        </w:tc>
        <w:tc>
          <w:tcPr>
            <w:tcW w:w="206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EBITDA multiples</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8.0x</w:t>
            </w: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and preferred and common equity</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8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Enterprise value</w:t>
            </w: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9"/>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Market comparable /</w:t>
            </w:r>
          </w:p>
        </w:tc>
        <w:tc>
          <w:tcPr>
            <w:tcW w:w="20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Discount rate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3.9%</w:t>
            </w:r>
          </w:p>
        </w:tc>
      </w:tr>
      <w:tr>
        <w:trPr>
          <w:trHeight w:val="224"/>
        </w:trPr>
        <w:tc>
          <w:tcPr>
            <w:tcW w:w="92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7"/>
              </w:rPr>
              <w:t>Income approach</w:t>
            </w:r>
          </w:p>
        </w:tc>
        <w:tc>
          <w:tcPr>
            <w:tcW w:w="1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140" w:lineRule="exact"/>
        <w:rPr>
          <w:sz w:val="20"/>
          <w:szCs w:val="20"/>
          <w:color w:val="auto"/>
        </w:rPr>
      </w:pPr>
    </w:p>
    <w:p>
      <w:pPr>
        <w:sectPr>
          <w:pgSz w:w="11900" w:h="16838" w:orient="portrait"/>
          <w:cols w:equalWidth="0" w:num="1">
            <w:col w:w="11240"/>
          </w:cols>
          <w:pgMar w:left="320" w:top="459" w:right="339" w:bottom="244" w:gutter="0" w:footer="0" w:header="0"/>
        </w:sect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459" w:right="339" w:bottom="244"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600" w:right="2500"/>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MARCH 31, 2012</w:t>
      </w:r>
    </w:p>
    <w:p>
      <w:pPr>
        <w:spacing w:after="0" w:line="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On March 31, 2012 and September 30, 2011, our cash equivalents, investments and our Credit Facility were categorized as follows in the fair value hierarchy for ASC 820 purposes.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46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40" w:type="dxa"/>
            <w:vAlign w:val="bottom"/>
            <w:gridSpan w:val="6"/>
          </w:tcPr>
          <w:p>
            <w:pPr>
              <w:jc w:val="center"/>
              <w:ind w:right="1020"/>
              <w:spacing w:after="0"/>
              <w:rPr>
                <w:sz w:val="20"/>
                <w:szCs w:val="20"/>
                <w:color w:val="auto"/>
              </w:rPr>
            </w:pPr>
            <w:r>
              <w:rPr>
                <w:rFonts w:ascii="Arial" w:cs="Arial" w:eastAsia="Arial" w:hAnsi="Arial"/>
                <w:sz w:val="13"/>
                <w:szCs w:val="13"/>
                <w:b w:val="1"/>
                <w:bCs w:val="1"/>
                <w:color w:val="auto"/>
                <w:w w:val="96"/>
              </w:rPr>
              <w:t>Fair Value at March 31, 2012</w:t>
            </w:r>
          </w:p>
        </w:tc>
        <w:tc>
          <w:tcPr>
            <w:tcW w:w="0" w:type="dxa"/>
            <w:vAlign w:val="bottom"/>
          </w:tcPr>
          <w:p>
            <w:pPr>
              <w:spacing w:after="0"/>
              <w:rPr>
                <w:sz w:val="1"/>
                <w:szCs w:val="1"/>
                <w:color w:val="auto"/>
              </w:rPr>
            </w:pPr>
          </w:p>
        </w:tc>
      </w:tr>
      <w:tr>
        <w:trPr>
          <w:trHeight w:val="148"/>
        </w:trPr>
        <w:tc>
          <w:tcPr>
            <w:tcW w:w="700" w:type="dxa"/>
            <w:vAlign w:val="bottom"/>
            <w:tcBorders>
              <w:bottom w:val="single" w:sz="8" w:color="auto"/>
            </w:tcBorders>
            <w:vMerge w:val="continue"/>
          </w:tcPr>
          <w:p>
            <w:pPr>
              <w:spacing w:after="0"/>
              <w:rPr>
                <w:sz w:val="12"/>
                <w:szCs w:val="12"/>
                <w:color w:val="auto"/>
              </w:rPr>
            </w:pPr>
          </w:p>
        </w:tc>
        <w:tc>
          <w:tcPr>
            <w:tcW w:w="4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3"/>
                <w:szCs w:val="13"/>
                <w:b w:val="1"/>
                <w:bCs w:val="1"/>
                <w:color w:val="auto"/>
              </w:rPr>
              <w:t>Level 1</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3"/>
                <w:szCs w:val="13"/>
                <w:b w:val="1"/>
                <w:bCs w:val="1"/>
                <w:color w:val="auto"/>
              </w:rPr>
              <w:t>Level 2</w:t>
            </w: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$805,156,295</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43,269,560</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$761,886,735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83,696,996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7,832,584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129,209</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75,735,203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888,853,291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7,832,584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43,398,769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837,621,938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26,964,225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26,964,225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915,817,516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34,796,809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43,398,769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837,621,938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2"/>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147,757,500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147,757,500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w w:val="95"/>
              </w:rPr>
              <w:t>Description</w:t>
            </w:r>
          </w:p>
        </w:tc>
        <w:tc>
          <w:tcPr>
            <w:tcW w:w="464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Fair Value</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7"/>
          </w:tcPr>
          <w:p>
            <w:pPr>
              <w:jc w:val="center"/>
              <w:ind w:right="200"/>
              <w:spacing w:after="0"/>
              <w:rPr>
                <w:sz w:val="20"/>
                <w:szCs w:val="20"/>
                <w:color w:val="auto"/>
              </w:rPr>
            </w:pPr>
            <w:r>
              <w:rPr>
                <w:rFonts w:ascii="Arial" w:cs="Arial" w:eastAsia="Arial" w:hAnsi="Arial"/>
                <w:sz w:val="13"/>
                <w:szCs w:val="13"/>
                <w:b w:val="1"/>
                <w:bCs w:val="1"/>
                <w:color w:val="auto"/>
                <w:w w:val="93"/>
              </w:rPr>
              <w:t>Fair Value at September 30, 2011</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3"/>
                <w:szCs w:val="13"/>
                <w:b w:val="1"/>
                <w:bCs w:val="1"/>
                <w:color w:val="auto"/>
              </w:rPr>
              <w:t>Level 1</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3"/>
                <w:szCs w:val="13"/>
                <w:b w:val="1"/>
                <w:bCs w:val="1"/>
                <w:color w:val="auto"/>
              </w:rPr>
              <w:t>Level 2</w:t>
            </w: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$771,089,501</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38,395,050</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$732,694,451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56,459,014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4,044,595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61,091</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52,353,328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827,548,515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4,044,595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38,456,141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71,604,519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71,604,519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899,153,034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75,649,114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38,456,141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2"/>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238,792,125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238,792,125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six months ended March 31, 2012 and 2011:</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gridSpan w:val="10"/>
          </w:tcPr>
          <w:p>
            <w:pPr>
              <w:jc w:val="center"/>
              <w:ind w:right="200"/>
              <w:spacing w:after="0"/>
              <w:rPr>
                <w:sz w:val="20"/>
                <w:szCs w:val="20"/>
                <w:color w:val="auto"/>
              </w:rPr>
            </w:pPr>
            <w:r>
              <w:rPr>
                <w:rFonts w:ascii="Arial" w:cs="Arial" w:eastAsia="Arial" w:hAnsi="Arial"/>
                <w:sz w:val="13"/>
                <w:szCs w:val="13"/>
                <w:b w:val="1"/>
                <w:bCs w:val="1"/>
                <w:color w:val="auto"/>
                <w:w w:val="93"/>
              </w:rPr>
              <w:t>For the six months ended March 31, 2012</w:t>
            </w:r>
          </w:p>
        </w:tc>
        <w:tc>
          <w:tcPr>
            <w:tcW w:w="0" w:type="dxa"/>
            <w:vAlign w:val="bottom"/>
          </w:tcPr>
          <w:p>
            <w:pPr>
              <w:spacing w:after="0"/>
              <w:rPr>
                <w:sz w:val="1"/>
                <w:szCs w:val="1"/>
                <w:color w:val="auto"/>
              </w:rPr>
            </w:pPr>
          </w:p>
        </w:tc>
      </w:tr>
      <w:tr>
        <w:trPr>
          <w:trHeight w:val="129"/>
        </w:trPr>
        <w:tc>
          <w:tcPr>
            <w:tcW w:w="63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3"/>
                <w:szCs w:val="13"/>
                <w:b w:val="1"/>
                <w:bCs w:val="1"/>
                <w:color w:val="auto"/>
                <w:w w:val="94"/>
              </w:rPr>
              <w:t>Loan and debt</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3"/>
                <w:szCs w:val="13"/>
                <w:b w:val="1"/>
                <w:bCs w:val="1"/>
                <w:color w:val="auto"/>
              </w:rPr>
              <w:t>Equity</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360"/>
              <w:spacing w:after="0" w:line="148" w:lineRule="exact"/>
              <w:rPr>
                <w:sz w:val="20"/>
                <w:szCs w:val="20"/>
                <w:color w:val="auto"/>
              </w:rPr>
            </w:pPr>
            <w:r>
              <w:rPr>
                <w:rFonts w:ascii="Arial" w:cs="Arial" w:eastAsia="Arial" w:hAnsi="Arial"/>
                <w:sz w:val="13"/>
                <w:szCs w:val="13"/>
                <w:b w:val="1"/>
                <w:bCs w:val="1"/>
                <w:color w:val="auto"/>
                <w:w w:val="89"/>
              </w:rPr>
              <w:t>investments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w w:val="89"/>
              </w:rPr>
              <w:t>investments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732,694,451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52,353,328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785,047,779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(4,447,450)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2,534,403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(1,913,047)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2,781,866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8,545,282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11,327,148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144,094,844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16,005,789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160,100,633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(111,542,433)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(5,398,142)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(116,940,575)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Exchanges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(1,694,543)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1,694,543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Transfers in or out of Level 3</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3"/>
          </w:tcPr>
          <w:p>
            <w:pPr>
              <w:spacing w:after="0"/>
              <w:rPr>
                <w:sz w:val="20"/>
                <w:szCs w:val="20"/>
                <w:color w:val="auto"/>
              </w:rPr>
            </w:pPr>
            <w:r>
              <w:rPr>
                <w:rFonts w:ascii="Arial" w:cs="Arial" w:eastAsia="Arial" w:hAnsi="Arial"/>
                <w:sz w:val="18"/>
                <w:szCs w:val="18"/>
                <w:color w:val="auto"/>
              </w:rPr>
              <w:t>Ending Balance, March 31, 2012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761,886,735</w:t>
            </w: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75,735,203</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837,621,938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4"/>
              </w:rPr>
              <w:t>Net change in unrealized appreciation for the period reported within the net change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unrealized appreciation on investments in our Consolidated Statement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attributable to our Level 3 assets still held at the reporting date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6,191,605</w:t>
            </w:r>
          </w:p>
        </w:tc>
        <w:tc>
          <w:tcPr>
            <w:tcW w:w="2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10,390,011</w:t>
            </w:r>
          </w:p>
        </w:tc>
        <w:tc>
          <w:tcPr>
            <w:tcW w:w="2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16,581,616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gridSpan w:val="10"/>
          </w:tcPr>
          <w:p>
            <w:pPr>
              <w:jc w:val="center"/>
              <w:ind w:right="200"/>
              <w:spacing w:after="0"/>
              <w:rPr>
                <w:sz w:val="20"/>
                <w:szCs w:val="20"/>
                <w:color w:val="auto"/>
              </w:rPr>
            </w:pPr>
            <w:r>
              <w:rPr>
                <w:rFonts w:ascii="Arial" w:cs="Arial" w:eastAsia="Arial" w:hAnsi="Arial"/>
                <w:sz w:val="13"/>
                <w:szCs w:val="13"/>
                <w:b w:val="1"/>
                <w:bCs w:val="1"/>
                <w:color w:val="auto"/>
                <w:w w:val="93"/>
              </w:rPr>
              <w:t>For the six months ended March 31, 2011</w:t>
            </w:r>
          </w:p>
        </w:tc>
        <w:tc>
          <w:tcPr>
            <w:tcW w:w="0" w:type="dxa"/>
            <w:vAlign w:val="bottom"/>
          </w:tcPr>
          <w:p>
            <w:pPr>
              <w:spacing w:after="0"/>
              <w:rPr>
                <w:sz w:val="1"/>
                <w:szCs w:val="1"/>
                <w:color w:val="auto"/>
              </w:rPr>
            </w:pPr>
          </w:p>
        </w:tc>
      </w:tr>
      <w:tr>
        <w:trPr>
          <w:trHeight w:val="129"/>
        </w:trPr>
        <w:tc>
          <w:tcPr>
            <w:tcW w:w="63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3"/>
                <w:szCs w:val="13"/>
                <w:b w:val="1"/>
                <w:bCs w:val="1"/>
                <w:color w:val="auto"/>
                <w:w w:val="94"/>
              </w:rPr>
              <w:t>Loan and debt</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3"/>
                <w:szCs w:val="13"/>
                <w:b w:val="1"/>
                <w:bCs w:val="1"/>
                <w:color w:val="auto"/>
              </w:rPr>
              <w:t>Equity</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360"/>
              <w:spacing w:after="0" w:line="148" w:lineRule="exact"/>
              <w:rPr>
                <w:sz w:val="20"/>
                <w:szCs w:val="20"/>
                <w:color w:val="auto"/>
              </w:rPr>
            </w:pPr>
            <w:r>
              <w:rPr>
                <w:rFonts w:ascii="Arial" w:cs="Arial" w:eastAsia="Arial" w:hAnsi="Arial"/>
                <w:sz w:val="13"/>
                <w:szCs w:val="13"/>
                <w:b w:val="1"/>
                <w:bCs w:val="1"/>
                <w:color w:val="auto"/>
                <w:w w:val="89"/>
              </w:rPr>
              <w:t>investments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w w:val="89"/>
              </w:rPr>
              <w:t>investments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615,236,138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45,137,828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660,373,966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2,579,813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2,579,813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11,465,652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4,550,239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16,015,891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199,248,180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5,664,360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204,912,540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(136,343,315)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(764,218)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(137,107,533)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420"/>
              <w:spacing w:after="0"/>
              <w:rPr>
                <w:sz w:val="20"/>
                <w:szCs w:val="20"/>
                <w:color w:val="auto"/>
              </w:rPr>
            </w:pPr>
            <w:r>
              <w:rPr>
                <w:rFonts w:ascii="Arial" w:cs="Arial" w:eastAsia="Arial" w:hAnsi="Arial"/>
                <w:sz w:val="18"/>
                <w:szCs w:val="18"/>
                <w:color w:val="auto"/>
              </w:rPr>
              <w:t>Transfers in or out of Level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(28,646,063)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(28,646,063)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March 31, 2011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663,540,405</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54,588,209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718,128,614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Arial" w:cs="Arial" w:eastAsia="Arial" w:hAnsi="Arial"/>
                <w:sz w:val="18"/>
                <w:szCs w:val="18"/>
                <w:color w:val="auto"/>
                <w:w w:val="95"/>
              </w:rPr>
              <w:t>Net change in unrealized appreciation for the period reported within the net change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in unrealized depreciation on investments in our Consolidated Statement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3"/>
          </w:tcPr>
          <w:p>
            <w:pPr>
              <w:spacing w:after="0"/>
              <w:rPr>
                <w:sz w:val="20"/>
                <w:szCs w:val="20"/>
                <w:color w:val="auto"/>
              </w:rPr>
            </w:pPr>
            <w:r>
              <w:rPr>
                <w:rFonts w:ascii="Arial" w:cs="Arial" w:eastAsia="Arial" w:hAnsi="Arial"/>
                <w:sz w:val="18"/>
                <w:szCs w:val="18"/>
                <w:color w:val="auto"/>
              </w:rPr>
              <w:t>Operations attributable to our Level 3 assets still held at the reporting date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12,379,569</w:t>
            </w: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4,550,239</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16,929,808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0960"/>
          </w:cols>
          <w:pgMar w:left="320" w:top="459" w:right="619" w:bottom="1440" w:gutter="0" w:footer="0" w:header="0"/>
        </w:sectPr>
      </w:pPr>
    </w:p>
    <w:p>
      <w:pPr>
        <w:jc w:val="center"/>
        <w:ind w:right="-29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960"/>
          </w:cols>
          <w:pgMar w:left="320" w:top="459" w:right="61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MARCH 31,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six months ended March 31, 2012 and 2011.</w:t>
      </w:r>
    </w:p>
    <w:p>
      <w:pPr>
        <w:spacing w:after="0" w:line="168" w:lineRule="exact"/>
        <w:rPr>
          <w:sz w:val="20"/>
          <w:szCs w:val="20"/>
          <w:color w:val="auto"/>
        </w:rPr>
      </w:pPr>
    </w:p>
    <w:tbl>
      <w:tblPr>
        <w:tblLayout w:type="fixed"/>
        <w:tblInd w:w="1820" w:type="dxa"/>
        <w:tblCellMar>
          <w:top w:w="0" w:type="dxa"/>
          <w:left w:w="0" w:type="dxa"/>
          <w:bottom w:w="0" w:type="dxa"/>
          <w:right w:w="0" w:type="dxa"/>
        </w:tblCellMar>
      </w:tblPr>
      <w:tr>
        <w:trPr>
          <w:trHeight w:val="174"/>
        </w:trPr>
        <w:tc>
          <w:tcPr>
            <w:tcW w:w="6480" w:type="dxa"/>
            <w:vAlign w:val="bottom"/>
          </w:tcPr>
          <w:p>
            <w:pPr>
              <w:spacing w:after="0"/>
              <w:rPr>
                <w:sz w:val="20"/>
                <w:szCs w:val="20"/>
                <w:color w:val="auto"/>
              </w:rPr>
            </w:pPr>
            <w:r>
              <w:rPr>
                <w:rFonts w:ascii="Arial" w:cs="Arial" w:eastAsia="Arial" w:hAnsi="Arial"/>
                <w:sz w:val="13"/>
                <w:szCs w:val="13"/>
                <w:b w:val="1"/>
                <w:bCs w:val="1"/>
                <w:color w:val="auto"/>
              </w:rPr>
              <w:t>Six months ended March 31, 2012</w:t>
            </w:r>
          </w:p>
        </w:tc>
        <w:tc>
          <w:tcPr>
            <w:tcW w:w="20" w:type="dxa"/>
            <w:vAlign w:val="bottom"/>
          </w:tcPr>
          <w:p>
            <w:pPr>
              <w:spacing w:after="0"/>
              <w:rPr>
                <w:sz w:val="15"/>
                <w:szCs w:val="15"/>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Carrying /</w:t>
            </w:r>
          </w:p>
        </w:tc>
        <w:tc>
          <w:tcPr>
            <w:tcW w:w="0" w:type="dxa"/>
            <w:vAlign w:val="bottom"/>
          </w:tcPr>
          <w:p>
            <w:pPr>
              <w:spacing w:after="0"/>
              <w:rPr>
                <w:sz w:val="1"/>
                <w:szCs w:val="1"/>
                <w:color w:val="auto"/>
              </w:rPr>
            </w:pPr>
          </w:p>
        </w:tc>
      </w:tr>
      <w:tr>
        <w:trPr>
          <w:trHeight w:val="123"/>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6480" w:type="dxa"/>
            <w:vAlign w:val="bottom"/>
          </w:tcPr>
          <w:p>
            <w:pPr>
              <w:spacing w:after="0"/>
              <w:rPr>
                <w:sz w:val="20"/>
                <w:szCs w:val="20"/>
                <w:color w:val="auto"/>
              </w:rPr>
            </w:pPr>
            <w:r>
              <w:rPr>
                <w:rFonts w:ascii="Arial" w:cs="Arial" w:eastAsia="Arial" w:hAnsi="Arial"/>
                <w:sz w:val="13"/>
                <w:szCs w:val="13"/>
                <w:b w:val="1"/>
                <w:bCs w:val="1"/>
                <w:color w:val="auto"/>
              </w:rPr>
              <w:t>Credit Facility</w:t>
            </w:r>
          </w:p>
        </w:tc>
        <w:tc>
          <w:tcPr>
            <w:tcW w:w="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 (Cost – $240,900,000)</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$ 238,792,125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20"/>
              <w:spacing w:after="0"/>
              <w:rPr>
                <w:sz w:val="20"/>
                <w:szCs w:val="20"/>
                <w:color w:val="auto"/>
              </w:rPr>
            </w:pPr>
            <w:r>
              <w:rPr>
                <w:rFonts w:ascii="Arial" w:cs="Arial" w:eastAsia="Arial" w:hAnsi="Arial"/>
                <w:sz w:val="18"/>
                <w:szCs w:val="18"/>
                <w:color w:val="auto"/>
              </w:rPr>
              <w:t>Total unrealized appreciation included in earnings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1,365,375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1"/>
                <w:szCs w:val="11"/>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437,800,000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20"/>
              <w:spacing w:after="0"/>
              <w:rPr>
                <w:sz w:val="20"/>
                <w:szCs w:val="20"/>
                <w:color w:val="auto"/>
              </w:rPr>
            </w:pPr>
            <w:r>
              <w:rPr>
                <w:rFonts w:ascii="Arial" w:cs="Arial" w:eastAsia="Arial" w:hAnsi="Arial"/>
                <w:sz w:val="18"/>
                <w:szCs w:val="18"/>
                <w:color w:val="auto"/>
              </w:rPr>
              <w:t xml:space="preserve">Repayments </w:t>
            </w:r>
            <w:r>
              <w:rPr>
                <w:rFonts w:ascii="Arial" w:cs="Arial" w:eastAsia="Arial" w:hAnsi="Arial"/>
                <w:sz w:val="11"/>
                <w:szCs w:val="11"/>
                <w:color w:val="auto"/>
              </w:rPr>
              <w:t>(1)</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(530,200,000)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Ending Balance, March 31, 2012 (Cost – $148,500,000)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147,757,500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Temporary draw outstanding, at cost</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80" w:type="dxa"/>
            <w:vAlign w:val="bottom"/>
          </w:tcPr>
          <w:p>
            <w:pPr>
              <w:spacing w:after="0"/>
              <w:rPr>
                <w:sz w:val="20"/>
                <w:szCs w:val="20"/>
                <w:color w:val="auto"/>
              </w:rPr>
            </w:pPr>
            <w:r>
              <w:rPr>
                <w:rFonts w:ascii="Arial" w:cs="Arial" w:eastAsia="Arial" w:hAnsi="Arial"/>
                <w:sz w:val="18"/>
                <w:szCs w:val="18"/>
                <w:color w:val="auto"/>
              </w:rPr>
              <w:t>Total Credit Facility, March 31, 2012 (Cost – $158,500,000)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86"/>
              </w:rPr>
              <w:t>$ 157,757,500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3"/>
                <w:szCs w:val="13"/>
                <w:b w:val="1"/>
                <w:bCs w:val="1"/>
                <w:color w:val="auto"/>
              </w:rPr>
              <w:t>Six months ended March 31, 2011</w:t>
            </w: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Carrying /</w:t>
            </w:r>
          </w:p>
        </w:tc>
        <w:tc>
          <w:tcPr>
            <w:tcW w:w="0" w:type="dxa"/>
            <w:vAlign w:val="bottom"/>
          </w:tcPr>
          <w:p>
            <w:pPr>
              <w:spacing w:after="0"/>
              <w:rPr>
                <w:sz w:val="1"/>
                <w:szCs w:val="1"/>
                <w:color w:val="auto"/>
              </w:rPr>
            </w:pPr>
          </w:p>
        </w:tc>
      </w:tr>
      <w:tr>
        <w:trPr>
          <w:trHeight w:val="123"/>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6480" w:type="dxa"/>
            <w:vAlign w:val="bottom"/>
          </w:tcPr>
          <w:p>
            <w:pPr>
              <w:spacing w:after="0"/>
              <w:rPr>
                <w:sz w:val="20"/>
                <w:szCs w:val="20"/>
                <w:color w:val="auto"/>
              </w:rPr>
            </w:pPr>
            <w:r>
              <w:rPr>
                <w:rFonts w:ascii="Arial" w:cs="Arial" w:eastAsia="Arial" w:hAnsi="Arial"/>
                <w:sz w:val="13"/>
                <w:szCs w:val="13"/>
                <w:b w:val="1"/>
                <w:bCs w:val="1"/>
                <w:color w:val="auto"/>
              </w:rPr>
              <w:t>Credit Facility</w:t>
            </w:r>
          </w:p>
        </w:tc>
        <w:tc>
          <w:tcPr>
            <w:tcW w:w="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 (Cost – $227,900,000)</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$ 213,941,125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20"/>
              <w:spacing w:after="0"/>
              <w:rPr>
                <w:sz w:val="20"/>
                <w:szCs w:val="20"/>
                <w:color w:val="auto"/>
              </w:rPr>
            </w:pPr>
            <w:r>
              <w:rPr>
                <w:rFonts w:ascii="Arial" w:cs="Arial" w:eastAsia="Arial" w:hAnsi="Arial"/>
                <w:sz w:val="18"/>
                <w:szCs w:val="18"/>
                <w:color w:val="auto"/>
              </w:rPr>
              <w:t>Total unrealized appreciation included in earnings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11,303,446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Borrowings </w:t>
            </w:r>
            <w:r>
              <w:rPr>
                <w:rFonts w:ascii="Arial" w:cs="Arial" w:eastAsia="Arial" w:hAnsi="Arial"/>
                <w:sz w:val="11"/>
                <w:szCs w:val="11"/>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128,900,000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20"/>
              <w:spacing w:after="0"/>
              <w:rPr>
                <w:sz w:val="20"/>
                <w:szCs w:val="20"/>
                <w:color w:val="auto"/>
              </w:rPr>
            </w:pPr>
            <w:r>
              <w:rPr>
                <w:rFonts w:ascii="Arial" w:cs="Arial" w:eastAsia="Arial" w:hAnsi="Arial"/>
                <w:sz w:val="18"/>
                <w:szCs w:val="18"/>
                <w:color w:val="auto"/>
              </w:rPr>
              <w:t xml:space="preserve">Repayments </w:t>
            </w:r>
            <w:r>
              <w:rPr>
                <w:rFonts w:ascii="Arial" w:cs="Arial" w:eastAsia="Arial" w:hAnsi="Arial"/>
                <w:sz w:val="11"/>
                <w:szCs w:val="11"/>
                <w:color w:val="auto"/>
              </w:rPr>
              <w:t>(1)</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(205,061,200)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Ending Balance, March 31, 2011 (Cost – $151,738,800)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149,083,371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Temporary draw outstanding, at cost</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Total Credit Facility, March 31, 2011 (Cost – $152,838,800)</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$ 150,183,371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2280" w:hanging="470"/>
        <w:spacing w:after="0"/>
        <w:tabs>
          <w:tab w:leader="none" w:pos="2280" w:val="left"/>
        </w:tabs>
        <w:numPr>
          <w:ilvl w:val="0"/>
          <w:numId w:val="8"/>
        </w:numPr>
        <w:rPr>
          <w:rFonts w:ascii="Arial" w:cs="Arial" w:eastAsia="Arial" w:hAnsi="Arial"/>
          <w:sz w:val="11"/>
          <w:szCs w:val="11"/>
          <w:color w:val="auto"/>
        </w:rPr>
      </w:pPr>
      <w:r>
        <w:rPr>
          <w:rFonts w:ascii="Arial" w:cs="Arial" w:eastAsia="Arial" w:hAnsi="Arial"/>
          <w:sz w:val="18"/>
          <w:szCs w:val="18"/>
          <w:color w:val="auto"/>
        </w:rPr>
        <w:t>Excludes temporary draws.</w:t>
      </w:r>
    </w:p>
    <w:p>
      <w:pPr>
        <w:spacing w:after="0" w:line="171" w:lineRule="exact"/>
        <w:rPr>
          <w:sz w:val="20"/>
          <w:szCs w:val="20"/>
          <w:color w:val="auto"/>
        </w:rPr>
      </w:pPr>
    </w:p>
    <w:p>
      <w:pPr>
        <w:ind w:right="60" w:firstLine="449"/>
        <w:spacing w:after="0" w:line="285"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Due to that election and in accordance with GAAP, we incurred non-recurring expenses of $5.4 million, which represents the upfront fees and expenses related to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three and six months ended March 31, 2012, our Credit Facility had a net change in unrealized appreciation of $0.2 million and $1.4 million, respectively. For the three and six months ended March 31, 2011, our Credit Facility had a net change in unrealized appreciation of $4.7 million and $11.3 million, respectively. On March 31, 2012 and September 30, 2011, net unrealized depreciation on our long-term Credit Facility totaled $0.7 million and $2.1 million, respectively. PennantPark Investment uses a nationally recognized independent valuation service to measure the fair value of its Credit Facility in a manner consistent with the valuation process that the board of directors uses to value investments.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MARCH 31, 2012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77"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An affiliated company is a company in which we have ownership of 5% or more of the portfolio company’s voting securities. A controlled affiliate is a company in which we own 25% or more of a portfolio company’s voting securities. Advances to and distributions from affiliates are included in the Consolidated Statements of Cash Flow under purchases and sales. Transactions related to our investments with both controlled and non-controlled affiliates for the six months ended March 31, 2012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b w:val="1"/>
                <w:bCs w:val="1"/>
                <w:color w:val="auto"/>
                <w:w w:val="98"/>
              </w:rPr>
              <w:t>Name of Investment</w:t>
            </w:r>
          </w:p>
        </w:tc>
        <w:tc>
          <w:tcPr>
            <w:tcW w:w="30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96"/>
              <w:spacing w:after="0"/>
              <w:rPr>
                <w:sz w:val="20"/>
                <w:szCs w:val="20"/>
                <w:color w:val="auto"/>
              </w:rPr>
            </w:pPr>
            <w:r>
              <w:rPr>
                <w:rFonts w:ascii="Arial" w:cs="Arial" w:eastAsia="Arial" w:hAnsi="Arial"/>
                <w:sz w:val="13"/>
                <w:szCs w:val="13"/>
                <w:b w:val="1"/>
                <w:bCs w:val="1"/>
                <w:color w:val="auto"/>
              </w:rPr>
              <w:t>Fair Value at</w:t>
            </w:r>
          </w:p>
        </w:tc>
        <w:tc>
          <w:tcPr>
            <w:tcW w:w="30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5"/>
              </w:rPr>
              <w:t>Advances to</w:t>
            </w:r>
          </w:p>
        </w:tc>
        <w:tc>
          <w:tcPr>
            <w:tcW w:w="16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7"/>
              </w:rPr>
              <w:t>Distributions</w:t>
            </w:r>
          </w:p>
        </w:tc>
        <w:tc>
          <w:tcPr>
            <w:tcW w:w="100" w:type="dxa"/>
            <w:vAlign w:val="bottom"/>
          </w:tcPr>
          <w:p>
            <w:pPr>
              <w:spacing w:after="0"/>
              <w:rPr>
                <w:sz w:val="13"/>
                <w:szCs w:val="13"/>
                <w:color w:val="auto"/>
              </w:rPr>
            </w:pPr>
          </w:p>
        </w:tc>
        <w:tc>
          <w:tcPr>
            <w:tcW w:w="700" w:type="dxa"/>
            <w:vAlign w:val="bottom"/>
          </w:tcPr>
          <w:p>
            <w:pPr>
              <w:jc w:val="right"/>
              <w:ind w:right="99"/>
              <w:spacing w:after="0"/>
              <w:rPr>
                <w:sz w:val="20"/>
                <w:szCs w:val="20"/>
                <w:color w:val="auto"/>
              </w:rPr>
            </w:pPr>
            <w:r>
              <w:rPr>
                <w:rFonts w:ascii="Arial" w:cs="Arial" w:eastAsia="Arial" w:hAnsi="Arial"/>
                <w:sz w:val="13"/>
                <w:szCs w:val="13"/>
                <w:b w:val="1"/>
                <w:bCs w:val="1"/>
                <w:color w:val="auto"/>
              </w:rPr>
              <w:t>Income</w:t>
            </w:r>
          </w:p>
        </w:tc>
        <w:tc>
          <w:tcPr>
            <w:tcW w:w="3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Fair Value at</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5"/>
              </w:rPr>
              <w:t>Capital Gains /</w:t>
            </w:r>
          </w:p>
        </w:tc>
        <w:tc>
          <w:tcPr>
            <w:tcW w:w="0" w:type="dxa"/>
            <w:vAlign w:val="bottom"/>
          </w:tcPr>
          <w:p>
            <w:pPr>
              <w:spacing w:after="0"/>
              <w:rPr>
                <w:sz w:val="1"/>
                <w:szCs w:val="1"/>
                <w:color w:val="auto"/>
              </w:rPr>
            </w:pPr>
          </w:p>
        </w:tc>
      </w:tr>
      <w:tr>
        <w:trPr>
          <w:trHeight w:val="168"/>
        </w:trPr>
        <w:tc>
          <w:tcPr>
            <w:tcW w:w="1240" w:type="dxa"/>
            <w:vAlign w:val="bottom"/>
            <w:tcBorders>
              <w:bottom w:val="single" w:sz="8" w:color="auto"/>
            </w:tcBorders>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112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w w:val="90"/>
              </w:rPr>
              <w:t>September 30, 2011</w:t>
            </w:r>
          </w:p>
        </w:tc>
        <w:tc>
          <w:tcPr>
            <w:tcW w:w="300" w:type="dxa"/>
            <w:vAlign w:val="bottom"/>
          </w:tcPr>
          <w:p>
            <w:pPr>
              <w:spacing w:after="0"/>
              <w:rPr>
                <w:sz w:val="14"/>
                <w:szCs w:val="14"/>
                <w:color w:val="auto"/>
              </w:rPr>
            </w:pPr>
          </w:p>
        </w:tc>
        <w:tc>
          <w:tcPr>
            <w:tcW w:w="96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rPr>
              <w:t>Affiliates</w:t>
            </w:r>
          </w:p>
        </w:tc>
        <w:tc>
          <w:tcPr>
            <w:tcW w:w="160" w:type="dxa"/>
            <w:vAlign w:val="bottom"/>
          </w:tcPr>
          <w:p>
            <w:pPr>
              <w:spacing w:after="0"/>
              <w:rPr>
                <w:sz w:val="14"/>
                <w:szCs w:val="14"/>
                <w:color w:val="auto"/>
              </w:rPr>
            </w:pPr>
          </w:p>
        </w:tc>
        <w:tc>
          <w:tcPr>
            <w:tcW w:w="1160" w:type="dxa"/>
            <w:vAlign w:val="bottom"/>
            <w:gridSpan w:val="2"/>
          </w:tcPr>
          <w:p>
            <w:pPr>
              <w:jc w:val="right"/>
              <w:ind w:right="320"/>
              <w:spacing w:after="0" w:line="148" w:lineRule="exact"/>
              <w:rPr>
                <w:sz w:val="20"/>
                <w:szCs w:val="20"/>
                <w:color w:val="auto"/>
              </w:rPr>
            </w:pPr>
            <w:r>
              <w:rPr>
                <w:rFonts w:ascii="Arial" w:cs="Arial" w:eastAsia="Arial" w:hAnsi="Arial"/>
                <w:sz w:val="13"/>
                <w:szCs w:val="13"/>
                <w:b w:val="1"/>
                <w:bCs w:val="1"/>
                <w:color w:val="auto"/>
                <w:w w:val="93"/>
              </w:rPr>
              <w:t>from Affiliates</w:t>
            </w:r>
          </w:p>
        </w:tc>
        <w:tc>
          <w:tcPr>
            <w:tcW w:w="100" w:type="dxa"/>
            <w:vAlign w:val="bottom"/>
          </w:tcPr>
          <w:p>
            <w:pPr>
              <w:spacing w:after="0"/>
              <w:rPr>
                <w:sz w:val="14"/>
                <w:szCs w:val="14"/>
                <w:color w:val="auto"/>
              </w:rPr>
            </w:pPr>
          </w:p>
        </w:tc>
        <w:tc>
          <w:tcPr>
            <w:tcW w:w="700" w:type="dxa"/>
            <w:vAlign w:val="bottom"/>
          </w:tcPr>
          <w:p>
            <w:pPr>
              <w:jc w:val="right"/>
              <w:ind w:right="59"/>
              <w:spacing w:after="0" w:line="148" w:lineRule="exact"/>
              <w:rPr>
                <w:sz w:val="20"/>
                <w:szCs w:val="20"/>
                <w:color w:val="auto"/>
              </w:rPr>
            </w:pPr>
            <w:r>
              <w:rPr>
                <w:rFonts w:ascii="Arial" w:cs="Arial" w:eastAsia="Arial" w:hAnsi="Arial"/>
                <w:sz w:val="13"/>
                <w:szCs w:val="13"/>
                <w:b w:val="1"/>
                <w:bCs w:val="1"/>
                <w:color w:val="auto"/>
                <w:w w:val="94"/>
              </w:rPr>
              <w:t>Received</w:t>
            </w:r>
          </w:p>
        </w:tc>
        <w:tc>
          <w:tcPr>
            <w:tcW w:w="320" w:type="dxa"/>
            <w:vAlign w:val="bottom"/>
          </w:tcPr>
          <w:p>
            <w:pPr>
              <w:spacing w:after="0"/>
              <w:rPr>
                <w:sz w:val="14"/>
                <w:szCs w:val="14"/>
                <w:color w:val="auto"/>
              </w:rPr>
            </w:pPr>
          </w:p>
        </w:tc>
        <w:tc>
          <w:tcPr>
            <w:tcW w:w="12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7"/>
              </w:rPr>
              <w:t>March 31, 2012</w:t>
            </w:r>
          </w:p>
        </w:tc>
        <w:tc>
          <w:tcPr>
            <w:tcW w:w="160" w:type="dxa"/>
            <w:vAlign w:val="bottom"/>
          </w:tcPr>
          <w:p>
            <w:pPr>
              <w:spacing w:after="0"/>
              <w:rPr>
                <w:sz w:val="14"/>
                <w:szCs w:val="14"/>
                <w:color w:val="auto"/>
              </w:rPr>
            </w:pPr>
          </w:p>
        </w:tc>
        <w:tc>
          <w:tcPr>
            <w:tcW w:w="82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w w:val="93"/>
              </w:rPr>
              <w:t>(Losses)</w:t>
            </w:r>
          </w:p>
        </w:tc>
        <w:tc>
          <w:tcPr>
            <w:tcW w:w="0" w:type="dxa"/>
            <w:vAlign w:val="bottom"/>
          </w:tcPr>
          <w:p>
            <w:pPr>
              <w:spacing w:after="0"/>
              <w:rPr>
                <w:sz w:val="1"/>
                <w:szCs w:val="1"/>
                <w:color w:val="auto"/>
              </w:rPr>
            </w:pPr>
          </w:p>
        </w:tc>
      </w:tr>
      <w:tr>
        <w:trPr>
          <w:trHeight w:val="189"/>
        </w:trPr>
        <w:tc>
          <w:tcPr>
            <w:tcW w:w="4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Controlled Affiliates</w:t>
            </w: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13,500,001</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$4,500,000</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792,744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$ 14,500,002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Envirosolutions, Inc.</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25,740,212</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4,253,222</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(4,066,676)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303,014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19,949,497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Holdings, Inc.</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14,932,921</w:t>
            </w:r>
          </w:p>
        </w:tc>
        <w:tc>
          <w:tcPr>
            <w:tcW w:w="3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807,728</w:t>
            </w:r>
          </w:p>
        </w:tc>
        <w:tc>
          <w:tcPr>
            <w:tcW w:w="3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15,706,613</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54,173,134</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8,753,222</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(7,566,676)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1,903,486</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$ 50,156,112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663,137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spacing w:after="0"/>
              <w:rPr>
                <w:sz w:val="20"/>
                <w:szCs w:val="20"/>
                <w:color w:val="auto"/>
              </w:rPr>
            </w:pPr>
            <w:r>
              <w:rPr>
                <w:rFonts w:ascii="Arial" w:cs="Arial" w:eastAsia="Arial" w:hAnsi="Arial"/>
                <w:sz w:val="13"/>
                <w:szCs w:val="13"/>
                <w:b w:val="1"/>
                <w:bCs w:val="1"/>
                <w:color w:val="auto"/>
                <w:w w:val="98"/>
              </w:rPr>
              <w:t>Class and Year</w:t>
            </w:r>
          </w:p>
        </w:tc>
        <w:tc>
          <w:tcPr>
            <w:tcW w:w="57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37"/>
              <w:spacing w:after="0"/>
              <w:rPr>
                <w:sz w:val="20"/>
                <w:szCs w:val="20"/>
                <w:color w:val="auto"/>
              </w:rPr>
            </w:pPr>
            <w:r>
              <w:rPr>
                <w:rFonts w:ascii="Arial" w:cs="Arial" w:eastAsia="Arial" w:hAnsi="Arial"/>
                <w:sz w:val="13"/>
                <w:szCs w:val="13"/>
                <w:b w:val="1"/>
                <w:bCs w:val="1"/>
                <w:color w:val="auto"/>
                <w:w w:val="95"/>
              </w:rPr>
              <w:t>Three months ended March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12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9"/>
        </w:trPr>
        <w:tc>
          <w:tcPr>
            <w:tcW w:w="940" w:type="dxa"/>
            <w:vAlign w:val="bottom"/>
            <w:tcBorders>
              <w:bottom w:val="single" w:sz="8" w:color="auto"/>
            </w:tcBorders>
            <w:vMerge w:val="continue"/>
          </w:tcPr>
          <w:p>
            <w:pPr>
              <w:spacing w:after="0"/>
              <w:rPr>
                <w:sz w:val="12"/>
                <w:szCs w:val="12"/>
                <w:color w:val="auto"/>
              </w:rPr>
            </w:pPr>
          </w:p>
        </w:tc>
        <w:tc>
          <w:tcPr>
            <w:tcW w:w="57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40"/>
              <w:spacing w:after="0" w:line="129"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7"/>
              <w:spacing w:after="0" w:line="129" w:lineRule="exact"/>
              <w:rPr>
                <w:sz w:val="20"/>
                <w:szCs w:val="20"/>
                <w:color w:val="auto"/>
              </w:rPr>
            </w:pPr>
            <w:r>
              <w:rPr>
                <w:rFonts w:ascii="Arial" w:cs="Arial" w:eastAsia="Arial" w:hAnsi="Arial"/>
                <w:sz w:val="13"/>
                <w:szCs w:val="13"/>
                <w:b w:val="1"/>
                <w:bCs w:val="1"/>
                <w:color w:val="auto"/>
              </w:rPr>
              <w:t>2011</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40"/>
              <w:spacing w:after="0" w:line="129" w:lineRule="exact"/>
              <w:rPr>
                <w:sz w:val="20"/>
                <w:szCs w:val="20"/>
                <w:color w:val="auto"/>
              </w:rPr>
            </w:pPr>
            <w:r>
              <w:rPr>
                <w:rFonts w:ascii="Arial" w:cs="Arial" w:eastAsia="Arial" w:hAnsi="Arial"/>
                <w:sz w:val="13"/>
                <w:szCs w:val="13"/>
                <w:b w:val="1"/>
                <w:bCs w:val="1"/>
                <w:color w:val="auto"/>
              </w:rPr>
              <w:t>2012</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7"/>
              <w:spacing w:after="0" w:line="129"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26,398,109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13,586,987</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42,243,633</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39,109,210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53,053,201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41,312,021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49,351,372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38,737,522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60" w:firstLine="449"/>
        <w:spacing w:after="0" w:line="309" w:lineRule="auto"/>
        <w:rPr>
          <w:sz w:val="20"/>
          <w:szCs w:val="20"/>
          <w:color w:val="auto"/>
        </w:rPr>
      </w:pPr>
      <w:r>
        <w:rPr>
          <w:rFonts w:ascii="Arial" w:cs="Arial" w:eastAsia="Arial" w:hAnsi="Arial"/>
          <w:sz w:val="15"/>
          <w:szCs w:val="15"/>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Schedules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2012 and September 30, 2011, cash equivalents consisted of $27.0 million and $71.6 million, including amounts in money market funds, respectively.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 (Continued) MARCH 31, 2012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Our net assets and net asset value per share on March 31, 2012 and 2011 were $583.3 million and $514.0 million, respectively, and $10.38 and $11.30, respectively. Below are the financial highlights for the six months ended March 31, 2012 and 2011.</w:t>
      </w:r>
    </w:p>
    <w:p>
      <w:pPr>
        <w:spacing w:after="0" w:line="262"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6"/>
          </w:tcPr>
          <w:p>
            <w:pPr>
              <w:ind w:left="28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b w:val="1"/>
                <w:bCs w:val="1"/>
                <w:color w:val="auto"/>
              </w:rPr>
              <w:t>2012</w:t>
            </w:r>
          </w:p>
        </w:tc>
        <w:tc>
          <w:tcPr>
            <w:tcW w:w="3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2011</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 xml:space="preserve">Net change in realized and unrealized gain </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 xml:space="preserve">Dividends to stockholders </w:t>
            </w:r>
            <w:r>
              <w:rPr>
                <w:rFonts w:ascii="Arial" w:cs="Arial" w:eastAsia="Arial" w:hAnsi="Arial"/>
                <w:sz w:val="11"/>
                <w:szCs w:val="11"/>
                <w:color w:val="auto"/>
              </w:rPr>
              <w:t>(1) (2)</w:t>
            </w:r>
          </w:p>
        </w:tc>
        <w:tc>
          <w:tcPr>
            <w:tcW w:w="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Accretive effect of common stock issuance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(Dilutive) effect of offering costs</w:t>
            </w:r>
          </w:p>
        </w:tc>
        <w:tc>
          <w:tcPr>
            <w:tcW w:w="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1"/>
                <w:szCs w:val="11"/>
                <w:color w:val="auto"/>
              </w:rPr>
              <w:t>(3)</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56,206,873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45,504,932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 Supplemental Data:</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7"/>
              </w:rPr>
              <w:t>Ratio of Credit Facility and SBA debentures expenses to average net assets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583,307,644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514,019,838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335,854,645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275,352,204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Average debt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20" w:lineRule="exact"/>
        <w:rPr>
          <w:sz w:val="20"/>
          <w:szCs w:val="20"/>
          <w:color w:val="auto"/>
        </w:rPr>
      </w:pPr>
    </w:p>
    <w:p>
      <w:pPr>
        <w:ind w:right="7580" w:firstLine="8"/>
        <w:spacing w:after="0" w:line="285" w:lineRule="auto"/>
        <w:tabs>
          <w:tab w:leader="none" w:pos="445" w:val="left"/>
        </w:tabs>
        <w:numPr>
          <w:ilvl w:val="0"/>
          <w:numId w:val="9"/>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spacing w:after="0" w:line="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for the respective periods.</w:t>
      </w:r>
    </w:p>
    <w:p>
      <w:pPr>
        <w:spacing w:after="0" w:line="9"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GAAP.</w:t>
      </w:r>
    </w:p>
    <w:p>
      <w:pPr>
        <w:ind w:left="460" w:right="280" w:hanging="452"/>
        <w:spacing w:after="0" w:line="26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 AND SBA DEBENTURES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On February 21, 2012, we amended and restated our multi-currency Credit Facility, which increased the size of the Credit Facility from $315.0 million to $380.0 million, with certain lenders and SunTrust Bank, acting as administrative agent and JPMorgan Chase Bank, N.A., as syndication agent for the lenders. As of March 31, 2012 and September 30, 2011, there was $158.5 million (including a temporary draw of $10.0 million) and $240.9 million, respectively, in outstanding borrowings under the Credit Facility, with a weighted average interest rate at the time of 3.19% and 1.27%, exclusive of the fee on undrawn commitments of 0.50% and 0.20%, respectively. The Credit Facility is a four-year revolving facility, with a stated maturity date of February 21, 2016, with a one-year term out period following its third year and pricing is set at 275 basis points over LIBOR. The Credit Facility is secured by substantially all of the assets of the Company excluding assets held by our SBIC.</w:t>
      </w:r>
    </w:p>
    <w:p>
      <w:pPr>
        <w:spacing w:after="0" w:line="118" w:lineRule="exact"/>
        <w:rPr>
          <w:sz w:val="20"/>
          <w:szCs w:val="20"/>
          <w:color w:val="auto"/>
        </w:rPr>
      </w:pPr>
    </w:p>
    <w:p>
      <w:pPr>
        <w:ind w:right="100" w:firstLine="449"/>
        <w:spacing w:after="0" w:line="298" w:lineRule="auto"/>
        <w:rPr>
          <w:sz w:val="20"/>
          <w:szCs w:val="20"/>
          <w:color w:val="auto"/>
        </w:rPr>
      </w:pPr>
      <w:r>
        <w:rPr>
          <w:rFonts w:ascii="Arial" w:cs="Arial" w:eastAsia="Arial" w:hAnsi="Arial"/>
          <w:sz w:val="16"/>
          <w:szCs w:val="16"/>
          <w:color w:val="auto"/>
        </w:rPr>
        <w:t>In accordance with the 1940 Act, with certain limited exceptions, we are only allowed to borrow amounts such that our asset coverage, as defined in the 1940 Act, is at least 200% after such borrowing, excluding SBA debentures, pursuant to exemptive relief from the Securities and Exchange Commission, or SEC. For a complete list of covenants contained in the Credit Facility, see our form 8-K filed on February 22, 2012 and the Credit Facility agreement filed as an exhibit to this form 10-Q filed on May 2, 2012. As of March 31, 2012 we were in compliance with our covenants relating to our Credit Facility.</w:t>
      </w:r>
    </w:p>
    <w:p>
      <w:pPr>
        <w:sectPr>
          <w:pgSz w:w="11900" w:h="16838" w:orient="portrait"/>
          <w:cols w:equalWidth="0" w:num="1">
            <w:col w:w="11240"/>
          </w:cols>
          <w:pgMar w:left="320" w:top="45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90" w:lineRule="exact"/>
        <w:rPr>
          <w:sz w:val="20"/>
          <w:szCs w:val="20"/>
          <w:color w:val="auto"/>
        </w:rPr>
      </w:pPr>
    </w:p>
    <w:p>
      <w:pPr>
        <w:jc w:val="both"/>
        <w:ind w:right="60" w:firstLine="449"/>
        <w:spacing w:after="0" w:line="284"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but not limited to an examination by the SBA. We have funded SBIC LP with $75.0 million of equity capital, and had SBA debentures outstanding of $150.0 million. SBA debentures are non-recourse to us, have a 10-year maturity, and may be prepaid at any time without penalty.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interest rate of SBA debentures is fixed at the time of issuance, often referred to as pooling, at a market-driven spread over 10-year U.S. Treasury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SBA current regulations limit the amount that SBIC LP may borrow to a maximum of $150.0 million, which is up to twice its potential regulatory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SBIC LP has accessed the maximum borrowing with its $75.0 million in regulatory capital.</w:t>
      </w:r>
    </w:p>
    <w:p>
      <w:pPr>
        <w:spacing w:after="0" w:line="165" w:lineRule="exact"/>
        <w:rPr>
          <w:sz w:val="20"/>
          <w:szCs w:val="20"/>
          <w:color w:val="auto"/>
        </w:rPr>
      </w:pPr>
    </w:p>
    <w:p>
      <w:pPr>
        <w:ind w:right="60" w:firstLine="449"/>
        <w:spacing w:after="0" w:line="335" w:lineRule="auto"/>
        <w:rPr>
          <w:sz w:val="20"/>
          <w:szCs w:val="20"/>
          <w:color w:val="auto"/>
        </w:rPr>
      </w:pPr>
      <w:r>
        <w:rPr>
          <w:rFonts w:ascii="Arial" w:cs="Arial" w:eastAsia="Arial" w:hAnsi="Arial"/>
          <w:sz w:val="15"/>
          <w:szCs w:val="15"/>
          <w:color w:val="auto"/>
        </w:rPr>
        <w:t>As of March 31, 2012, $150.0 million in debt commitments were fully drawn with a weighted average interest rate of 3.70% exclusive of the 3.43% in upfront fees (4.04% after upfront fees). The SBA debentures upfront fees of 3.43% consist of a commitment fee of 1.00% and an issuance at a 2.43% discount to face. Both fees are amortized over the lives of the loans. Our fixed rate SBA debentures as of March 31, 2012 and September 30, 2011 were as follows:</w:t>
      </w:r>
    </w:p>
    <w:p>
      <w:pPr>
        <w:spacing w:after="0" w:line="123"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8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Fixed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All-in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3"/>
              </w:rPr>
              <w:t>Coupon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4"/>
              </w:rPr>
              <w:t>Principal</w:t>
            </w: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Issuance Dates</w:t>
            </w:r>
          </w:p>
        </w:tc>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Arial" w:cs="Arial" w:eastAsia="Arial" w:hAnsi="Arial"/>
                <w:sz w:val="13"/>
                <w:szCs w:val="13"/>
                <w:b w:val="1"/>
                <w:bCs w:val="1"/>
                <w:color w:val="auto"/>
              </w:rPr>
              <w:t>Maturity</w:t>
            </w:r>
          </w:p>
        </w:tc>
        <w:tc>
          <w:tcPr>
            <w:tcW w:w="380" w:type="dxa"/>
            <w:vAlign w:val="bottom"/>
          </w:tcPr>
          <w:p>
            <w:pPr>
              <w:spacing w:after="0"/>
              <w:rPr>
                <w:sz w:val="14"/>
                <w:szCs w:val="14"/>
                <w:color w:val="auto"/>
              </w:rPr>
            </w:pPr>
          </w:p>
        </w:tc>
        <w:tc>
          <w:tcPr>
            <w:tcW w:w="820" w:type="dxa"/>
            <w:vAlign w:val="bottom"/>
            <w:gridSpan w:val="2"/>
          </w:tcPr>
          <w:p>
            <w:pPr>
              <w:jc w:val="center"/>
              <w:ind w:right="360"/>
              <w:spacing w:after="0" w:line="162" w:lineRule="exact"/>
              <w:rPr>
                <w:sz w:val="20"/>
                <w:szCs w:val="20"/>
                <w:color w:val="auto"/>
              </w:rPr>
            </w:pPr>
            <w:r>
              <w:rPr>
                <w:rFonts w:ascii="Arial" w:cs="Arial" w:eastAsia="Arial" w:hAnsi="Arial"/>
                <w:sz w:val="11"/>
                <w:szCs w:val="11"/>
                <w:b w:val="1"/>
                <w:bCs w:val="1"/>
                <w:color w:val="auto"/>
              </w:rPr>
              <w:t xml:space="preserve">Rate </w:t>
            </w:r>
            <w:r>
              <w:rPr>
                <w:rFonts w:ascii="Arial" w:cs="Arial" w:eastAsia="Arial" w:hAnsi="Arial"/>
                <w:sz w:val="18"/>
                <w:szCs w:val="18"/>
                <w:b w:val="1"/>
                <w:bCs w:val="1"/>
                <w:color w:val="auto"/>
                <w:vertAlign w:val="superscript"/>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Balance</w:t>
            </w:r>
          </w:p>
        </w:tc>
        <w:tc>
          <w:tcPr>
            <w:tcW w:w="0" w:type="dxa"/>
            <w:vAlign w:val="bottom"/>
          </w:tcPr>
          <w:p>
            <w:pPr>
              <w:spacing w:after="0"/>
              <w:rPr>
                <w:sz w:val="1"/>
                <w:szCs w:val="1"/>
                <w:color w:val="auto"/>
              </w:rPr>
            </w:pPr>
          </w:p>
        </w:tc>
      </w:tr>
      <w:tr>
        <w:trPr>
          <w:trHeight w:val="20"/>
        </w:trPr>
        <w:tc>
          <w:tcPr>
            <w:tcW w:w="2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88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September 1, 2020</w:t>
            </w:r>
          </w:p>
        </w:tc>
        <w:tc>
          <w:tcPr>
            <w:tcW w:w="38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3.50%</w:t>
            </w:r>
          </w:p>
        </w:tc>
        <w:tc>
          <w:tcPr>
            <w:tcW w:w="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2320" w:type="dxa"/>
            <w:vAlign w:val="bottom"/>
            <w:gridSpan w:val="2"/>
          </w:tcPr>
          <w:p>
            <w:pPr>
              <w:ind w:left="880"/>
              <w:spacing w:after="0"/>
              <w:rPr>
                <w:sz w:val="20"/>
                <w:szCs w:val="20"/>
                <w:color w:val="auto"/>
              </w:rPr>
            </w:pPr>
            <w:r>
              <w:rPr>
                <w:rFonts w:ascii="Arial" w:cs="Arial" w:eastAsia="Arial" w:hAnsi="Arial"/>
                <w:sz w:val="18"/>
                <w:szCs w:val="18"/>
                <w:color w:val="auto"/>
              </w:rPr>
              <w:t>March 1, 2021</w:t>
            </w:r>
          </w:p>
        </w:tc>
        <w:tc>
          <w:tcPr>
            <w:tcW w:w="840" w:type="dxa"/>
            <w:vAlign w:val="bottom"/>
            <w:gridSpan w:val="2"/>
          </w:tcPr>
          <w:p>
            <w:pPr>
              <w:ind w:left="540"/>
              <w:spacing w:after="0"/>
              <w:rPr>
                <w:sz w:val="20"/>
                <w:szCs w:val="20"/>
                <w:color w:val="auto"/>
              </w:rPr>
            </w:pPr>
            <w:r>
              <w:rPr>
                <w:rFonts w:ascii="Arial" w:cs="Arial" w:eastAsia="Arial" w:hAnsi="Arial"/>
                <w:sz w:val="18"/>
                <w:szCs w:val="18"/>
                <w:color w:val="auto"/>
                <w:w w:val="79"/>
              </w:rPr>
              <w:t>4.46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44,500,000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2"/>
              </w:rPr>
              <w:t>September 1, 2021</w:t>
            </w:r>
          </w:p>
        </w:tc>
        <w:tc>
          <w:tcPr>
            <w:tcW w:w="3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3.38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gridSpan w:val="2"/>
          </w:tcPr>
          <w:p>
            <w:pPr>
              <w:spacing w:after="0"/>
              <w:rPr>
                <w:sz w:val="20"/>
                <w:szCs w:val="20"/>
                <w:color w:val="auto"/>
              </w:rPr>
            </w:pPr>
            <w:r>
              <w:rPr>
                <w:rFonts w:ascii="Arial" w:cs="Arial" w:eastAsia="Arial" w:hAnsi="Arial"/>
                <w:sz w:val="18"/>
                <w:szCs w:val="18"/>
                <w:color w:val="auto"/>
              </w:rPr>
              <w:t>Weighted average rate/total</w:t>
            </w:r>
          </w:p>
        </w:tc>
        <w:tc>
          <w:tcPr>
            <w:tcW w:w="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3.70%</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77470</wp:posOffset>
            </wp:positionV>
            <wp:extent cx="7112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51" w:lineRule="exact"/>
        <w:rPr>
          <w:sz w:val="20"/>
          <w:szCs w:val="20"/>
          <w:color w:val="auto"/>
        </w:rPr>
      </w:pPr>
    </w:p>
    <w:p>
      <w:pPr>
        <w:ind w:left="2240" w:hanging="437"/>
        <w:spacing w:after="0"/>
        <w:tabs>
          <w:tab w:leader="none" w:pos="2240" w:val="left"/>
        </w:tabs>
        <w:numPr>
          <w:ilvl w:val="0"/>
          <w:numId w:val="11"/>
        </w:numPr>
        <w:rPr>
          <w:rFonts w:ascii="Arial" w:cs="Arial" w:eastAsia="Arial" w:hAnsi="Arial"/>
          <w:sz w:val="22"/>
          <w:szCs w:val="22"/>
          <w:color w:val="auto"/>
          <w:vertAlign w:val="superscript"/>
        </w:rPr>
      </w:pPr>
      <w:r>
        <w:rPr>
          <w:rFonts w:ascii="Arial" w:cs="Arial" w:eastAsia="Arial" w:hAnsi="Arial"/>
          <w:sz w:val="13"/>
          <w:szCs w:val="13"/>
          <w:color w:val="auto"/>
        </w:rPr>
        <w:t>Excluding 3.43% of upfront fees.</w:t>
      </w:r>
    </w:p>
    <w:p>
      <w:pPr>
        <w:spacing w:after="0" w:line="14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its financial statements that are prepared on a basis of accounting other than GAAP (for example, fair value, as defined under ASC 820, is not required to be used for assets or liabilities for such compliance reporting).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SBIC LP is wholly owned by us. As of March 31, 2012, SBIC LP was in compliance with our requirements relating to our SBA debentures.</w:t>
      </w:r>
    </w:p>
    <w:p>
      <w:pPr>
        <w:spacing w:after="0" w:line="12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40"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jc w:val="both"/>
        <w:ind w:right="260" w:firstLine="449"/>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31"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We have reviewed the accompanying consolidated statement of assets and liabilities of PennantPark Investment Corporation and Subsidiaries (the “Company”), including the consolidated schedules of investments, as of March 31, 2012, and the consolidated statements of operations for the three and six months ended March 31, 2012 and 2011, changes in net assets, and cash flows for the six months ended March 31, 2012 and 2011. These interim consolidated financial statements are the responsibility of the Company’s management.</w:t>
      </w:r>
    </w:p>
    <w:p>
      <w:pPr>
        <w:spacing w:after="0" w:line="143"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7" w:lineRule="exact"/>
        <w:rPr>
          <w:sz w:val="20"/>
          <w:szCs w:val="20"/>
          <w:color w:val="auto"/>
        </w:rPr>
      </w:pPr>
    </w:p>
    <w:p>
      <w:pPr>
        <w:ind w:right="120" w:firstLine="449"/>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560" w:firstLine="449"/>
        <w:spacing w:after="0" w:line="335" w:lineRule="auto"/>
        <w:rPr>
          <w:sz w:val="20"/>
          <w:szCs w:val="20"/>
          <w:color w:val="auto"/>
        </w:rPr>
      </w:pPr>
      <w:r>
        <w:rPr>
          <w:rFonts w:ascii="Arial" w:cs="Arial" w:eastAsia="Arial" w:hAnsi="Arial"/>
          <w:sz w:val="15"/>
          <w:szCs w:val="15"/>
          <w:color w:val="auto"/>
        </w:rPr>
        <w:t>We have previously audited, in accordance with standards of the Public Company Accounting Oversight Board (United States), the consolidated statement of assets and liabilities of PennantPark Investment Corporation and Subsidiaries, including the consolidated schedule of investments, as of September 30, 2011; and in our report dated November 16, 2011,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514350" cy="93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 cy="9398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 2012</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32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80" w:firstLine="449"/>
        <w:spacing w:after="0" w:line="298" w:lineRule="auto"/>
        <w:rPr>
          <w:sz w:val="20"/>
          <w:szCs w:val="20"/>
          <w:color w:val="auto"/>
        </w:rPr>
      </w:pPr>
      <w:r>
        <w:rPr>
          <w:rFonts w:ascii="Arial" w:cs="Arial" w:eastAsia="Arial" w:hAnsi="Arial"/>
          <w:sz w:val="16"/>
          <w:szCs w:val="16"/>
          <w:color w:val="auto"/>
        </w:rPr>
        <w:t>This Report, including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31" w:lineRule="exact"/>
        <w:rPr>
          <w:sz w:val="20"/>
          <w:szCs w:val="20"/>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w:t>
      </w:r>
    </w:p>
    <w:p>
      <w:pPr>
        <w:spacing w:after="0" w:line="14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47"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Securities and Exchange Commission, or SEC, including reports on Form 10-Q/K and current reports on Form 8-K.</w:t>
      </w:r>
    </w:p>
    <w:p>
      <w:pPr>
        <w:spacing w:after="0" w:line="147"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statements made in periodic reports we file under the Exchange Act.</w:t>
      </w:r>
    </w:p>
    <w:p>
      <w:pPr>
        <w:spacing w:after="0" w:line="140" w:lineRule="exact"/>
        <w:rPr>
          <w:sz w:val="20"/>
          <w:szCs w:val="20"/>
          <w:color w:val="auto"/>
        </w:rPr>
      </w:pPr>
    </w:p>
    <w:p>
      <w:pPr>
        <w:ind w:right="4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thereto contained elsewhere in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PennantPark Investment Corporation is a business development company, or BDC, whose objectives are to generate both current income and capital appreciation through debt and equity investments primarily in U.S. middle-market companies in the form of senior secured loans, mezzanine debt and equity investments.</w:t>
      </w:r>
    </w:p>
    <w:p>
      <w:pPr>
        <w:spacing w:after="0" w:line="140"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senior secured revolving credit facility, or the Credit Facility, the SBA debentures, proceeds from the rotation of our portfolio and proceeds from public and private offerings of securities to finance our investment objectives.</w:t>
      </w:r>
    </w:p>
    <w:p>
      <w:pPr>
        <w:sectPr>
          <w:pgSz w:w="11900" w:h="16838" w:orient="portrait"/>
          <w:cols w:equalWidth="0" w:num="1">
            <w:col w:w="11240"/>
          </w:cols>
          <w:pgMar w:left="320" w:top="459" w:right="339" w:bottom="406" w:gutter="0" w:footer="0" w:header="0"/>
        </w:sectPr>
      </w:pP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459" w:right="339" w:bottom="406"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Structure of PennantPark Investment Corporation</w:t>
      </w:r>
    </w:p>
    <w:p>
      <w:pPr>
        <w:spacing w:after="0" w:line="90"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Investment Company Act of 1940, as amended, or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intend to continue to be treated as a regulated investment company, or RIC, and qualify annually under the Internal Revenue Code of 1986, as amended, or the Code.</w:t>
      </w:r>
    </w:p>
    <w:p>
      <w:pPr>
        <w:spacing w:after="0" w:line="147" w:lineRule="exact"/>
        <w:rPr>
          <w:sz w:val="20"/>
          <w:szCs w:val="20"/>
          <w:color w:val="auto"/>
        </w:rPr>
      </w:pPr>
    </w:p>
    <w:p>
      <w:pPr>
        <w:ind w:right="220" w:firstLine="449"/>
        <w:spacing w:after="0" w:line="298" w:lineRule="auto"/>
        <w:rPr>
          <w:sz w:val="20"/>
          <w:szCs w:val="20"/>
          <w:color w:val="auto"/>
        </w:rPr>
      </w:pPr>
      <w:r>
        <w:rPr>
          <w:rFonts w:ascii="Arial" w:cs="Arial" w:eastAsia="Arial" w:hAnsi="Arial"/>
          <w:sz w:val="16"/>
          <w:szCs w:val="16"/>
          <w:color w:val="auto"/>
        </w:rPr>
        <w:t>Our wholly owned subsidiary, SBIC LP, was organized as a Delaware limited partnership in May 2010 and received a license from the Small Business Administration, or the SBA, to operate as a small business investment company, or SBIC, under Section 301(c) of the Small Business Investment Company Act of 1958, as amended, or the 1958 Act, in July 2010. SBIC LP’s objective is to generate both current income and capital appreciation through debt and equity investments generally, investing with us in SBA eligible businesses that meet the investment criteria used by PennantPark Investment.</w:t>
      </w:r>
    </w:p>
    <w:p>
      <w:pPr>
        <w:spacing w:after="0" w:line="112"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with the Investment Adviser, or the Investment Management Agreement, we have agreed to pay our Investment Adviser an annual base management fee based on our average adjusted gross total assets as well as an incentive fee based on our investment performance. PennantPark Investment, through the Investment Adviser, provides similar services to SBIC LP under its investment management agreement. The SBIC LP investment management agreement does not affect the management and incentive fees on a consolidated basis. We have also entered into an administration agreement, or the Administration Agreement, with PennantPark Investment Administration LLC, or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LP under its administration agreement with us. Our board of directors, a majority of whom are independent of us, and the Investment Adviser, supervise our activities.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payment-in-kind, or PIK, interest.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80" w:firstLine="449"/>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31" w:lineRule="exact"/>
        <w:rPr>
          <w:sz w:val="20"/>
          <w:szCs w:val="20"/>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500" w:hanging="319"/>
        <w:spacing w:after="0" w:line="268"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right="180" w:hanging="319"/>
        <w:spacing w:after="0" w:line="268"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50" w:lineRule="exact"/>
        <w:rPr>
          <w:rFonts w:ascii="Arial" w:cs="Arial" w:eastAsia="Arial" w:hAnsi="Arial"/>
          <w:sz w:val="18"/>
          <w:szCs w:val="18"/>
          <w:color w:val="auto"/>
        </w:rPr>
      </w:pPr>
    </w:p>
    <w:p>
      <w:pPr>
        <w:ind w:left="880" w:right="140" w:hanging="319"/>
        <w:spacing w:after="0" w:line="25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ectPr>
          <w:pgSz w:w="11900" w:h="16838" w:orient="portrait"/>
          <w:cols w:equalWidth="0" w:num="1">
            <w:col w:w="11240"/>
          </w:cols>
          <w:pgMar w:left="320" w:top="459" w:right="339" w:bottom="595"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459" w:right="339" w:bottom="595"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As of March 31, 2012, our portfolio totaled $888.9 million and consisted of $274.2 million of senior secured loans, $168.1 million of second lien secured debt, $362.9 million of subordinated debt and $83.7 million of preferred and common equity investments. Our portfolio consisted of 66% fixed-rate and 34% variable-rate investments (including 27% with a London Interbank Offered Rate, or LIBOR, or prime floor). On March 31, 2012, we had one non-accrual debt investment, representing 1% of our overall portfolio on a market value basis and 4% of our overall portfolio on a cost basis. Our overall portfolio consisted of 49 companies with an average investment size of $18.1 million, had a weighted average yield on debt investments of 13.3%, and was invested 31% in senior secured loans, 19% in second lien secured debt, 41% in subordinated debt and 9% in preferred and common equity investments.</w:t>
      </w:r>
    </w:p>
    <w:p>
      <w:pPr>
        <w:spacing w:after="0" w:line="120"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investments and 39% variable-rate investments (including 31% with a LIBOR or prime floor). Our overall portfolio consisted of 48 companies with an average investment size of $17.2 million, had a weighted average yield on debt investments of 13.3%, and was invested 36% in senior secured loans, 20% in second lien secured debt, 37% in subordinated debt and 7% in preferred and common equity investments.</w:t>
      </w:r>
    </w:p>
    <w:p>
      <w:pPr>
        <w:spacing w:after="0" w:line="115"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For the three months ended March 31, 2012, we invested $110.9 million in five new and four existing portfolio companies with a weighted average yield on debt investments of 13.2%. Sales and repayments of long-term investments for the three months ended March 31, 2012 totaled $49.3 million. For the six months ended March 31, 2012, we invested approximately $153.9 million in six new and eleven existing portfolio companies with a weighted average yield of 14.2% on debt investments. Sales and repayments of long-term investments totaled $118.5 million for the same period.</w:t>
      </w:r>
    </w:p>
    <w:p>
      <w:pPr>
        <w:spacing w:after="0" w:line="112" w:lineRule="exact"/>
        <w:rPr>
          <w:sz w:val="20"/>
          <w:szCs w:val="20"/>
          <w:color w:val="auto"/>
        </w:rPr>
      </w:pPr>
    </w:p>
    <w:p>
      <w:pPr>
        <w:ind w:right="140" w:firstLine="449"/>
        <w:spacing w:after="0" w:line="298" w:lineRule="auto"/>
        <w:rPr>
          <w:sz w:val="20"/>
          <w:szCs w:val="20"/>
          <w:color w:val="auto"/>
        </w:rPr>
      </w:pPr>
      <w:r>
        <w:rPr>
          <w:rFonts w:ascii="Arial" w:cs="Arial" w:eastAsia="Arial" w:hAnsi="Arial"/>
          <w:sz w:val="16"/>
          <w:szCs w:val="16"/>
          <w:color w:val="auto"/>
        </w:rPr>
        <w:t>For the three months ended March 31, 2011, we invested $96.6 million in four new and two existing portfolio companies with a weighted average yield on debt investments of 13.6%. Sales and repayments of long-term investments for the three months ended March 31, 2011 totaled $51.6 million. For the six months ended March 31, 2011, we invested approximately $196.5 million in ten new and three existing portfolio companies with a weighted average yield of 14.3% on debt investments. Sales and repayments of long-term investments totaled $137.1 million for the same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The discussion of our financial condition and results of operations is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60" w:firstLine="449"/>
        <w:spacing w:after="0" w:line="314" w:lineRule="auto"/>
        <w:rPr>
          <w:sz w:val="20"/>
          <w:szCs w:val="20"/>
          <w:color w:val="auto"/>
        </w:rPr>
      </w:pPr>
      <w:r>
        <w:rPr>
          <w:rFonts w:ascii="Arial" w:cs="Arial" w:eastAsia="Arial" w:hAnsi="Arial"/>
          <w:sz w:val="15"/>
          <w:szCs w:val="15"/>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If our board of directors has a bona fide reason to believe any such market quote does not reflect the fair value of an investment, it may independently value such investments by using the valuation procedures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ectPr>
          <w:pgSz w:w="11900" w:h="16838" w:orient="portrait"/>
          <w:cols w:equalWidth="0" w:num="1">
            <w:col w:w="11240"/>
          </w:cols>
          <w:pgMar w:left="320" w:top="459" w:right="339" w:bottom="1440" w:gutter="0" w:footer="0" w:header="0"/>
        </w:sectPr>
      </w:pPr>
    </w:p>
    <w:bookmarkStart w:id="30" w:name="page31"/>
    <w:bookmarkEnd w:id="30"/>
    <w:p>
      <w:pPr>
        <w:ind w:right="60" w:firstLine="449"/>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19"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80" w:hanging="447"/>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7"/>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1" w:lineRule="exact"/>
        <w:rPr>
          <w:rFonts w:ascii="Arial" w:cs="Arial" w:eastAsia="Arial" w:hAnsi="Arial"/>
          <w:sz w:val="18"/>
          <w:szCs w:val="18"/>
          <w:color w:val="auto"/>
        </w:rPr>
      </w:pPr>
    </w:p>
    <w:p>
      <w:pPr>
        <w:ind w:left="900" w:hanging="447"/>
        <w:spacing w:after="0" w:line="33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900" w:right="180" w:hanging="447"/>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180" w:right="660" w:hanging="728"/>
        <w:spacing w:after="0" w:line="259" w:lineRule="auto"/>
        <w:tabs>
          <w:tab w:leader="none" w:pos="116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6" w:lineRule="exact"/>
        <w:rPr>
          <w:sz w:val="20"/>
          <w:szCs w:val="20"/>
          <w:color w:val="auto"/>
        </w:rPr>
      </w:pPr>
    </w:p>
    <w:p>
      <w:pPr>
        <w:ind w:left="1180" w:right="860" w:hanging="728"/>
        <w:spacing w:after="0" w:line="268" w:lineRule="auto"/>
        <w:tabs>
          <w:tab w:leader="none" w:pos="116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15"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2012, our ability to observe valuation inputs has resulted in no reclassification of assets from Level 3 to 2. There were no investments transferred between Levels 1 and 2 for the same period.</w:t>
      </w:r>
    </w:p>
    <w:p>
      <w:pPr>
        <w:spacing w:after="0" w:line="11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jc w:val="both"/>
        <w:ind w:right="200" w:firstLine="449"/>
        <w:spacing w:after="0" w:line="259" w:lineRule="auto"/>
        <w:rPr>
          <w:sz w:val="20"/>
          <w:szCs w:val="20"/>
          <w:color w:val="auto"/>
        </w:rPr>
      </w:pPr>
      <w:r>
        <w:rPr>
          <w:rFonts w:ascii="Arial" w:cs="Arial" w:eastAsia="Arial" w:hAnsi="Arial"/>
          <w:sz w:val="18"/>
          <w:szCs w:val="18"/>
          <w:color w:val="auto"/>
        </w:rPr>
        <w:t>In accordance with ASU 2011-04 and as outlined in the table below, our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0" w:lineRule="exact"/>
        <w:rPr>
          <w:sz w:val="20"/>
          <w:szCs w:val="20"/>
          <w:color w:val="auto"/>
        </w:rPr>
      </w:pPr>
    </w:p>
    <w:p>
      <w:pPr>
        <w:ind w:firstLine="449"/>
        <w:spacing w:after="0" w:line="309" w:lineRule="auto"/>
        <w:rPr>
          <w:sz w:val="20"/>
          <w:szCs w:val="20"/>
          <w:color w:val="auto"/>
        </w:rPr>
      </w:pPr>
      <w:r>
        <w:rPr>
          <w:rFonts w:ascii="Arial" w:cs="Arial" w:eastAsia="Arial" w:hAnsi="Arial"/>
          <w:sz w:val="15"/>
          <w:szCs w:val="15"/>
          <w:color w:val="auto"/>
        </w:rPr>
        <w:t>The remainder of our portfolio was valued using a market comparable or enterprise valuation technique and our long-term Credit Facility used an income approach valuation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254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2"/>
              </w:rPr>
              <w:t>Valuation Techniques</w:t>
            </w:r>
          </w:p>
        </w:tc>
        <w:tc>
          <w:tcPr>
            <w:tcW w:w="18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Unobservable Inputs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9"/>
              </w:rPr>
              <w:t>Range of</w:t>
            </w:r>
          </w:p>
        </w:tc>
        <w:tc>
          <w:tcPr>
            <w:tcW w:w="0" w:type="dxa"/>
            <w:vAlign w:val="bottom"/>
          </w:tcPr>
          <w:p>
            <w:pPr>
              <w:spacing w:after="0"/>
              <w:rPr>
                <w:sz w:val="1"/>
                <w:szCs w:val="1"/>
                <w:color w:val="auto"/>
              </w:rPr>
            </w:pPr>
          </w:p>
        </w:tc>
      </w:tr>
      <w:tr>
        <w:trPr>
          <w:trHeight w:val="168"/>
        </w:trPr>
        <w:tc>
          <w:tcPr>
            <w:tcW w:w="3240" w:type="dxa"/>
            <w:vAlign w:val="bottom"/>
            <w:tcBorders>
              <w:bottom w:val="single" w:sz="8" w:color="auto"/>
            </w:tcBorders>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Fair Value</w:t>
            </w:r>
          </w:p>
        </w:tc>
        <w:tc>
          <w:tcPr>
            <w:tcW w:w="202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Values/Input</w:t>
            </w:r>
          </w:p>
        </w:tc>
        <w:tc>
          <w:tcPr>
            <w:tcW w:w="0" w:type="dxa"/>
            <w:vAlign w:val="bottom"/>
          </w:tcPr>
          <w:p>
            <w:pPr>
              <w:spacing w:after="0"/>
              <w:rPr>
                <w:sz w:val="1"/>
                <w:szCs w:val="1"/>
                <w:color w:val="auto"/>
              </w:rPr>
            </w:pPr>
          </w:p>
        </w:tc>
      </w:tr>
      <w:tr>
        <w:trPr>
          <w:trHeight w:val="181"/>
        </w:trPr>
        <w:tc>
          <w:tcPr>
            <w:tcW w:w="57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First lien, second lien, subordinated debt/corporate notes and preferred and</w:t>
            </w:r>
          </w:p>
        </w:tc>
        <w:tc>
          <w:tcPr>
            <w:tcW w:w="620" w:type="dxa"/>
            <w:vAlign w:val="bottom"/>
            <w:tcBorders>
              <w:top w:val="single" w:sz="8" w:color="auto"/>
            </w:tcBorders>
            <w:shd w:val="clear" w:color="auto" w:fill="CCEEFF"/>
          </w:tcPr>
          <w:p>
            <w:pPr>
              <w:jc w:val="right"/>
              <w:ind w:right="17"/>
              <w:spacing w:after="0" w:line="182" w:lineRule="exact"/>
              <w:rPr>
                <w:sz w:val="20"/>
                <w:szCs w:val="20"/>
                <w:color w:val="auto"/>
              </w:rPr>
            </w:pPr>
            <w:r>
              <w:rPr>
                <w:rFonts w:ascii="Arial" w:cs="Arial" w:eastAsia="Arial" w:hAnsi="Arial"/>
                <w:sz w:val="18"/>
                <w:szCs w:val="18"/>
                <w:color w:val="auto"/>
              </w:rPr>
              <w:t>23%</w:t>
            </w:r>
          </w:p>
        </w:tc>
        <w:tc>
          <w:tcPr>
            <w:tcW w:w="26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Market approach</w:t>
            </w:r>
          </w:p>
        </w:tc>
        <w:tc>
          <w:tcPr>
            <w:tcW w:w="2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Broker/Dealer bids</w:t>
            </w:r>
          </w:p>
        </w:tc>
        <w:tc>
          <w:tcPr>
            <w:tcW w:w="2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1 - 9</w:t>
            </w:r>
          </w:p>
        </w:tc>
        <w:tc>
          <w:tcPr>
            <w:tcW w:w="0" w:type="dxa"/>
            <w:vAlign w:val="bottom"/>
          </w:tcPr>
          <w:p>
            <w:pPr>
              <w:spacing w:after="0"/>
              <w:rPr>
                <w:sz w:val="1"/>
                <w:szCs w:val="1"/>
                <w:color w:val="auto"/>
              </w:rPr>
            </w:pPr>
          </w:p>
        </w:tc>
      </w:tr>
      <w:tr>
        <w:trPr>
          <w:trHeight w:val="224"/>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common equity</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5780" w:type="dxa"/>
            <w:vAlign w:val="bottom"/>
            <w:gridSpan w:val="2"/>
          </w:tcPr>
          <w:p>
            <w:pPr>
              <w:spacing w:after="0"/>
              <w:rPr>
                <w:sz w:val="20"/>
                <w:szCs w:val="20"/>
                <w:color w:val="auto"/>
              </w:rPr>
            </w:pPr>
            <w:r>
              <w:rPr>
                <w:rFonts w:ascii="Arial" w:cs="Arial" w:eastAsia="Arial" w:hAnsi="Arial"/>
                <w:sz w:val="18"/>
                <w:szCs w:val="18"/>
                <w:color w:val="auto"/>
                <w:w w:val="95"/>
              </w:rPr>
              <w:t>First lien, second lien, subordinated debt/corporate notes and preferred and</w:t>
            </w: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4"/>
                <w:szCs w:val="24"/>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Market comparable /</w:t>
            </w: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EBITDA multiples</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8.0x</w:t>
            </w:r>
          </w:p>
        </w:tc>
        <w:tc>
          <w:tcPr>
            <w:tcW w:w="0" w:type="dxa"/>
            <w:vAlign w:val="bottom"/>
          </w:tcPr>
          <w:p>
            <w:pPr>
              <w:spacing w:after="0"/>
              <w:rPr>
                <w:sz w:val="1"/>
                <w:szCs w:val="1"/>
                <w:color w:val="auto"/>
              </w:rPr>
            </w:pPr>
          </w:p>
        </w:tc>
      </w:tr>
      <w:tr>
        <w:trPr>
          <w:trHeight w:val="222"/>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common equity</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Enterprise value</w:t>
            </w: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2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Market comparable /</w:t>
            </w:r>
          </w:p>
        </w:tc>
        <w:tc>
          <w:tcPr>
            <w:tcW w:w="18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Discount rate</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3.9%</w:t>
            </w:r>
          </w:p>
        </w:tc>
        <w:tc>
          <w:tcPr>
            <w:tcW w:w="0" w:type="dxa"/>
            <w:vAlign w:val="bottom"/>
          </w:tcPr>
          <w:p>
            <w:pPr>
              <w:spacing w:after="0"/>
              <w:rPr>
                <w:sz w:val="1"/>
                <w:szCs w:val="1"/>
                <w:color w:val="auto"/>
              </w:rPr>
            </w:pPr>
          </w:p>
        </w:tc>
      </w:tr>
      <w:tr>
        <w:trPr>
          <w:trHeight w:val="224"/>
        </w:trPr>
        <w:tc>
          <w:tcPr>
            <w:tcW w:w="324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Income approach</w:t>
            </w: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240"/>
          </w:cols>
          <w:pgMar w:left="320" w:top="459"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459" w:right="3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firstLine="449"/>
        <w:spacing w:after="0" w:line="301" w:lineRule="auto"/>
        <w:rPr>
          <w:sz w:val="20"/>
          <w:szCs w:val="20"/>
          <w:color w:val="auto"/>
        </w:rPr>
      </w:pPr>
      <w:r>
        <w:rPr>
          <w:rFonts w:ascii="Arial" w:cs="Arial" w:eastAsia="Arial" w:hAnsi="Arial"/>
          <w:sz w:val="15"/>
          <w:szCs w:val="15"/>
          <w:color w:val="auto"/>
        </w:rPr>
        <w:t>The carrying value of our selected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three and six months ended March 31, 2012 and 2011, our Credit Facility had a net change in unrealized appreciation of $0.2 million and $1.4 million and $4.7 million and $11.3 million, respectively. As of</w:t>
      </w:r>
    </w:p>
    <w:p>
      <w:pPr>
        <w:spacing w:after="0" w:line="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March 31, 2012 and September 30, 2011, net unrealized depreciation on our Credit Facility totaled $0.7 million and $2.1 million, respectively. We use a nationally recognized independent valuation service to measure the fair value of our Credit Facility in a manner consistent with the valuation process that the board of directors uses to value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contractual prepayment premiums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280" w:firstLine="449"/>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w:t>
      </w:r>
    </w:p>
    <w:p>
      <w:pPr>
        <w:spacing w:after="0" w:line="90" w:lineRule="exact"/>
        <w:rPr>
          <w:sz w:val="20"/>
          <w:szCs w:val="20"/>
          <w:color w:val="auto"/>
        </w:rPr>
      </w:pPr>
    </w:p>
    <w:p>
      <w:pPr>
        <w:jc w:val="both"/>
        <w:ind w:right="400" w:firstLine="449"/>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1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six months ended March 31, 2012 and 2011,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Investment income for the three and six months ended March 31, 2012 was $26.4 million and $53.2 million, respectively, and was attributable to $9.4 million and $20.7 million from senior secured loans, $4.4 million and $8.5 million from second lien secured debt investments, and $12.6 million and $24.0 million from subordinated debt investments, respectively. This compares to investment income for the three and six months ended March 31, 2011, which was $22.7 million and $42.7 million, respectively, and was primarily attributable to $8.0 million and $15.1 million from senior secured loans, $2.8 million and $6.0 million from second lien secured debt investments and $8.6 million and $16.3 million from subordinated debt investments, respectively. The increase in investment income compared with the same period in the prior year is due to the growth of our portfolio, which is the result of deploying both equity from our follow-on offering and debt capital raised during the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Expenses for the three and six months ended March 31, 2012, totaled $16.6 million and $28.4 million, respectively. Base management fee for the same respective periods totaled $4.2 million and $8.2 million, performance-based incentive fees totaled $2.4 million and $6.1 million, Credit Facility and SBA debentures expenses (excluding the $5.4 million upfront fees associated with amending and extending our Credit Facility) totaled $2.7 million and $5.1 million, general and administrative expenses totaled $1.7 million and $3.3 million and excise taxes totaled $0.2 million and $0.3 million. This compares to expenses for the three and six months ended March 31, 2011, which totaled $9.6 million and $18.4 million, respectively. Base management fee for the same respective periods totaled $3.6 million and $7.1 million, performance-based incentive fees totaled $3.3 million and $6.1 million, Credit Facility and SBA debentures expense totaled $1.1 million and $2.2 million, and general and administrative expenses totaled $1.5 million and $2.8 million, respectively, and excise tax for the six months ended March 31, 2011 totaled $0.2 million. The increase in expenses compared with the same period in the prior year is due to the growth of the portfolio and net investment income as well as the costs associated with amending and extended our Credit Facility. We expect the interest expense associated with our amended Credit Facility to be higher going forward resulting from an increase in the spread on the Credit Facility.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260" w:firstLine="449"/>
        <w:spacing w:after="0" w:line="335" w:lineRule="auto"/>
        <w:rPr>
          <w:sz w:val="20"/>
          <w:szCs w:val="20"/>
          <w:color w:val="auto"/>
        </w:rPr>
      </w:pPr>
      <w:r>
        <w:rPr>
          <w:rFonts w:ascii="Arial" w:cs="Arial" w:eastAsia="Arial" w:hAnsi="Arial"/>
          <w:sz w:val="15"/>
          <w:szCs w:val="15"/>
          <w:color w:val="auto"/>
        </w:rPr>
        <w:t>Net investment income totaled $9.8 million and $24.8 million, or $0.18 and $0.50 per share, for the three and six months ended March 31, 2012, respectively. For the same respective periods in the prior year, net investment income totaled $13.2 million and $24.3 million, or $0.32 and $0.63 per share. The decrease in per share net investment income over the periods was primarily the result of upfront expenses associated with amending our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Sales and repayments of long-term investments for the three and six months ended March 31, 2012 totaled $49.3 million and $118.5 million and realized losses totaled $3.9 million and $12.0 million, respectively, due to sales and refinancing of our debt investments. Sales and repayments of long-term investments for the three and six months ended March 31, 2011 totaled $51.6 million and $137.1 million and realized gains totaled $0.3 million and $2.6 million, respectively, due to sales of lower yielding investments and refinancing of our debt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For the three and six months ended March 31, 2012, we reported unrealized appreciation on investments of $20.8 million and $30.8 million, respectively. For the three and six months ended March 31, 2011, we reported unrealized appreciation on investments of $4.8 million and $23.5 million, respectively. The change in unrealized appreciation for current periods compared to the prior periods is the result of changes in the leveraged credit markets. On March 31, 2012 and September 30, 2011, our net unrealized depreciation on investments totaled $8.0 million and $38.8 million, respectively.</w:t>
      </w:r>
    </w:p>
    <w:p>
      <w:pPr>
        <w:spacing w:after="0" w:line="112"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For the three and six months ended March 31, 2012, our long-term Credit Facility payable increased in value due to unrealized appreciation of $0.2 million and $1.4 million, respectively. For the three and six months ended March 31, 2011, our long-term Credit Facility balance increased in value due to unrealized appreciation of $4.7 million and $11.3 million, respectively. The change in unrealized appreciation for current periods compared to the prior periods is the result of our Credit Facility approaching maturity. On March 31, 2012 and September 30, 2011, net unrealized depreciation on our long-term Credit Facility totaled $0.7 million and $2.1 million, respectively.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Net increase in net assets resulting from operations totaled $26.4 million and $42.2 million or $0.50 per share and $0.85 per share, respectively, for the three and six months ended March 31, 2012. This compares to a net increase in net assets resulting from operations which totaled $13.6 million and $39.1 million, respectively, or $0.33 per share and $1.01 per share, respectively, for the three and six months ended March 31, 2011. This increase in net assets from operations is due to both unrealized appreciation on investments and net investment income, which was offset by upfront fees on our Credit Facility of $5.4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49"/>
        <w:spacing w:after="0" w:line="298" w:lineRule="auto"/>
        <w:rPr>
          <w:sz w:val="20"/>
          <w:szCs w:val="20"/>
          <w:color w:val="auto"/>
        </w:rPr>
      </w:pPr>
      <w:r>
        <w:rPr>
          <w:rFonts w:ascii="Arial" w:cs="Arial" w:eastAsia="Arial" w:hAnsi="Arial"/>
          <w:sz w:val="16"/>
          <w:szCs w:val="16"/>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SBA debentures, proceeds from the rotation of our portfolio and proceeds from public and private offerings of securities to finance our investment objectives.</w:t>
      </w:r>
    </w:p>
    <w:p>
      <w:pPr>
        <w:spacing w:after="0" w:line="11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On February 21, 2012, we amended and restated our multi-currency Credit Facility, which increased the size of the Credit Facility from $315.0 million to $380.0 million, with certain lenders and SunTrust Bank, acting as administrative agent and JPMorgan Chase Bank, N.A., as syndication agent for the lenders. As of March 31, 2012 and September 30, 2011, there was $158.5 million (including a temporary draw of $10.0 million) and $240.9 million, respectively, in outstanding borrowings under the Credit Facility, with a weighted average interest rate at the time of 3.19% and 1.27%, exclusive of the fee on undrawn commitments of 0.50% and 0.20%, respectively. The Credit Facility is a four-year revolving facility, with a stated maturity date of February 21, 2016, with a one-year term out period following its third year and pricing is set at 275 basis points over LIBOR. The Credit Facility is secured by substantially all of the assets of the Company excluding assets held by our SBIC.</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Credit Facility contains customary affirmative and restrictive covenants, including maintenance of a minimum shareholders’ equity of the sum of</w:t>
      </w:r>
    </w:p>
    <w:p>
      <w:pPr>
        <w:spacing w:after="0" w:line="38" w:lineRule="exact"/>
        <w:rPr>
          <w:sz w:val="20"/>
          <w:szCs w:val="20"/>
          <w:color w:val="auto"/>
        </w:rPr>
      </w:pPr>
    </w:p>
    <w:p>
      <w:pPr>
        <w:ind w:right="100" w:firstLine="8"/>
        <w:spacing w:after="0" w:line="252" w:lineRule="auto"/>
        <w:tabs>
          <w:tab w:leader="none" w:pos="2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$220,000,000 plus (b) 25% of the net proceeds from the sale of equity interests in us and our subsidiaries after the closing date of the Credit Facility and maintenance of a ratio of total assets (less total liabilities other than indebtedness) to total indebtedness of not less than 2.0:1.0 (before any exemptive relief granted by the SEC with respect to the indebtedness of our SBIC subsidiary). In addition to the asset coverage ratio described in the preceding sentence, borrowings under our Credit Facility (and the incurrence of certain other permitted debt) are subject to compliance with a borrowing base that will apply different advance rates to different types of assets in the Company’s portfolio. For a complete list of covenants contained in the Credit Facility, see our form 8-K filed on February 22, 2012 and the Credit Facility agreement filed as an exhibit to this form 10-Q. As of March 31, 2012, we were in compliance with the terms of our Credit Facility.</w:t>
      </w:r>
    </w:p>
    <w:p>
      <w:pPr>
        <w:spacing w:after="0" w:line="146"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may raise additional equity or debt capital through both registered offerings off a shelf registration and private offerings of securities, by securitizing a portion of our investments or borrowing from the SBA, among other sources. Any future additional debt capital we incur, to the extent it is available under current credit market conditions, may be issued at a higher cost and on less favorable terms and conditions than our current Credit Facility. Furthermore, our Credit Facility availability depends on various covenants and restrictions as discussed below. The primary use of existing funds and any funds raised in the future is expected to be for repayment of indebtedness, investments in portfolio companies, cash distributions to our shareholders or for other general corporate purposes.</w:t>
      </w:r>
    </w:p>
    <w:p>
      <w:pPr>
        <w:spacing w:after="0" w:line="144" w:lineRule="exact"/>
        <w:rPr>
          <w:sz w:val="20"/>
          <w:szCs w:val="20"/>
          <w:color w:val="auto"/>
        </w:rPr>
      </w:pPr>
    </w:p>
    <w:p>
      <w:pPr>
        <w:ind w:right="480" w:firstLine="449"/>
        <w:spacing w:after="0" w:line="259"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its asset coverage, as defined in the 1940 Act, is at least 200% after such borrowing. As of March 31, 2012, we have excluded the SBA debentures from our asset coverage ratio pursuant to SEC exemptive relief.</w:t>
      </w:r>
    </w:p>
    <w:p>
      <w:pPr>
        <w:spacing w:after="0" w:line="14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For the six months ended March 31, 2012, we sold 10.4 million shares of common stock at a price of $10.55 per share resulting in net proceeds of $105.2 million. This compares to selling 9.2 million shares of our common stock at a price of $12.40 per share resulting in net proceeds of $108.3 million for the six months ended March 31, 2011. In February 2012, we received approval from our shareholders to issue shares below the then current net asset value per share for a 12-month period. Any decision to sell shares below the then current net asset value per share of our common stock in one or more offerings is subject to shareholder approval and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18"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SBIC LP has borrowed funds from the SBA against regulatory capital (which approximates equity capital) that is paid-in and is subject to customary regulatory requirements including but not limited to an examination by the SBA. We have committed and funded SBIC LP with $75.0 million of equity capital, and had SBA debentures outstanding of $150.0 million.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 SBIC LP has accessed the maximum borrowing with its $75.0 million in regulatory capital.</w:t>
      </w:r>
    </w:p>
    <w:p>
      <w:pPr>
        <w:spacing w:after="0" w:line="120" w:lineRule="exact"/>
        <w:rPr>
          <w:sz w:val="20"/>
          <w:szCs w:val="20"/>
          <w:color w:val="auto"/>
        </w:rPr>
      </w:pPr>
    </w:p>
    <w:p>
      <w:pPr>
        <w:ind w:right="100" w:firstLine="449"/>
        <w:spacing w:after="0" w:line="335" w:lineRule="auto"/>
        <w:rPr>
          <w:sz w:val="20"/>
          <w:szCs w:val="20"/>
          <w:color w:val="auto"/>
        </w:rPr>
      </w:pPr>
      <w:r>
        <w:rPr>
          <w:rFonts w:ascii="Arial" w:cs="Arial" w:eastAsia="Arial" w:hAnsi="Arial"/>
          <w:sz w:val="15"/>
          <w:szCs w:val="15"/>
          <w:color w:val="auto"/>
        </w:rPr>
        <w:t>As of March 31, 2012, $150.0 million in debt commitments were fully drawn with a weighted average interest rate of 3.70% exclusive of the 3.43% in upfront fees (4.04% after upfront fees). The SBA debentures upfront fees of 3.43% consist of a commitment fee of 1.00% and an issuance at a 2.43% discount to face. Both fees are amortized over the lives of the loans. Our fixed rate SBA debentures as of March 31, 2012 and September 30, 2011 were as follows:</w:t>
      </w:r>
    </w:p>
    <w:p>
      <w:pPr>
        <w:spacing w:after="0" w:line="123"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Fixed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All-in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3"/>
              </w:rPr>
              <w:t>Coupon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4"/>
              </w:rPr>
              <w:t>Principal</w:t>
            </w: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Issuance Dates</w:t>
            </w:r>
          </w:p>
        </w:tc>
        <w:tc>
          <w:tcPr>
            <w:tcW w:w="200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Arial" w:cs="Arial" w:eastAsia="Arial" w:hAnsi="Arial"/>
                <w:sz w:val="13"/>
                <w:szCs w:val="13"/>
                <w:b w:val="1"/>
                <w:bCs w:val="1"/>
                <w:color w:val="auto"/>
              </w:rPr>
              <w:t>Maturity</w:t>
            </w:r>
          </w:p>
        </w:tc>
        <w:tc>
          <w:tcPr>
            <w:tcW w:w="380" w:type="dxa"/>
            <w:vAlign w:val="bottom"/>
          </w:tcPr>
          <w:p>
            <w:pPr>
              <w:spacing w:after="0"/>
              <w:rPr>
                <w:sz w:val="14"/>
                <w:szCs w:val="14"/>
                <w:color w:val="auto"/>
              </w:rPr>
            </w:pPr>
          </w:p>
        </w:tc>
        <w:tc>
          <w:tcPr>
            <w:tcW w:w="800" w:type="dxa"/>
            <w:vAlign w:val="bottom"/>
            <w:gridSpan w:val="2"/>
          </w:tcPr>
          <w:p>
            <w:pPr>
              <w:jc w:val="center"/>
              <w:ind w:right="360"/>
              <w:spacing w:after="0" w:line="162" w:lineRule="exact"/>
              <w:rPr>
                <w:sz w:val="20"/>
                <w:szCs w:val="20"/>
                <w:color w:val="auto"/>
              </w:rPr>
            </w:pPr>
            <w:r>
              <w:rPr>
                <w:rFonts w:ascii="Arial" w:cs="Arial" w:eastAsia="Arial" w:hAnsi="Arial"/>
                <w:sz w:val="11"/>
                <w:szCs w:val="11"/>
                <w:b w:val="1"/>
                <w:bCs w:val="1"/>
                <w:color w:val="auto"/>
              </w:rPr>
              <w:t xml:space="preserve">Rate </w:t>
            </w:r>
            <w:r>
              <w:rPr>
                <w:rFonts w:ascii="Arial" w:cs="Arial" w:eastAsia="Arial" w:hAnsi="Arial"/>
                <w:sz w:val="18"/>
                <w:szCs w:val="18"/>
                <w:b w:val="1"/>
                <w:bCs w:val="1"/>
                <w:color w:val="auto"/>
                <w:vertAlign w:val="superscript"/>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Balance</w:t>
            </w:r>
          </w:p>
        </w:tc>
        <w:tc>
          <w:tcPr>
            <w:tcW w:w="0" w:type="dxa"/>
            <w:vAlign w:val="bottom"/>
          </w:tcPr>
          <w:p>
            <w:pPr>
              <w:spacing w:after="0"/>
              <w:rPr>
                <w:sz w:val="1"/>
                <w:szCs w:val="1"/>
                <w:color w:val="auto"/>
              </w:rPr>
            </w:pPr>
          </w:p>
        </w:tc>
      </w:tr>
      <w:tr>
        <w:trPr>
          <w:trHeight w:val="20"/>
        </w:trPr>
        <w:tc>
          <w:tcPr>
            <w:tcW w:w="28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84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gridSpan w:val="3"/>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September 1, 2020</w:t>
            </w:r>
          </w:p>
        </w:tc>
        <w:tc>
          <w:tcPr>
            <w:tcW w:w="38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3.50%</w:t>
            </w:r>
          </w:p>
        </w:tc>
        <w:tc>
          <w:tcPr>
            <w:tcW w:w="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March 29, 2011</w:t>
            </w:r>
          </w:p>
        </w:tc>
        <w:tc>
          <w:tcPr>
            <w:tcW w:w="2280" w:type="dxa"/>
            <w:vAlign w:val="bottom"/>
            <w:gridSpan w:val="2"/>
          </w:tcPr>
          <w:p>
            <w:pPr>
              <w:ind w:left="840"/>
              <w:spacing w:after="0"/>
              <w:rPr>
                <w:sz w:val="20"/>
                <w:szCs w:val="20"/>
                <w:color w:val="auto"/>
              </w:rPr>
            </w:pPr>
            <w:r>
              <w:rPr>
                <w:rFonts w:ascii="Arial" w:cs="Arial" w:eastAsia="Arial" w:hAnsi="Arial"/>
                <w:sz w:val="18"/>
                <w:szCs w:val="18"/>
                <w:color w:val="auto"/>
              </w:rPr>
              <w:t>March 1, 2021</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w w:val="85"/>
              </w:rPr>
              <w:t>4.46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44,500,000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2"/>
              </w:rPr>
              <w:t>September 1, 2021</w:t>
            </w:r>
          </w:p>
        </w:tc>
        <w:tc>
          <w:tcPr>
            <w:tcW w:w="3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5"/>
              </w:rPr>
              <w:t>3.38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gridSpan w:val="3"/>
          </w:tcPr>
          <w:p>
            <w:pPr>
              <w:spacing w:after="0"/>
              <w:rPr>
                <w:sz w:val="20"/>
                <w:szCs w:val="20"/>
                <w:color w:val="auto"/>
              </w:rPr>
            </w:pPr>
            <w:r>
              <w:rPr>
                <w:rFonts w:ascii="Arial" w:cs="Arial" w:eastAsia="Arial" w:hAnsi="Arial"/>
                <w:sz w:val="18"/>
                <w:szCs w:val="18"/>
                <w:color w:val="auto"/>
              </w:rPr>
              <w:t>Weighted average rate / Total</w:t>
            </w:r>
          </w:p>
        </w:tc>
        <w:tc>
          <w:tcPr>
            <w:tcW w:w="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80" w:type="dxa"/>
            <w:vAlign w:val="bottom"/>
            <w:gridSpan w:val="3"/>
          </w:tcPr>
          <w:p>
            <w:pPr>
              <w:ind w:left="520"/>
              <w:spacing w:after="0"/>
              <w:rPr>
                <w:sz w:val="20"/>
                <w:szCs w:val="20"/>
                <w:color w:val="auto"/>
              </w:rPr>
            </w:pPr>
            <w:r>
              <w:rPr>
                <w:rFonts w:ascii="Arial" w:cs="Arial" w:eastAsia="Arial" w:hAnsi="Arial"/>
                <w:sz w:val="18"/>
                <w:szCs w:val="18"/>
                <w:color w:val="auto"/>
              </w:rPr>
              <w:t>3.70%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820"/>
        <w:spacing w:after="0"/>
        <w:rPr>
          <w:sz w:val="20"/>
          <w:szCs w:val="20"/>
          <w:color w:val="auto"/>
        </w:rPr>
      </w:pPr>
      <w:r>
        <w:rPr>
          <w:rFonts w:ascii="Arial" w:cs="Arial" w:eastAsia="Arial" w:hAnsi="Arial"/>
          <w:sz w:val="13"/>
          <w:szCs w:val="13"/>
          <w:color w:val="auto"/>
        </w:rPr>
        <w:t>(1) Excludes 3.43% of upfront fees.</w:t>
      </w:r>
    </w:p>
    <w:p>
      <w:pPr>
        <w:spacing w:after="0" w:line="177" w:lineRule="exact"/>
        <w:rPr>
          <w:sz w:val="20"/>
          <w:szCs w:val="20"/>
          <w:color w:val="auto"/>
        </w:rPr>
      </w:pPr>
    </w:p>
    <w:p>
      <w:pPr>
        <w:jc w:val="center"/>
        <w:ind w:right="140"/>
        <w:spacing w:after="0" w:line="323" w:lineRule="auto"/>
        <w:rPr>
          <w:sz w:val="20"/>
          <w:szCs w:val="20"/>
          <w:color w:val="auto"/>
        </w:rPr>
      </w:pPr>
      <w:r>
        <w:rPr>
          <w:rFonts w:ascii="Arial" w:cs="Arial" w:eastAsia="Arial" w:hAnsi="Arial"/>
          <w:sz w:val="15"/>
          <w:szCs w:val="15"/>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w:t>
      </w:r>
    </w:p>
    <w:p>
      <w:pPr>
        <w:sectPr>
          <w:pgSz w:w="11900" w:h="16838" w:orient="portrait"/>
          <w:cols w:equalWidth="0" w:num="1">
            <w:col w:w="11240"/>
          </w:cols>
          <w:pgMar w:left="320" w:top="459" w:right="339" w:bottom="0" w:gutter="0" w:footer="0" w:header="0"/>
        </w:sectPr>
      </w:pPr>
    </w:p>
    <w:bookmarkStart w:id="35" w:name="page36"/>
    <w:bookmarkEnd w:id="35"/>
    <w:p>
      <w:pPr>
        <w:jc w:val="both"/>
        <w:ind w:right="60"/>
        <w:spacing w:after="0" w:line="268" w:lineRule="auto"/>
        <w:rPr>
          <w:sz w:val="20"/>
          <w:szCs w:val="20"/>
          <w:color w:val="auto"/>
        </w:rPr>
      </w:pPr>
      <w:r>
        <w:rPr>
          <w:rFonts w:ascii="Arial" w:cs="Arial" w:eastAsia="Arial" w:hAnsi="Arial"/>
          <w:sz w:val="18"/>
          <w:szCs w:val="18"/>
          <w:color w:val="auto"/>
        </w:rPr>
        <w:t>other than GAAP (for example, fair value, as defined under ASC 820, is not required to be used for assets or liabilities for such compliance reporting). As of March 31, 2012, SBIC LP was in compliance with its regulatory requirements.</w:t>
      </w:r>
    </w:p>
    <w:p>
      <w:pPr>
        <w:spacing w:after="0" w:line="132"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On June 1, 2011, we received exemptive relief from the SEC allowing us to modify the asset coverage ratio requirement to exclude the SBA debentures from our asset coverage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0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43"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operating activities used cash of $44.0 million for the six months ended March 31, 2012, primarily due to investing and offset by sales and repayments on our investments, and our financing activities used cash of $0.6 million for the same period, primarily from proceeds from our common stock offering and net repayments under our Credit Facility.</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131"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firstLine="449"/>
        <w:spacing w:after="0" w:line="331" w:lineRule="auto"/>
        <w:rPr>
          <w:sz w:val="20"/>
          <w:szCs w:val="20"/>
          <w:color w:val="auto"/>
        </w:rPr>
      </w:pPr>
      <w:r>
        <w:rPr>
          <w:rFonts w:ascii="Arial" w:cs="Arial" w:eastAsia="Arial" w:hAnsi="Arial"/>
          <w:sz w:val="16"/>
          <w:szCs w:val="16"/>
          <w:color w:val="auto"/>
        </w:rPr>
        <w:t>Our operating activities used cash of $54.5 million for the six months ended March 31, 2011, and our financing activities provided cash of $54.2 million for the same period, primarily from net repayments under our Credit Facility, SBA debentures issued, and our common stock offering.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100" w:firstLine="449"/>
        <w:spacing w:after="0" w:line="268" w:lineRule="auto"/>
        <w:rPr>
          <w:sz w:val="20"/>
          <w:szCs w:val="20"/>
          <w:color w:val="auto"/>
        </w:rPr>
      </w:pPr>
      <w:r>
        <w:rPr>
          <w:rFonts w:ascii="Arial" w:cs="Arial" w:eastAsia="Arial" w:hAnsi="Arial"/>
          <w:sz w:val="18"/>
          <w:szCs w:val="18"/>
          <w:color w:val="auto"/>
        </w:rPr>
        <w:t>A summary of our significant contractual payment obligations as of March 31, 2012 including, borrowings under our multi-currency Credit Facility and other contractual obligations,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spacing w:after="0"/>
              <w:rPr>
                <w:sz w:val="20"/>
                <w:szCs w:val="20"/>
                <w:color w:val="auto"/>
              </w:rPr>
            </w:pPr>
            <w:r>
              <w:rPr>
                <w:rFonts w:ascii="Arial" w:cs="Arial" w:eastAsia="Arial" w:hAnsi="Arial"/>
                <w:sz w:val="13"/>
                <w:szCs w:val="13"/>
                <w:b w:val="1"/>
                <w:bCs w:val="1"/>
                <w:color w:val="auto"/>
                <w:w w:val="96"/>
              </w:rPr>
              <w:t>Payments due by period (in millions)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5"/>
              </w:rPr>
              <w:t>Less than</w:t>
            </w:r>
          </w:p>
        </w:tc>
        <w:tc>
          <w:tcPr>
            <w:tcW w:w="680" w:type="dxa"/>
            <w:vAlign w:val="bottom"/>
            <w:gridSpan w:val="2"/>
          </w:tcPr>
          <w:p>
            <w:pPr>
              <w:jc w:val="right"/>
              <w:ind w:right="16"/>
              <w:spacing w:after="0" w:line="129" w:lineRule="exact"/>
              <w:rPr>
                <w:sz w:val="20"/>
                <w:szCs w:val="20"/>
                <w:color w:val="auto"/>
              </w:rPr>
            </w:pPr>
            <w:r>
              <w:rPr>
                <w:rFonts w:ascii="Arial" w:cs="Arial" w:eastAsia="Arial" w:hAnsi="Arial"/>
                <w:sz w:val="13"/>
                <w:szCs w:val="13"/>
                <w:b w:val="1"/>
                <w:bCs w:val="1"/>
                <w:color w:val="auto"/>
              </w:rPr>
              <w:t>1-3</w:t>
            </w:r>
          </w:p>
        </w:tc>
        <w:tc>
          <w:tcPr>
            <w:tcW w:w="780" w:type="dxa"/>
            <w:vAlign w:val="bottom"/>
            <w:gridSpan w:val="2"/>
          </w:tcPr>
          <w:p>
            <w:pPr>
              <w:jc w:val="right"/>
              <w:ind w:right="77"/>
              <w:spacing w:after="0" w:line="129" w:lineRule="exact"/>
              <w:rPr>
                <w:sz w:val="20"/>
                <w:szCs w:val="20"/>
                <w:color w:val="auto"/>
              </w:rPr>
            </w:pPr>
            <w:r>
              <w:rPr>
                <w:rFonts w:ascii="Arial" w:cs="Arial" w:eastAsia="Arial" w:hAnsi="Arial"/>
                <w:sz w:val="13"/>
                <w:szCs w:val="13"/>
                <w:b w:val="1"/>
                <w:bCs w:val="1"/>
                <w:color w:val="auto"/>
              </w:rPr>
              <w:t>3-5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6"/>
              </w:rPr>
              <w:t>More than</w:t>
            </w:r>
          </w:p>
        </w:tc>
        <w:tc>
          <w:tcPr>
            <w:tcW w:w="100" w:type="dxa"/>
            <w:vAlign w:val="bottom"/>
          </w:tcPr>
          <w:p>
            <w:pPr>
              <w:spacing w:after="0"/>
              <w:rPr>
                <w:sz w:val="11"/>
                <w:szCs w:val="11"/>
                <w:color w:val="auto"/>
              </w:rPr>
            </w:pPr>
          </w:p>
        </w:tc>
      </w:tr>
      <w:tr>
        <w:trPr>
          <w:trHeight w:val="161"/>
        </w:trPr>
        <w:tc>
          <w:tcPr>
            <w:tcW w:w="11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3"/>
                <w:szCs w:val="13"/>
                <w:b w:val="1"/>
                <w:bCs w:val="1"/>
                <w:color w:val="auto"/>
              </w:rPr>
              <w:t>1 year</w:t>
            </w:r>
          </w:p>
        </w:tc>
        <w:tc>
          <w:tcPr>
            <w:tcW w:w="3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w w:val="94"/>
              </w:rPr>
              <w:t>years</w:t>
            </w:r>
          </w:p>
        </w:tc>
        <w:tc>
          <w:tcPr>
            <w:tcW w:w="28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years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5 years</w:t>
            </w:r>
          </w:p>
        </w:tc>
      </w:tr>
      <w:tr>
        <w:trPr>
          <w:trHeight w:val="209"/>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Credit Facility </w:t>
            </w:r>
            <w:r>
              <w:rPr>
                <w:rFonts w:ascii="Arial" w:cs="Arial" w:eastAsia="Arial" w:hAnsi="Arial"/>
                <w:sz w:val="11"/>
                <w:szCs w:val="11"/>
                <w:color w:val="auto"/>
              </w:rPr>
              <w:t>(1)</w:t>
            </w:r>
          </w:p>
        </w:tc>
        <w:tc>
          <w:tcPr>
            <w:tcW w:w="2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$158.5</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center"/>
              <w:ind w:left="3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2"/>
              </w:rPr>
              <w:t>$—</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27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36"/>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Subtotal debt outstanding </w:t>
            </w:r>
            <w:r>
              <w:rPr>
                <w:rFonts w:ascii="Arial" w:cs="Arial" w:eastAsia="Arial" w:hAnsi="Arial"/>
                <w:sz w:val="11"/>
                <w:szCs w:val="11"/>
                <w:color w:val="auto"/>
              </w:rPr>
              <w:t>(2)</w:t>
            </w:r>
          </w:p>
        </w:tc>
        <w:tc>
          <w:tcPr>
            <w:tcW w:w="3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308.5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(3)</w:t>
            </w:r>
          </w:p>
        </w:tc>
        <w:tc>
          <w:tcPr>
            <w:tcW w:w="27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85"/>
              </w:rPr>
              <w:t>16.5</w:t>
            </w:r>
          </w:p>
        </w:tc>
        <w:tc>
          <w:tcPr>
            <w:tcW w:w="300" w:type="dxa"/>
            <w:vAlign w:val="bottom"/>
          </w:tcPr>
          <w:p>
            <w:pPr>
              <w:spacing w:after="0"/>
              <w:rPr>
                <w:sz w:val="19"/>
                <w:szCs w:val="19"/>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3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325.5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5"/>
              </w:rPr>
              <w:t>16.5</w:t>
            </w:r>
          </w:p>
        </w:tc>
        <w:tc>
          <w:tcPr>
            <w:tcW w:w="68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159.0</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2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of March 31, 2012, we had $221.5 million of unused borrowing capacity under our Credit Facility, subject to various restrictions and covenants.</w:t>
      </w:r>
    </w:p>
    <w:p>
      <w:pPr>
        <w:spacing w:after="0" w:line="38"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March 31, 2012 was 3.44% exclusive of the fee on the undrawn commitment of 0.50% on the Credit Facility and 3.43% of upfront fees on SBIC LP’s SBA debentures.</w:t>
      </w: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Unfunded debt investments described in the Consolidated Statement of Assets and Liabilities represent unfunded delayed draws on investments.</w:t>
      </w:r>
    </w:p>
    <w:p>
      <w:pPr>
        <w:spacing w:after="0" w:line="188"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2012, PennantPark Investment Advisers serves as our Investment Adviser in accordance with the terms of that Investment Management Agreement. PennantPark Investment, through the Investment Adviser, provides similar services to SBIC LP under its investment management agreement with us. The SBIC LP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gross assets and (2) an incentive fee based on our performance. See Note 3 to the Consolidated Financial Statements.</w:t>
      </w:r>
    </w:p>
    <w:p>
      <w:pPr>
        <w:spacing w:after="0" w:line="12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Under our Administration Agreement, which was renewed in February 2012, PennantPark Investment Administration furnishes us with office facilities and administrative services necessary to conduct our day-to-day operations. PennantPark Investment, through the Administrator, provides similar services to SBIC LP under its administration agreement, which is intended to have no effect on the consolidated administration fee. If requested to provide managerial assistance to our portfolio companies, we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the Consolidated Financial Statements.</w:t>
      </w:r>
    </w:p>
    <w:p>
      <w:pPr>
        <w:spacing w:after="0" w:line="124" w:lineRule="exact"/>
        <w:rPr>
          <w:sz w:val="20"/>
          <w:szCs w:val="20"/>
          <w:color w:val="auto"/>
        </w:rPr>
      </w:pPr>
    </w:p>
    <w:p>
      <w:pPr>
        <w:jc w:val="both"/>
        <w:ind w:right="300" w:firstLine="449"/>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9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During the three and six months ended March 31, 2012, we declared dividends of $0.28 and $0.56 per share, respectively, for total dividends of $15.7 million and $28.5 million, respectively. For the same periods in the prior year, we declared dividends of 0.27 and $0.53 per share, respectively, for total dividends of $12.3 million and $21.7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make quarterly dividends to our stockholders. Our quarterly dividends, if any, are determined by our board of directors.</w:t>
      </w:r>
    </w:p>
    <w:p>
      <w:pPr>
        <w:spacing w:after="0" w:line="194"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six months ended March 31, 2012 and 2011, we elected to retain a portion of our calendar year income and incur an excise tax of approximately $0.3 million and $0.2 million, respectively.</w:t>
      </w:r>
    </w:p>
    <w:p>
      <w:pPr>
        <w:spacing w:after="0" w:line="119"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ectPr>
          <w:pgSz w:w="11900" w:h="16838" w:orient="portrait"/>
          <w:cols w:equalWidth="0" w:num="1">
            <w:col w:w="11240"/>
          </w:cols>
          <w:pgMar w:left="320" w:top="459" w:right="339" w:bottom="541"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459" w:right="339" w:bottom="541"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47"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We are subject to financial market risks, including changes in interest rates. As of March 31, 2012, our portfolio consisted of 66% fixed- rate and 34% variable-rate investments (including 27% with a LIBOR, or prime floor). The variable-rate loans are usually based on a floating LIBOR rate and typically have durations of three months after which they reset to current market interest rates. Variable-rate investments subject to a floor generally reset by reference to the current market index after one to six months only if the index exceeds the floor. In regards to variable-rate instruments with a floor, we do not benefit from increases in interest rates until such rates exceed the floor and thereafter benefit from market rates above any such floor.</w:t>
      </w:r>
    </w:p>
    <w:p>
      <w:pPr>
        <w:spacing w:after="0" w:line="115" w:lineRule="exact"/>
        <w:rPr>
          <w:sz w:val="20"/>
          <w:szCs w:val="20"/>
          <w:color w:val="auto"/>
        </w:rPr>
      </w:pPr>
    </w:p>
    <w:p>
      <w:pPr>
        <w:ind w:right="140" w:firstLine="449"/>
        <w:spacing w:after="0" w:line="294" w:lineRule="auto"/>
        <w:rPr>
          <w:sz w:val="20"/>
          <w:szCs w:val="20"/>
          <w:color w:val="auto"/>
        </w:rPr>
      </w:pPr>
      <w:r>
        <w:rPr>
          <w:rFonts w:ascii="Arial" w:cs="Arial" w:eastAsia="Arial" w:hAnsi="Arial"/>
          <w:sz w:val="16"/>
          <w:szCs w:val="16"/>
          <w:color w:val="auto"/>
        </w:rPr>
        <w:t>Assuming that the current balance sheet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5"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are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9"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March 31, 2012 that have materially affected, or are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45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consider carefully the factors discussed in Part I “Item 1A. Risk Factors” in our Annual Report on Form 10-K for the fiscal year ended September 30, 2011, which could materially affect our business, financial condition and/or operating results. The risks described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40"/>
          </w:cols>
          <w:pgMar w:left="320" w:top="459"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right"/>
              <w:ind w:right="232"/>
              <w:spacing w:after="0"/>
              <w:rPr>
                <w:sz w:val="20"/>
                <w:szCs w:val="20"/>
                <w:color w:val="auto"/>
              </w:rPr>
            </w:pPr>
            <w:r>
              <w:rPr>
                <w:rFonts w:ascii="Arial" w:cs="Arial" w:eastAsia="Arial" w:hAnsi="Arial"/>
                <w:sz w:val="18"/>
                <w:szCs w:val="18"/>
                <w:color w:val="auto"/>
              </w:rPr>
              <w:t>3.1</w:t>
            </w:r>
          </w:p>
        </w:tc>
        <w:tc>
          <w:tcPr>
            <w:tcW w:w="10500" w:type="dxa"/>
            <w:vAlign w:val="bottom"/>
          </w:tcPr>
          <w:p>
            <w:pPr>
              <w:ind w:left="240"/>
              <w:spacing w:after="0"/>
              <w:rPr>
                <w:sz w:val="20"/>
                <w:szCs w:val="20"/>
                <w:color w:val="auto"/>
              </w:rPr>
            </w:pPr>
            <w:r>
              <w:rPr>
                <w:rFonts w:ascii="Arial" w:cs="Arial" w:eastAsia="Arial" w:hAnsi="Arial"/>
                <w:sz w:val="18"/>
                <w:szCs w:val="18"/>
                <w:color w:val="auto"/>
                <w:w w:val="89"/>
              </w:rPr>
              <w:t>Articles of Incorporation (Incorporated by reference to the Registrant’s Pre-Effective Amendment No.1 to the Registration Statement on Form N-</w:t>
            </w:r>
          </w:p>
        </w:tc>
      </w:tr>
      <w:tr>
        <w:trPr>
          <w:trHeight w:val="222"/>
        </w:trPr>
        <w:tc>
          <w:tcPr>
            <w:tcW w:w="640" w:type="dxa"/>
            <w:vAlign w:val="bottom"/>
          </w:tcPr>
          <w:p>
            <w:pPr>
              <w:spacing w:after="0"/>
              <w:rPr>
                <w:sz w:val="19"/>
                <w:szCs w:val="19"/>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2/A (File No. 333-140092), filed on March 5, 2007).</w:t>
            </w:r>
          </w:p>
        </w:tc>
      </w:tr>
      <w:tr>
        <w:trPr>
          <w:trHeight w:val="318"/>
        </w:trPr>
        <w:tc>
          <w:tcPr>
            <w:tcW w:w="640" w:type="dxa"/>
            <w:vAlign w:val="bottom"/>
          </w:tcPr>
          <w:p>
            <w:pPr>
              <w:jc w:val="right"/>
              <w:ind w:right="232"/>
              <w:spacing w:after="0"/>
              <w:rPr>
                <w:sz w:val="20"/>
                <w:szCs w:val="20"/>
                <w:color w:val="auto"/>
              </w:rPr>
            </w:pPr>
            <w:r>
              <w:rPr>
                <w:rFonts w:ascii="Arial" w:cs="Arial" w:eastAsia="Arial" w:hAnsi="Arial"/>
                <w:sz w:val="18"/>
                <w:szCs w:val="18"/>
                <w:color w:val="auto"/>
              </w:rPr>
              <w:t>3.2</w:t>
            </w:r>
          </w:p>
        </w:tc>
        <w:tc>
          <w:tcPr>
            <w:tcW w:w="10500" w:type="dxa"/>
            <w:vAlign w:val="bottom"/>
          </w:tcPr>
          <w:p>
            <w:pPr>
              <w:ind w:left="240"/>
              <w:spacing w:after="0"/>
              <w:rPr>
                <w:sz w:val="20"/>
                <w:szCs w:val="20"/>
                <w:color w:val="auto"/>
              </w:rPr>
            </w:pPr>
            <w:r>
              <w:rPr>
                <w:rFonts w:ascii="Arial" w:cs="Arial" w:eastAsia="Arial" w:hAnsi="Arial"/>
                <w:sz w:val="18"/>
                <w:szCs w:val="18"/>
                <w:color w:val="auto"/>
                <w:w w:val="89"/>
              </w:rPr>
              <w:t>Amended and Restated Bylaws of the Registrant (Incorporated by reference to Exhibit 3.2 to the Registrant’s Annual Report on Form 10-K (File</w:t>
            </w:r>
          </w:p>
        </w:tc>
      </w:tr>
      <w:tr>
        <w:trPr>
          <w:trHeight w:val="222"/>
        </w:trPr>
        <w:tc>
          <w:tcPr>
            <w:tcW w:w="640" w:type="dxa"/>
            <w:vAlign w:val="bottom"/>
          </w:tcPr>
          <w:p>
            <w:pPr>
              <w:spacing w:after="0"/>
              <w:rPr>
                <w:sz w:val="19"/>
                <w:szCs w:val="19"/>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No. 814-00736), filed on November 16, 2011).</w:t>
            </w:r>
          </w:p>
        </w:tc>
      </w:tr>
      <w:tr>
        <w:trPr>
          <w:trHeight w:val="318"/>
        </w:trPr>
        <w:tc>
          <w:tcPr>
            <w:tcW w:w="640" w:type="dxa"/>
            <w:vAlign w:val="bottom"/>
          </w:tcPr>
          <w:p>
            <w:pPr>
              <w:jc w:val="right"/>
              <w:ind w:right="232"/>
              <w:spacing w:after="0"/>
              <w:rPr>
                <w:sz w:val="20"/>
                <w:szCs w:val="20"/>
                <w:color w:val="auto"/>
              </w:rPr>
            </w:pPr>
            <w:r>
              <w:rPr>
                <w:rFonts w:ascii="Arial" w:cs="Arial" w:eastAsia="Arial" w:hAnsi="Arial"/>
                <w:sz w:val="18"/>
                <w:szCs w:val="18"/>
                <w:color w:val="auto"/>
              </w:rPr>
              <w:t>4.1</w:t>
            </w:r>
          </w:p>
        </w:tc>
        <w:tc>
          <w:tcPr>
            <w:tcW w:w="10500" w:type="dxa"/>
            <w:vAlign w:val="bottom"/>
          </w:tcPr>
          <w:p>
            <w:pPr>
              <w:ind w:left="240"/>
              <w:spacing w:after="0"/>
              <w:rPr>
                <w:sz w:val="20"/>
                <w:szCs w:val="20"/>
                <w:color w:val="auto"/>
              </w:rPr>
            </w:pPr>
            <w:r>
              <w:rPr>
                <w:rFonts w:ascii="Arial" w:cs="Arial" w:eastAsia="Arial" w:hAnsi="Arial"/>
                <w:sz w:val="18"/>
                <w:szCs w:val="18"/>
                <w:color w:val="auto"/>
                <w:w w:val="91"/>
              </w:rPr>
              <w:t>Form of Share Certificate (Incorporated by reference to Exhibit 99(d)(1) to the Registrant’s Registration Statement on Form N-2 (File No. 333-</w:t>
            </w:r>
          </w:p>
        </w:tc>
      </w:tr>
      <w:tr>
        <w:trPr>
          <w:trHeight w:val="222"/>
        </w:trPr>
        <w:tc>
          <w:tcPr>
            <w:tcW w:w="640" w:type="dxa"/>
            <w:vAlign w:val="bottom"/>
          </w:tcPr>
          <w:p>
            <w:pPr>
              <w:spacing w:after="0"/>
              <w:rPr>
                <w:sz w:val="19"/>
                <w:szCs w:val="19"/>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150033), filed on April 2, 2008).</w:t>
            </w:r>
          </w:p>
        </w:tc>
      </w:tr>
      <w:tr>
        <w:trPr>
          <w:trHeight w:val="318"/>
        </w:trPr>
        <w:tc>
          <w:tcPr>
            <w:tcW w:w="640" w:type="dxa"/>
            <w:vAlign w:val="bottom"/>
          </w:tcPr>
          <w:p>
            <w:pPr>
              <w:jc w:val="right"/>
              <w:ind w:right="152"/>
              <w:spacing w:after="0"/>
              <w:rPr>
                <w:sz w:val="20"/>
                <w:szCs w:val="20"/>
                <w:color w:val="auto"/>
              </w:rPr>
            </w:pPr>
            <w:r>
              <w:rPr>
                <w:rFonts w:ascii="Arial" w:cs="Arial" w:eastAsia="Arial" w:hAnsi="Arial"/>
                <w:sz w:val="18"/>
                <w:szCs w:val="18"/>
                <w:color w:val="auto"/>
                <w:w w:val="90"/>
              </w:rPr>
              <w:t>10.1*</w:t>
            </w:r>
          </w:p>
        </w:tc>
        <w:tc>
          <w:tcPr>
            <w:tcW w:w="10500" w:type="dxa"/>
            <w:vAlign w:val="bottom"/>
          </w:tcPr>
          <w:p>
            <w:pPr>
              <w:ind w:left="240"/>
              <w:spacing w:after="0"/>
              <w:rPr>
                <w:sz w:val="20"/>
                <w:szCs w:val="20"/>
                <w:color w:val="auto"/>
              </w:rPr>
            </w:pPr>
            <w:r>
              <w:rPr>
                <w:rFonts w:ascii="Arial" w:cs="Arial" w:eastAsia="Arial" w:hAnsi="Arial"/>
                <w:sz w:val="18"/>
                <w:szCs w:val="18"/>
                <w:color w:val="auto"/>
                <w:w w:val="87"/>
              </w:rPr>
              <w:t>Amended and Restated Senior Secured Revolving Credit Agreement, dated as of February 21, 2012, among PennantPark Investment Corporation,</w:t>
            </w:r>
          </w:p>
        </w:tc>
      </w:tr>
      <w:tr>
        <w:trPr>
          <w:trHeight w:val="222"/>
        </w:trPr>
        <w:tc>
          <w:tcPr>
            <w:tcW w:w="640" w:type="dxa"/>
            <w:vAlign w:val="bottom"/>
          </w:tcPr>
          <w:p>
            <w:pPr>
              <w:spacing w:after="0"/>
              <w:rPr>
                <w:sz w:val="19"/>
                <w:szCs w:val="19"/>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w w:val="92"/>
              </w:rPr>
              <w:t>as the borrower, the Lenders party hereto, SunTrust Bank, as administrative agent and JPMorgan Chase Bank, N.A., as syndication agent.</w:t>
            </w:r>
          </w:p>
        </w:tc>
      </w:tr>
    </w:tbl>
    <w:p>
      <w:pPr>
        <w:spacing w:after="0" w:line="102" w:lineRule="exact"/>
        <w:rPr>
          <w:sz w:val="20"/>
          <w:szCs w:val="20"/>
          <w:color w:val="auto"/>
        </w:rPr>
      </w:pPr>
    </w:p>
    <w:p>
      <w:pPr>
        <w:ind w:left="880" w:hanging="87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Consolidated Financial Statements contained in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ind w:left="880" w:hanging="876"/>
        <w:spacing w:after="0" w:line="268" w:lineRule="auto"/>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Exhibit 99.1 to the Registrant’s Annual Report on Form 10-K (File No. 814-00736), filed on December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60"/>
          </w:cols>
          <w:pgMar w:left="32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80" w:type="dxa"/>
            <w:vAlign w:val="bottom"/>
          </w:tcPr>
          <w:p>
            <w:pPr>
              <w:ind w:left="500"/>
              <w:spacing w:after="0"/>
              <w:rPr>
                <w:sz w:val="20"/>
                <w:szCs w:val="20"/>
                <w:color w:val="auto"/>
              </w:rPr>
            </w:pPr>
            <w:r>
              <w:rPr>
                <w:rFonts w:ascii="Arial" w:cs="Arial" w:eastAsia="Arial" w:hAnsi="Arial"/>
                <w:sz w:val="18"/>
                <w:szCs w:val="18"/>
                <w:color w:val="auto"/>
              </w:rPr>
              <w:t>PENNANTPARK INVESTMENT CORPORATION</w:t>
            </w:r>
          </w:p>
        </w:tc>
      </w:tr>
      <w:tr>
        <w:trPr>
          <w:trHeight w:val="434"/>
        </w:trPr>
        <w:tc>
          <w:tcPr>
            <w:tcW w:w="3360" w:type="dxa"/>
            <w:vAlign w:val="bottom"/>
          </w:tcPr>
          <w:p>
            <w:pPr>
              <w:spacing w:after="0"/>
              <w:rPr>
                <w:sz w:val="20"/>
                <w:szCs w:val="20"/>
                <w:color w:val="auto"/>
              </w:rPr>
            </w:pPr>
            <w:r>
              <w:rPr>
                <w:rFonts w:ascii="Arial" w:cs="Arial" w:eastAsia="Arial" w:hAnsi="Arial"/>
                <w:sz w:val="18"/>
                <w:szCs w:val="18"/>
                <w:color w:val="auto"/>
              </w:rPr>
              <w:t>Date: May 2, 2012</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color w:val="auto"/>
                <w:w w:val="94"/>
              </w:rPr>
              <w:t>/s/  Arthur H. Penn</w:t>
            </w:r>
          </w:p>
        </w:tc>
      </w:tr>
      <w:tr>
        <w:trPr>
          <w:trHeight w:val="209"/>
        </w:trPr>
        <w:tc>
          <w:tcPr>
            <w:tcW w:w="3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4"/>
              </w:rPr>
              <w:t>Arthur H. Penn</w:t>
            </w:r>
          </w:p>
        </w:tc>
      </w:tr>
      <w:tr>
        <w:trPr>
          <w:trHeight w:val="228"/>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w:t>
            </w:r>
          </w:p>
        </w:tc>
      </w:tr>
      <w:tr>
        <w:trPr>
          <w:trHeight w:val="434"/>
        </w:trPr>
        <w:tc>
          <w:tcPr>
            <w:tcW w:w="3360" w:type="dxa"/>
            <w:vAlign w:val="bottom"/>
          </w:tcPr>
          <w:p>
            <w:pPr>
              <w:spacing w:after="0"/>
              <w:rPr>
                <w:sz w:val="20"/>
                <w:szCs w:val="20"/>
                <w:color w:val="auto"/>
              </w:rPr>
            </w:pPr>
            <w:r>
              <w:rPr>
                <w:rFonts w:ascii="Arial" w:cs="Arial" w:eastAsia="Arial" w:hAnsi="Arial"/>
                <w:sz w:val="18"/>
                <w:szCs w:val="18"/>
                <w:color w:val="auto"/>
              </w:rPr>
              <w:t>Date: May 2, 2012</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color w:val="auto"/>
                <w:w w:val="99"/>
              </w:rPr>
              <w:t>/s/  Aviv Efrat</w:t>
            </w:r>
          </w:p>
        </w:tc>
      </w:tr>
      <w:tr>
        <w:trPr>
          <w:trHeight w:val="209"/>
        </w:trPr>
        <w:tc>
          <w:tcPr>
            <w:tcW w:w="3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r>
      <w:tr>
        <w:trPr>
          <w:trHeight w:val="216"/>
        </w:trPr>
        <w:tc>
          <w:tcPr>
            <w:tcW w:w="3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0"/>
              </w:rPr>
              <w:t>Chief Financial Officer</w:t>
            </w:r>
          </w:p>
        </w:tc>
      </w:tr>
      <w:tr>
        <w:trPr>
          <w:trHeight w:val="228"/>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89"/>
              </w:rPr>
              <w:t>(Principal Accounting and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59"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SECURED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REVOLVING CREDIT AGREEMENT</w:t>
      </w:r>
    </w:p>
    <w:p>
      <w:pPr>
        <w:spacing w:after="0" w:line="1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dated as of</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February 21, 2012</w:t>
      </w:r>
    </w:p>
    <w:p>
      <w:pPr>
        <w:spacing w:after="0" w:line="17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The LENDERS Party Hereto</w:t>
      </w:r>
    </w:p>
    <w:p>
      <w:pPr>
        <w:spacing w:after="0" w:line="17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122555</wp:posOffset>
            </wp:positionV>
            <wp:extent cx="14916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SUNTRUST ROBINSON HUMPHREY,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701007202 11262547</w:t>
      </w:r>
    </w:p>
    <w:p>
      <w:pPr>
        <w:sectPr>
          <w:pgSz w:w="11900" w:h="16838" w:orient="portrait"/>
          <w:cols w:equalWidth="0" w:num="1">
            <w:col w:w="11240"/>
          </w:cols>
          <w:pgMar w:left="320" w:top="125" w:right="339" w:bottom="1440" w:gutter="0" w:footer="0" w:header="0"/>
        </w:sectPr>
      </w:pPr>
    </w:p>
    <w:bookmarkStart w:id="42" w:name="page43"/>
    <w:bookmarkEnd w:id="4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309"/>
        </w:trPr>
        <w:tc>
          <w:tcPr>
            <w:tcW w:w="980" w:type="dxa"/>
            <w:vAlign w:val="bottom"/>
          </w:tcPr>
          <w:p>
            <w:pPr>
              <w:spacing w:after="0"/>
              <w:rPr>
                <w:sz w:val="20"/>
                <w:szCs w:val="20"/>
                <w:color w:val="auto"/>
              </w:rPr>
            </w:pPr>
            <w:r>
              <w:rPr>
                <w:rFonts w:ascii="Arial" w:cs="Arial" w:eastAsia="Arial" w:hAnsi="Arial"/>
                <w:sz w:val="18"/>
                <w:szCs w:val="18"/>
                <w:color w:val="auto"/>
              </w:rPr>
              <w:t>ARTICLE I</w:t>
            </w:r>
          </w:p>
        </w:tc>
        <w:tc>
          <w:tcPr>
            <w:tcW w:w="1200" w:type="dxa"/>
            <w:vAlign w:val="bottom"/>
          </w:tcPr>
          <w:p>
            <w:pPr>
              <w:ind w:left="80"/>
              <w:spacing w:after="0"/>
              <w:rPr>
                <w:sz w:val="20"/>
                <w:szCs w:val="20"/>
                <w:color w:val="auto"/>
              </w:rPr>
            </w:pPr>
            <w:r>
              <w:rPr>
                <w:rFonts w:ascii="Arial" w:cs="Arial" w:eastAsia="Arial" w:hAnsi="Arial"/>
                <w:sz w:val="18"/>
                <w:szCs w:val="18"/>
                <w:color w:val="auto"/>
                <w:w w:val="96"/>
              </w:rPr>
              <w:t>DEFINITIONS</w:t>
            </w:r>
          </w:p>
        </w:tc>
        <w:tc>
          <w:tcPr>
            <w:tcW w:w="65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1.01.</w:t>
            </w:r>
          </w:p>
        </w:tc>
        <w:tc>
          <w:tcPr>
            <w:tcW w:w="6520" w:type="dxa"/>
            <w:vAlign w:val="bottom"/>
          </w:tcPr>
          <w:p>
            <w:pPr>
              <w:ind w:left="40"/>
              <w:spacing w:after="0"/>
              <w:rPr>
                <w:sz w:val="20"/>
                <w:szCs w:val="20"/>
                <w:color w:val="auto"/>
              </w:rPr>
            </w:pPr>
            <w:r>
              <w:rPr>
                <w:rFonts w:ascii="Arial" w:cs="Arial" w:eastAsia="Arial" w:hAnsi="Arial"/>
                <w:sz w:val="18"/>
                <w:szCs w:val="18"/>
                <w:color w:val="auto"/>
              </w:rPr>
              <w:t>Defined Terms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1.02.</w:t>
            </w:r>
          </w:p>
        </w:tc>
        <w:tc>
          <w:tcPr>
            <w:tcW w:w="6520" w:type="dxa"/>
            <w:vAlign w:val="bottom"/>
          </w:tcPr>
          <w:p>
            <w:pPr>
              <w:ind w:left="40"/>
              <w:spacing w:after="0"/>
              <w:rPr>
                <w:sz w:val="20"/>
                <w:szCs w:val="20"/>
                <w:color w:val="auto"/>
              </w:rPr>
            </w:pPr>
            <w:r>
              <w:rPr>
                <w:rFonts w:ascii="Arial" w:cs="Arial" w:eastAsia="Arial" w:hAnsi="Arial"/>
                <w:sz w:val="18"/>
                <w:szCs w:val="18"/>
                <w:color w:val="auto"/>
              </w:rPr>
              <w:t>Classification of Loans and Borrowings</w:t>
            </w:r>
          </w:p>
        </w:tc>
        <w:tc>
          <w:tcPr>
            <w:tcW w:w="2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1.03.</w:t>
            </w:r>
          </w:p>
        </w:tc>
        <w:tc>
          <w:tcPr>
            <w:tcW w:w="6520" w:type="dxa"/>
            <w:vAlign w:val="bottom"/>
          </w:tcPr>
          <w:p>
            <w:pPr>
              <w:ind w:left="40"/>
              <w:spacing w:after="0"/>
              <w:rPr>
                <w:sz w:val="20"/>
                <w:szCs w:val="20"/>
                <w:color w:val="auto"/>
              </w:rPr>
            </w:pPr>
            <w:r>
              <w:rPr>
                <w:rFonts w:ascii="Arial" w:cs="Arial" w:eastAsia="Arial" w:hAnsi="Arial"/>
                <w:sz w:val="18"/>
                <w:szCs w:val="18"/>
                <w:color w:val="auto"/>
              </w:rPr>
              <w:t>Terms Generally</w:t>
            </w:r>
          </w:p>
        </w:tc>
        <w:tc>
          <w:tcPr>
            <w:tcW w:w="2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1.04.</w:t>
            </w:r>
          </w:p>
        </w:tc>
        <w:tc>
          <w:tcPr>
            <w:tcW w:w="6520" w:type="dxa"/>
            <w:vAlign w:val="bottom"/>
          </w:tcPr>
          <w:p>
            <w:pPr>
              <w:ind w:left="40"/>
              <w:spacing w:after="0"/>
              <w:rPr>
                <w:sz w:val="20"/>
                <w:szCs w:val="20"/>
                <w:color w:val="auto"/>
              </w:rPr>
            </w:pPr>
            <w:r>
              <w:rPr>
                <w:rFonts w:ascii="Arial" w:cs="Arial" w:eastAsia="Arial" w:hAnsi="Arial"/>
                <w:sz w:val="18"/>
                <w:szCs w:val="18"/>
                <w:color w:val="auto"/>
              </w:rPr>
              <w:t>Accounting Terms; GAAP</w:t>
            </w:r>
          </w:p>
        </w:tc>
        <w:tc>
          <w:tcPr>
            <w:tcW w:w="2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1.05.</w:t>
            </w:r>
          </w:p>
        </w:tc>
        <w:tc>
          <w:tcPr>
            <w:tcW w:w="6520" w:type="dxa"/>
            <w:vAlign w:val="bottom"/>
          </w:tcPr>
          <w:p>
            <w:pPr>
              <w:ind w:left="40"/>
              <w:spacing w:after="0"/>
              <w:rPr>
                <w:sz w:val="20"/>
                <w:szCs w:val="20"/>
                <w:color w:val="auto"/>
              </w:rPr>
            </w:pPr>
            <w:r>
              <w:rPr>
                <w:rFonts w:ascii="Arial" w:cs="Arial" w:eastAsia="Arial" w:hAnsi="Arial"/>
                <w:sz w:val="18"/>
                <w:szCs w:val="18"/>
                <w:color w:val="auto"/>
              </w:rPr>
              <w:t>Currencies; Currency Equivalents</w:t>
            </w: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ARTICLE II</w:t>
            </w:r>
          </w:p>
        </w:tc>
        <w:tc>
          <w:tcPr>
            <w:tcW w:w="7720" w:type="dxa"/>
            <w:vAlign w:val="bottom"/>
            <w:gridSpan w:val="2"/>
          </w:tcPr>
          <w:p>
            <w:pPr>
              <w:ind w:left="140"/>
              <w:spacing w:after="0"/>
              <w:rPr>
                <w:sz w:val="20"/>
                <w:szCs w:val="20"/>
                <w:color w:val="auto"/>
              </w:rPr>
            </w:pPr>
            <w:r>
              <w:rPr>
                <w:rFonts w:ascii="Arial" w:cs="Arial" w:eastAsia="Arial" w:hAnsi="Arial"/>
                <w:sz w:val="18"/>
                <w:szCs w:val="18"/>
                <w:color w:val="auto"/>
              </w:rPr>
              <w:t>THE CREDITS</w:t>
            </w:r>
          </w:p>
        </w:tc>
        <w:tc>
          <w:tcPr>
            <w:tcW w:w="2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2.01.</w:t>
            </w:r>
          </w:p>
        </w:tc>
        <w:tc>
          <w:tcPr>
            <w:tcW w:w="6520" w:type="dxa"/>
            <w:vAlign w:val="bottom"/>
          </w:tcPr>
          <w:p>
            <w:pPr>
              <w:ind w:left="40"/>
              <w:spacing w:after="0"/>
              <w:rPr>
                <w:sz w:val="20"/>
                <w:szCs w:val="20"/>
                <w:color w:val="auto"/>
              </w:rPr>
            </w:pPr>
            <w:r>
              <w:rPr>
                <w:rFonts w:ascii="Arial" w:cs="Arial" w:eastAsia="Arial" w:hAnsi="Arial"/>
                <w:sz w:val="18"/>
                <w:szCs w:val="18"/>
                <w:color w:val="auto"/>
              </w:rPr>
              <w:t>The Commitments</w:t>
            </w:r>
          </w:p>
        </w:tc>
        <w:tc>
          <w:tcPr>
            <w:tcW w:w="2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2.02.</w:t>
            </w:r>
          </w:p>
        </w:tc>
        <w:tc>
          <w:tcPr>
            <w:tcW w:w="6520" w:type="dxa"/>
            <w:vAlign w:val="bottom"/>
          </w:tcPr>
          <w:p>
            <w:pPr>
              <w:ind w:left="40"/>
              <w:spacing w:after="0"/>
              <w:rPr>
                <w:sz w:val="20"/>
                <w:szCs w:val="20"/>
                <w:color w:val="auto"/>
              </w:rPr>
            </w:pPr>
            <w:r>
              <w:rPr>
                <w:rFonts w:ascii="Arial" w:cs="Arial" w:eastAsia="Arial" w:hAnsi="Arial"/>
                <w:sz w:val="18"/>
                <w:szCs w:val="18"/>
                <w:color w:val="auto"/>
              </w:rPr>
              <w:t>Loans and Borrowings</w:t>
            </w:r>
          </w:p>
        </w:tc>
        <w:tc>
          <w:tcPr>
            <w:tcW w:w="2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2.03.</w:t>
            </w:r>
          </w:p>
        </w:tc>
        <w:tc>
          <w:tcPr>
            <w:tcW w:w="6520" w:type="dxa"/>
            <w:vAlign w:val="bottom"/>
          </w:tcPr>
          <w:p>
            <w:pPr>
              <w:ind w:left="40"/>
              <w:spacing w:after="0"/>
              <w:rPr>
                <w:sz w:val="20"/>
                <w:szCs w:val="20"/>
                <w:color w:val="auto"/>
              </w:rPr>
            </w:pPr>
            <w:r>
              <w:rPr>
                <w:rFonts w:ascii="Arial" w:cs="Arial" w:eastAsia="Arial" w:hAnsi="Arial"/>
                <w:sz w:val="18"/>
                <w:szCs w:val="18"/>
                <w:color w:val="auto"/>
              </w:rPr>
              <w:t>Requests for Syndicated Borrowings</w:t>
            </w:r>
          </w:p>
        </w:tc>
        <w:tc>
          <w:tcPr>
            <w:tcW w:w="2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2.04.</w:t>
            </w:r>
          </w:p>
        </w:tc>
        <w:tc>
          <w:tcPr>
            <w:tcW w:w="6520" w:type="dxa"/>
            <w:vAlign w:val="bottom"/>
          </w:tcPr>
          <w:p>
            <w:pPr>
              <w:ind w:left="40"/>
              <w:spacing w:after="0"/>
              <w:rPr>
                <w:sz w:val="20"/>
                <w:szCs w:val="20"/>
                <w:color w:val="auto"/>
              </w:rPr>
            </w:pPr>
            <w:r>
              <w:rPr>
                <w:rFonts w:ascii="Arial" w:cs="Arial" w:eastAsia="Arial" w:hAnsi="Arial"/>
                <w:sz w:val="18"/>
                <w:szCs w:val="18"/>
                <w:color w:val="auto"/>
              </w:rPr>
              <w:t>Swingline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2.05.</w:t>
            </w:r>
          </w:p>
        </w:tc>
        <w:tc>
          <w:tcPr>
            <w:tcW w:w="6520" w:type="dxa"/>
            <w:vAlign w:val="bottom"/>
          </w:tcPr>
          <w:p>
            <w:pPr>
              <w:ind w:left="40"/>
              <w:spacing w:after="0"/>
              <w:rPr>
                <w:sz w:val="20"/>
                <w:szCs w:val="20"/>
                <w:color w:val="auto"/>
              </w:rPr>
            </w:pPr>
            <w:r>
              <w:rPr>
                <w:rFonts w:ascii="Arial" w:cs="Arial" w:eastAsia="Arial" w:hAnsi="Arial"/>
                <w:sz w:val="18"/>
                <w:szCs w:val="18"/>
                <w:color w:val="auto"/>
              </w:rPr>
              <w:t>Letters of Credit</w:t>
            </w:r>
          </w:p>
        </w:tc>
        <w:tc>
          <w:tcPr>
            <w:tcW w:w="2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2.06.</w:t>
            </w:r>
          </w:p>
        </w:tc>
        <w:tc>
          <w:tcPr>
            <w:tcW w:w="6520" w:type="dxa"/>
            <w:vAlign w:val="bottom"/>
          </w:tcPr>
          <w:p>
            <w:pPr>
              <w:ind w:left="40"/>
              <w:spacing w:after="0"/>
              <w:rPr>
                <w:sz w:val="20"/>
                <w:szCs w:val="20"/>
                <w:color w:val="auto"/>
              </w:rPr>
            </w:pPr>
            <w:r>
              <w:rPr>
                <w:rFonts w:ascii="Arial" w:cs="Arial" w:eastAsia="Arial" w:hAnsi="Arial"/>
                <w:sz w:val="18"/>
                <w:szCs w:val="18"/>
                <w:color w:val="auto"/>
              </w:rPr>
              <w:t>Funding of Borrowings</w:t>
            </w:r>
          </w:p>
        </w:tc>
        <w:tc>
          <w:tcPr>
            <w:tcW w:w="2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2.07.</w:t>
            </w:r>
          </w:p>
        </w:tc>
        <w:tc>
          <w:tcPr>
            <w:tcW w:w="6520" w:type="dxa"/>
            <w:vAlign w:val="bottom"/>
          </w:tcPr>
          <w:p>
            <w:pPr>
              <w:ind w:left="40"/>
              <w:spacing w:after="0"/>
              <w:rPr>
                <w:sz w:val="20"/>
                <w:szCs w:val="20"/>
                <w:color w:val="auto"/>
              </w:rPr>
            </w:pPr>
            <w:r>
              <w:rPr>
                <w:rFonts w:ascii="Arial" w:cs="Arial" w:eastAsia="Arial" w:hAnsi="Arial"/>
                <w:sz w:val="18"/>
                <w:szCs w:val="18"/>
                <w:color w:val="auto"/>
              </w:rPr>
              <w:t>Interest Elections</w:t>
            </w:r>
          </w:p>
        </w:tc>
        <w:tc>
          <w:tcPr>
            <w:tcW w:w="2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2.08.</w:t>
            </w:r>
          </w:p>
        </w:tc>
        <w:tc>
          <w:tcPr>
            <w:tcW w:w="6520" w:type="dxa"/>
            <w:vAlign w:val="bottom"/>
          </w:tcPr>
          <w:p>
            <w:pPr>
              <w:ind w:left="40"/>
              <w:spacing w:after="0"/>
              <w:rPr>
                <w:sz w:val="20"/>
                <w:szCs w:val="20"/>
                <w:color w:val="auto"/>
              </w:rPr>
            </w:pPr>
            <w:r>
              <w:rPr>
                <w:rFonts w:ascii="Arial" w:cs="Arial" w:eastAsia="Arial" w:hAnsi="Arial"/>
                <w:sz w:val="18"/>
                <w:szCs w:val="18"/>
                <w:color w:val="auto"/>
              </w:rPr>
              <w:t>Termination, Reduction or Increase of the Commitments</w:t>
            </w:r>
          </w:p>
        </w:tc>
        <w:tc>
          <w:tcPr>
            <w:tcW w:w="2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2.09.</w:t>
            </w:r>
          </w:p>
        </w:tc>
        <w:tc>
          <w:tcPr>
            <w:tcW w:w="6520" w:type="dxa"/>
            <w:vAlign w:val="bottom"/>
          </w:tcPr>
          <w:p>
            <w:pPr>
              <w:ind w:left="40"/>
              <w:spacing w:after="0"/>
              <w:rPr>
                <w:sz w:val="20"/>
                <w:szCs w:val="20"/>
                <w:color w:val="auto"/>
              </w:rPr>
            </w:pPr>
            <w:r>
              <w:rPr>
                <w:rFonts w:ascii="Arial" w:cs="Arial" w:eastAsia="Arial" w:hAnsi="Arial"/>
                <w:sz w:val="18"/>
                <w:szCs w:val="18"/>
                <w:color w:val="auto"/>
              </w:rPr>
              <w:t>Repayment of Loans; Evidence of Debt</w:t>
            </w:r>
          </w:p>
        </w:tc>
        <w:tc>
          <w:tcPr>
            <w:tcW w:w="2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2.10.</w:t>
            </w:r>
          </w:p>
        </w:tc>
        <w:tc>
          <w:tcPr>
            <w:tcW w:w="6520" w:type="dxa"/>
            <w:vAlign w:val="bottom"/>
          </w:tcPr>
          <w:p>
            <w:pPr>
              <w:ind w:left="40"/>
              <w:spacing w:after="0"/>
              <w:rPr>
                <w:sz w:val="20"/>
                <w:szCs w:val="20"/>
                <w:color w:val="auto"/>
              </w:rPr>
            </w:pPr>
            <w:r>
              <w:rPr>
                <w:rFonts w:ascii="Arial" w:cs="Arial" w:eastAsia="Arial" w:hAnsi="Arial"/>
                <w:sz w:val="18"/>
                <w:szCs w:val="18"/>
                <w:color w:val="auto"/>
              </w:rPr>
              <w:t>Prepayment of Loans</w:t>
            </w:r>
          </w:p>
        </w:tc>
        <w:tc>
          <w:tcPr>
            <w:tcW w:w="2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2.11.</w:t>
            </w:r>
          </w:p>
        </w:tc>
        <w:tc>
          <w:tcPr>
            <w:tcW w:w="6520" w:type="dxa"/>
            <w:vAlign w:val="bottom"/>
          </w:tcPr>
          <w:p>
            <w:pPr>
              <w:ind w:left="40"/>
              <w:spacing w:after="0"/>
              <w:rPr>
                <w:sz w:val="20"/>
                <w:szCs w:val="20"/>
                <w:color w:val="auto"/>
              </w:rPr>
            </w:pPr>
            <w:r>
              <w:rPr>
                <w:rFonts w:ascii="Arial" w:cs="Arial" w:eastAsia="Arial" w:hAnsi="Arial"/>
                <w:sz w:val="18"/>
                <w:szCs w:val="18"/>
                <w:color w:val="auto"/>
              </w:rPr>
              <w:t>Fees</w:t>
            </w:r>
          </w:p>
        </w:tc>
        <w:tc>
          <w:tcPr>
            <w:tcW w:w="2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2.12.</w:t>
            </w:r>
          </w:p>
        </w:tc>
        <w:tc>
          <w:tcPr>
            <w:tcW w:w="6520" w:type="dxa"/>
            <w:vAlign w:val="bottom"/>
          </w:tcPr>
          <w:p>
            <w:pPr>
              <w:ind w:left="40"/>
              <w:spacing w:after="0"/>
              <w:rPr>
                <w:sz w:val="20"/>
                <w:szCs w:val="20"/>
                <w:color w:val="auto"/>
              </w:rPr>
            </w:pPr>
            <w:r>
              <w:rPr>
                <w:rFonts w:ascii="Arial" w:cs="Arial" w:eastAsia="Arial" w:hAnsi="Arial"/>
                <w:sz w:val="18"/>
                <w:szCs w:val="18"/>
                <w:color w:val="auto"/>
              </w:rPr>
              <w:t>Interest</w:t>
            </w:r>
          </w:p>
        </w:tc>
        <w:tc>
          <w:tcPr>
            <w:tcW w:w="24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2.13.</w:t>
            </w:r>
          </w:p>
        </w:tc>
        <w:tc>
          <w:tcPr>
            <w:tcW w:w="6520" w:type="dxa"/>
            <w:vAlign w:val="bottom"/>
          </w:tcPr>
          <w:p>
            <w:pPr>
              <w:ind w:left="40"/>
              <w:spacing w:after="0"/>
              <w:rPr>
                <w:sz w:val="20"/>
                <w:szCs w:val="20"/>
                <w:color w:val="auto"/>
              </w:rPr>
            </w:pPr>
            <w:r>
              <w:rPr>
                <w:rFonts w:ascii="Arial" w:cs="Arial" w:eastAsia="Arial" w:hAnsi="Arial"/>
                <w:sz w:val="18"/>
                <w:szCs w:val="18"/>
                <w:color w:val="auto"/>
              </w:rPr>
              <w:t>Alternate Rate of Interest</w:t>
            </w:r>
          </w:p>
        </w:tc>
        <w:tc>
          <w:tcPr>
            <w:tcW w:w="24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2.14.</w:t>
            </w:r>
          </w:p>
        </w:tc>
        <w:tc>
          <w:tcPr>
            <w:tcW w:w="6520" w:type="dxa"/>
            <w:vAlign w:val="bottom"/>
          </w:tcPr>
          <w:p>
            <w:pPr>
              <w:ind w:left="40"/>
              <w:spacing w:after="0"/>
              <w:rPr>
                <w:sz w:val="20"/>
                <w:szCs w:val="20"/>
                <w:color w:val="auto"/>
              </w:rPr>
            </w:pPr>
            <w:r>
              <w:rPr>
                <w:rFonts w:ascii="Arial" w:cs="Arial" w:eastAsia="Arial" w:hAnsi="Arial"/>
                <w:sz w:val="18"/>
                <w:szCs w:val="18"/>
                <w:color w:val="auto"/>
              </w:rPr>
              <w:t>Increased Costs</w:t>
            </w:r>
          </w:p>
        </w:tc>
        <w:tc>
          <w:tcPr>
            <w:tcW w:w="24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2.15.</w:t>
            </w:r>
          </w:p>
        </w:tc>
        <w:tc>
          <w:tcPr>
            <w:tcW w:w="6520" w:type="dxa"/>
            <w:vAlign w:val="bottom"/>
          </w:tcPr>
          <w:p>
            <w:pPr>
              <w:ind w:left="40"/>
              <w:spacing w:after="0"/>
              <w:rPr>
                <w:sz w:val="20"/>
                <w:szCs w:val="20"/>
                <w:color w:val="auto"/>
              </w:rPr>
            </w:pPr>
            <w:r>
              <w:rPr>
                <w:rFonts w:ascii="Arial" w:cs="Arial" w:eastAsia="Arial" w:hAnsi="Arial"/>
                <w:sz w:val="18"/>
                <w:szCs w:val="18"/>
                <w:color w:val="auto"/>
              </w:rPr>
              <w:t>Break Funding Payments</w:t>
            </w:r>
          </w:p>
        </w:tc>
        <w:tc>
          <w:tcPr>
            <w:tcW w:w="2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2.16.</w:t>
            </w:r>
          </w:p>
        </w:tc>
        <w:tc>
          <w:tcPr>
            <w:tcW w:w="6520" w:type="dxa"/>
            <w:vAlign w:val="bottom"/>
          </w:tcPr>
          <w:p>
            <w:pPr>
              <w:ind w:left="40"/>
              <w:spacing w:after="0"/>
              <w:rPr>
                <w:sz w:val="20"/>
                <w:szCs w:val="20"/>
                <w:color w:val="auto"/>
              </w:rPr>
            </w:pPr>
            <w:r>
              <w:rPr>
                <w:rFonts w:ascii="Arial" w:cs="Arial" w:eastAsia="Arial" w:hAnsi="Arial"/>
                <w:sz w:val="18"/>
                <w:szCs w:val="18"/>
                <w:color w:val="auto"/>
              </w:rPr>
              <w:t>Taxes</w:t>
            </w:r>
          </w:p>
        </w:tc>
        <w:tc>
          <w:tcPr>
            <w:tcW w:w="2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2.17.</w:t>
            </w:r>
          </w:p>
        </w:tc>
        <w:tc>
          <w:tcPr>
            <w:tcW w:w="6520" w:type="dxa"/>
            <w:vAlign w:val="bottom"/>
          </w:tcPr>
          <w:p>
            <w:pPr>
              <w:ind w:left="40"/>
              <w:spacing w:after="0"/>
              <w:rPr>
                <w:sz w:val="20"/>
                <w:szCs w:val="20"/>
                <w:color w:val="auto"/>
              </w:rPr>
            </w:pPr>
            <w:r>
              <w:rPr>
                <w:rFonts w:ascii="Arial" w:cs="Arial" w:eastAsia="Arial" w:hAnsi="Arial"/>
                <w:sz w:val="18"/>
                <w:szCs w:val="18"/>
                <w:color w:val="auto"/>
              </w:rPr>
              <w:t>Payments Generally; Pro Rata Treatment: Sharing of Set-offs</w:t>
            </w:r>
          </w:p>
        </w:tc>
        <w:tc>
          <w:tcPr>
            <w:tcW w:w="24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2.18.</w:t>
            </w:r>
          </w:p>
        </w:tc>
        <w:tc>
          <w:tcPr>
            <w:tcW w:w="6520" w:type="dxa"/>
            <w:vAlign w:val="bottom"/>
          </w:tcPr>
          <w:p>
            <w:pPr>
              <w:ind w:left="40"/>
              <w:spacing w:after="0"/>
              <w:rPr>
                <w:sz w:val="20"/>
                <w:szCs w:val="20"/>
                <w:color w:val="auto"/>
              </w:rPr>
            </w:pPr>
            <w:r>
              <w:rPr>
                <w:rFonts w:ascii="Arial" w:cs="Arial" w:eastAsia="Arial" w:hAnsi="Arial"/>
                <w:sz w:val="18"/>
                <w:szCs w:val="18"/>
                <w:color w:val="auto"/>
              </w:rPr>
              <w:t>Mitigation Obligations; Replacement of Lenders</w:t>
            </w:r>
          </w:p>
        </w:tc>
        <w:tc>
          <w:tcPr>
            <w:tcW w:w="2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2.19.</w:t>
            </w:r>
          </w:p>
        </w:tc>
        <w:tc>
          <w:tcPr>
            <w:tcW w:w="6520" w:type="dxa"/>
            <w:vAlign w:val="bottom"/>
          </w:tcPr>
          <w:p>
            <w:pPr>
              <w:ind w:left="40"/>
              <w:spacing w:after="0"/>
              <w:rPr>
                <w:sz w:val="20"/>
                <w:szCs w:val="20"/>
                <w:color w:val="auto"/>
              </w:rPr>
            </w:pPr>
            <w:r>
              <w:rPr>
                <w:rFonts w:ascii="Arial" w:cs="Arial" w:eastAsia="Arial" w:hAnsi="Arial"/>
                <w:sz w:val="18"/>
                <w:szCs w:val="18"/>
                <w:color w:val="auto"/>
              </w:rPr>
              <w:t>Defaulting Lenders</w:t>
            </w:r>
          </w:p>
        </w:tc>
        <w:tc>
          <w:tcPr>
            <w:tcW w:w="2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700" w:type="dxa"/>
            <w:vAlign w:val="bottom"/>
            <w:gridSpan w:val="3"/>
          </w:tcPr>
          <w:p>
            <w:pPr>
              <w:spacing w:after="0"/>
              <w:rPr>
                <w:sz w:val="20"/>
                <w:szCs w:val="20"/>
                <w:color w:val="auto"/>
              </w:rPr>
            </w:pPr>
            <w:r>
              <w:rPr>
                <w:rFonts w:ascii="Arial" w:cs="Arial" w:eastAsia="Arial" w:hAnsi="Arial"/>
                <w:sz w:val="18"/>
                <w:szCs w:val="18"/>
                <w:color w:val="auto"/>
              </w:rPr>
              <w:t>ARTICLE III   REPRESENTATIONS AND WARRANTIES</w:t>
            </w:r>
          </w:p>
        </w:tc>
        <w:tc>
          <w:tcPr>
            <w:tcW w:w="2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3.01.</w:t>
            </w:r>
          </w:p>
        </w:tc>
        <w:tc>
          <w:tcPr>
            <w:tcW w:w="6520" w:type="dxa"/>
            <w:vAlign w:val="bottom"/>
          </w:tcPr>
          <w:p>
            <w:pPr>
              <w:ind w:left="40"/>
              <w:spacing w:after="0"/>
              <w:rPr>
                <w:sz w:val="20"/>
                <w:szCs w:val="20"/>
                <w:color w:val="auto"/>
              </w:rPr>
            </w:pPr>
            <w:r>
              <w:rPr>
                <w:rFonts w:ascii="Arial" w:cs="Arial" w:eastAsia="Arial" w:hAnsi="Arial"/>
                <w:sz w:val="18"/>
                <w:szCs w:val="18"/>
                <w:color w:val="auto"/>
              </w:rPr>
              <w:t>Organization; Powers</w:t>
            </w:r>
          </w:p>
        </w:tc>
        <w:tc>
          <w:tcPr>
            <w:tcW w:w="2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2180" w:type="dxa"/>
            <w:vAlign w:val="bottom"/>
            <w:gridSpan w:val="2"/>
          </w:tcPr>
          <w:p>
            <w:pPr>
              <w:ind w:left="440"/>
              <w:spacing w:after="0"/>
              <w:rPr>
                <w:sz w:val="20"/>
                <w:szCs w:val="20"/>
                <w:color w:val="auto"/>
              </w:rPr>
            </w:pPr>
            <w:r>
              <w:rPr>
                <w:rFonts w:ascii="Arial" w:cs="Arial" w:eastAsia="Arial" w:hAnsi="Arial"/>
                <w:sz w:val="18"/>
                <w:szCs w:val="18"/>
                <w:color w:val="auto"/>
              </w:rPr>
              <w:t>SECTION 3.02.</w:t>
            </w:r>
          </w:p>
        </w:tc>
        <w:tc>
          <w:tcPr>
            <w:tcW w:w="6520" w:type="dxa"/>
            <w:vAlign w:val="bottom"/>
          </w:tcPr>
          <w:p>
            <w:pPr>
              <w:ind w:left="40"/>
              <w:spacing w:after="0"/>
              <w:rPr>
                <w:sz w:val="20"/>
                <w:szCs w:val="20"/>
                <w:color w:val="auto"/>
              </w:rPr>
            </w:pPr>
            <w:r>
              <w:rPr>
                <w:rFonts w:ascii="Arial" w:cs="Arial" w:eastAsia="Arial" w:hAnsi="Arial"/>
                <w:sz w:val="18"/>
                <w:szCs w:val="18"/>
                <w:color w:val="auto"/>
              </w:rPr>
              <w:t>Authorization; Enforceability</w:t>
            </w:r>
          </w:p>
        </w:tc>
        <w:tc>
          <w:tcPr>
            <w:tcW w:w="2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65"/>
        </w:trPr>
        <w:tc>
          <w:tcPr>
            <w:tcW w:w="2180" w:type="dxa"/>
            <w:vAlign w:val="bottom"/>
            <w:gridSpan w:val="2"/>
          </w:tcPr>
          <w:p>
            <w:pPr>
              <w:spacing w:after="0"/>
              <w:rPr>
                <w:sz w:val="20"/>
                <w:szCs w:val="20"/>
                <w:color w:val="auto"/>
              </w:rPr>
            </w:pPr>
            <w:r>
              <w:rPr>
                <w:rFonts w:ascii="Arial" w:cs="Arial" w:eastAsia="Arial" w:hAnsi="Arial"/>
                <w:sz w:val="18"/>
                <w:szCs w:val="18"/>
                <w:color w:val="auto"/>
              </w:rPr>
              <w:t>701007202 11262547</w:t>
            </w:r>
          </w:p>
        </w:tc>
        <w:tc>
          <w:tcPr>
            <w:tcW w:w="6520" w:type="dxa"/>
            <w:vAlign w:val="bottom"/>
          </w:tcPr>
          <w:p>
            <w:pPr>
              <w:ind w:left="3520"/>
              <w:spacing w:after="0"/>
              <w:rPr>
                <w:sz w:val="20"/>
                <w:szCs w:val="20"/>
                <w:color w:val="auto"/>
              </w:rPr>
            </w:pPr>
            <w:r>
              <w:rPr>
                <w:rFonts w:ascii="Arial" w:cs="Arial" w:eastAsia="Arial" w:hAnsi="Arial"/>
                <w:sz w:val="18"/>
                <w:szCs w:val="18"/>
                <w:color w:val="auto"/>
              </w:rPr>
              <w:t>-i-</w:t>
            </w:r>
          </w:p>
        </w:tc>
        <w:tc>
          <w:tcPr>
            <w:tcW w:w="2440" w:type="dxa"/>
            <w:vAlign w:val="bottom"/>
          </w:tcPr>
          <w:p>
            <w:pPr>
              <w:spacing w:after="0"/>
              <w:rPr>
                <w:sz w:val="24"/>
                <w:szCs w:val="24"/>
                <w:color w:val="auto"/>
              </w:rPr>
            </w:pPr>
          </w:p>
        </w:tc>
      </w:tr>
    </w:tbl>
    <w:p>
      <w:pPr>
        <w:sectPr>
          <w:pgSz w:w="11900" w:h="16838" w:orient="portrait"/>
          <w:cols w:equalWidth="0" w:num="1">
            <w:col w:w="11140"/>
          </w:cols>
          <w:pgMar w:left="320" w:top="274" w:right="439" w:bottom="1440" w:gutter="0" w:footer="0" w:header="0"/>
        </w:sectPr>
      </w:pPr>
    </w:p>
    <w:bookmarkStart w:id="43" w:name="page44"/>
    <w:bookmarkEnd w:id="4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32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309"/>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3.03.</w:t>
            </w:r>
          </w:p>
        </w:tc>
        <w:tc>
          <w:tcPr>
            <w:tcW w:w="6920" w:type="dxa"/>
            <w:vAlign w:val="bottom"/>
          </w:tcPr>
          <w:p>
            <w:pPr>
              <w:ind w:left="320"/>
              <w:spacing w:after="0"/>
              <w:rPr>
                <w:sz w:val="20"/>
                <w:szCs w:val="20"/>
                <w:color w:val="auto"/>
              </w:rPr>
            </w:pPr>
            <w:r>
              <w:rPr>
                <w:rFonts w:ascii="Arial" w:cs="Arial" w:eastAsia="Arial" w:hAnsi="Arial"/>
                <w:sz w:val="18"/>
                <w:szCs w:val="18"/>
                <w:color w:val="auto"/>
              </w:rPr>
              <w:t>Governmental Approvals; No Conflicts</w:t>
            </w:r>
          </w:p>
        </w:tc>
        <w:tc>
          <w:tcPr>
            <w:tcW w:w="2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3.04.</w:t>
            </w:r>
          </w:p>
        </w:tc>
        <w:tc>
          <w:tcPr>
            <w:tcW w:w="6920" w:type="dxa"/>
            <w:vAlign w:val="bottom"/>
          </w:tcPr>
          <w:p>
            <w:pPr>
              <w:ind w:left="320"/>
              <w:spacing w:after="0"/>
              <w:rPr>
                <w:sz w:val="20"/>
                <w:szCs w:val="20"/>
                <w:color w:val="auto"/>
              </w:rPr>
            </w:pPr>
            <w:r>
              <w:rPr>
                <w:rFonts w:ascii="Arial" w:cs="Arial" w:eastAsia="Arial" w:hAnsi="Arial"/>
                <w:sz w:val="18"/>
                <w:szCs w:val="18"/>
                <w:color w:val="auto"/>
              </w:rPr>
              <w:t>Financial Condition; No Material Adverse Change</w:t>
            </w:r>
          </w:p>
        </w:tc>
        <w:tc>
          <w:tcPr>
            <w:tcW w:w="2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3.05.</w:t>
            </w:r>
          </w:p>
        </w:tc>
        <w:tc>
          <w:tcPr>
            <w:tcW w:w="6920" w:type="dxa"/>
            <w:vAlign w:val="bottom"/>
          </w:tcPr>
          <w:p>
            <w:pPr>
              <w:ind w:left="320"/>
              <w:spacing w:after="0"/>
              <w:rPr>
                <w:sz w:val="20"/>
                <w:szCs w:val="20"/>
                <w:color w:val="auto"/>
              </w:rPr>
            </w:pPr>
            <w:r>
              <w:rPr>
                <w:rFonts w:ascii="Arial" w:cs="Arial" w:eastAsia="Arial" w:hAnsi="Arial"/>
                <w:sz w:val="18"/>
                <w:szCs w:val="18"/>
                <w:color w:val="auto"/>
              </w:rPr>
              <w:t>Litigation</w:t>
            </w:r>
          </w:p>
        </w:tc>
        <w:tc>
          <w:tcPr>
            <w:tcW w:w="2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3.06.</w:t>
            </w:r>
          </w:p>
        </w:tc>
        <w:tc>
          <w:tcPr>
            <w:tcW w:w="6920" w:type="dxa"/>
            <w:vAlign w:val="bottom"/>
          </w:tcPr>
          <w:p>
            <w:pPr>
              <w:ind w:left="320"/>
              <w:spacing w:after="0"/>
              <w:rPr>
                <w:sz w:val="20"/>
                <w:szCs w:val="20"/>
                <w:color w:val="auto"/>
              </w:rPr>
            </w:pPr>
            <w:r>
              <w:rPr>
                <w:rFonts w:ascii="Arial" w:cs="Arial" w:eastAsia="Arial" w:hAnsi="Arial"/>
                <w:sz w:val="18"/>
                <w:szCs w:val="18"/>
                <w:color w:val="auto"/>
              </w:rPr>
              <w:t>Compliance with Laws and Agreements</w:t>
            </w:r>
          </w:p>
        </w:tc>
        <w:tc>
          <w:tcPr>
            <w:tcW w:w="2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3.07.</w:t>
            </w:r>
          </w:p>
        </w:tc>
        <w:tc>
          <w:tcPr>
            <w:tcW w:w="6920" w:type="dxa"/>
            <w:vAlign w:val="bottom"/>
          </w:tcPr>
          <w:p>
            <w:pPr>
              <w:ind w:left="320"/>
              <w:spacing w:after="0"/>
              <w:rPr>
                <w:sz w:val="20"/>
                <w:szCs w:val="20"/>
                <w:color w:val="auto"/>
              </w:rPr>
            </w:pPr>
            <w:r>
              <w:rPr>
                <w:rFonts w:ascii="Arial" w:cs="Arial" w:eastAsia="Arial" w:hAnsi="Arial"/>
                <w:sz w:val="18"/>
                <w:szCs w:val="18"/>
                <w:color w:val="auto"/>
              </w:rPr>
              <w:t>Taxes</w:t>
            </w:r>
          </w:p>
        </w:tc>
        <w:tc>
          <w:tcPr>
            <w:tcW w:w="2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3.08.</w:t>
            </w:r>
          </w:p>
        </w:tc>
        <w:tc>
          <w:tcPr>
            <w:tcW w:w="6920" w:type="dxa"/>
            <w:vAlign w:val="bottom"/>
          </w:tcPr>
          <w:p>
            <w:pPr>
              <w:ind w:left="320"/>
              <w:spacing w:after="0"/>
              <w:rPr>
                <w:sz w:val="20"/>
                <w:szCs w:val="20"/>
                <w:color w:val="auto"/>
              </w:rPr>
            </w:pPr>
            <w:r>
              <w:rPr>
                <w:rFonts w:ascii="Arial" w:cs="Arial" w:eastAsia="Arial" w:hAnsi="Arial"/>
                <w:sz w:val="18"/>
                <w:szCs w:val="18"/>
                <w:color w:val="auto"/>
              </w:rPr>
              <w:t>ERISA</w:t>
            </w:r>
          </w:p>
        </w:tc>
        <w:tc>
          <w:tcPr>
            <w:tcW w:w="2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3.09.</w:t>
            </w:r>
          </w:p>
        </w:tc>
        <w:tc>
          <w:tcPr>
            <w:tcW w:w="6920" w:type="dxa"/>
            <w:vAlign w:val="bottom"/>
          </w:tcPr>
          <w:p>
            <w:pPr>
              <w:ind w:left="320"/>
              <w:spacing w:after="0"/>
              <w:rPr>
                <w:sz w:val="20"/>
                <w:szCs w:val="20"/>
                <w:color w:val="auto"/>
              </w:rPr>
            </w:pPr>
            <w:r>
              <w:rPr>
                <w:rFonts w:ascii="Arial" w:cs="Arial" w:eastAsia="Arial" w:hAnsi="Arial"/>
                <w:sz w:val="18"/>
                <w:szCs w:val="18"/>
                <w:color w:val="auto"/>
              </w:rPr>
              <w:t>Disclosure</w:t>
            </w:r>
          </w:p>
        </w:tc>
        <w:tc>
          <w:tcPr>
            <w:tcW w:w="2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3.10.</w:t>
            </w:r>
          </w:p>
        </w:tc>
        <w:tc>
          <w:tcPr>
            <w:tcW w:w="6920" w:type="dxa"/>
            <w:vAlign w:val="bottom"/>
          </w:tcPr>
          <w:p>
            <w:pPr>
              <w:ind w:left="320"/>
              <w:spacing w:after="0"/>
              <w:rPr>
                <w:sz w:val="20"/>
                <w:szCs w:val="20"/>
                <w:color w:val="auto"/>
              </w:rPr>
            </w:pPr>
            <w:r>
              <w:rPr>
                <w:rFonts w:ascii="Arial" w:cs="Arial" w:eastAsia="Arial" w:hAnsi="Arial"/>
                <w:sz w:val="18"/>
                <w:szCs w:val="18"/>
                <w:color w:val="auto"/>
              </w:rPr>
              <w:t>Investment Company Act; Margin Regulations</w:t>
            </w:r>
          </w:p>
        </w:tc>
        <w:tc>
          <w:tcPr>
            <w:tcW w:w="2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3.11.</w:t>
            </w:r>
          </w:p>
        </w:tc>
        <w:tc>
          <w:tcPr>
            <w:tcW w:w="6920" w:type="dxa"/>
            <w:vAlign w:val="bottom"/>
          </w:tcPr>
          <w:p>
            <w:pPr>
              <w:ind w:left="320"/>
              <w:spacing w:after="0"/>
              <w:rPr>
                <w:sz w:val="20"/>
                <w:szCs w:val="20"/>
                <w:color w:val="auto"/>
              </w:rPr>
            </w:pPr>
            <w:r>
              <w:rPr>
                <w:rFonts w:ascii="Arial" w:cs="Arial" w:eastAsia="Arial" w:hAnsi="Arial"/>
                <w:sz w:val="18"/>
                <w:szCs w:val="18"/>
                <w:color w:val="auto"/>
              </w:rPr>
              <w:t>Material Agreements and Liens</w:t>
            </w:r>
          </w:p>
        </w:tc>
        <w:tc>
          <w:tcPr>
            <w:tcW w:w="2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3.12.</w:t>
            </w:r>
          </w:p>
        </w:tc>
        <w:tc>
          <w:tcPr>
            <w:tcW w:w="6920" w:type="dxa"/>
            <w:vAlign w:val="bottom"/>
          </w:tcPr>
          <w:p>
            <w:pPr>
              <w:ind w:left="320"/>
              <w:spacing w:after="0"/>
              <w:rPr>
                <w:sz w:val="20"/>
                <w:szCs w:val="20"/>
                <w:color w:val="auto"/>
              </w:rPr>
            </w:pPr>
            <w:r>
              <w:rPr>
                <w:rFonts w:ascii="Arial" w:cs="Arial" w:eastAsia="Arial" w:hAnsi="Arial"/>
                <w:sz w:val="18"/>
                <w:szCs w:val="18"/>
                <w:color w:val="auto"/>
              </w:rPr>
              <w:t>Subsidiaries and Investments</w:t>
            </w:r>
          </w:p>
        </w:tc>
        <w:tc>
          <w:tcPr>
            <w:tcW w:w="2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3.13.</w:t>
            </w:r>
          </w:p>
        </w:tc>
        <w:tc>
          <w:tcPr>
            <w:tcW w:w="6920" w:type="dxa"/>
            <w:vAlign w:val="bottom"/>
          </w:tcPr>
          <w:p>
            <w:pPr>
              <w:ind w:left="320"/>
              <w:spacing w:after="0"/>
              <w:rPr>
                <w:sz w:val="20"/>
                <w:szCs w:val="20"/>
                <w:color w:val="auto"/>
              </w:rPr>
            </w:pPr>
            <w:r>
              <w:rPr>
                <w:rFonts w:ascii="Arial" w:cs="Arial" w:eastAsia="Arial" w:hAnsi="Arial"/>
                <w:sz w:val="18"/>
                <w:szCs w:val="18"/>
                <w:color w:val="auto"/>
              </w:rPr>
              <w:t>Properties</w:t>
            </w:r>
          </w:p>
        </w:tc>
        <w:tc>
          <w:tcPr>
            <w:tcW w:w="2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3.14.</w:t>
            </w:r>
          </w:p>
        </w:tc>
        <w:tc>
          <w:tcPr>
            <w:tcW w:w="6920" w:type="dxa"/>
            <w:vAlign w:val="bottom"/>
          </w:tcPr>
          <w:p>
            <w:pPr>
              <w:ind w:left="320"/>
              <w:spacing w:after="0"/>
              <w:rPr>
                <w:sz w:val="20"/>
                <w:szCs w:val="20"/>
                <w:color w:val="auto"/>
              </w:rPr>
            </w:pPr>
            <w:r>
              <w:rPr>
                <w:rFonts w:ascii="Arial" w:cs="Arial" w:eastAsia="Arial" w:hAnsi="Arial"/>
                <w:sz w:val="18"/>
                <w:szCs w:val="18"/>
                <w:color w:val="auto"/>
              </w:rPr>
              <w:t>Affiliate Agreements</w:t>
            </w:r>
          </w:p>
        </w:tc>
        <w:tc>
          <w:tcPr>
            <w:tcW w:w="23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3.15.</w:t>
            </w:r>
          </w:p>
        </w:tc>
        <w:tc>
          <w:tcPr>
            <w:tcW w:w="6920" w:type="dxa"/>
            <w:vAlign w:val="bottom"/>
          </w:tcPr>
          <w:p>
            <w:pPr>
              <w:ind w:left="320"/>
              <w:spacing w:after="0"/>
              <w:rPr>
                <w:sz w:val="20"/>
                <w:szCs w:val="20"/>
                <w:color w:val="auto"/>
              </w:rPr>
            </w:pPr>
            <w:r>
              <w:rPr>
                <w:rFonts w:ascii="Arial" w:cs="Arial" w:eastAsia="Arial" w:hAnsi="Arial"/>
                <w:sz w:val="18"/>
                <w:szCs w:val="18"/>
                <w:color w:val="auto"/>
              </w:rPr>
              <w:t>OFAC</w:t>
            </w:r>
          </w:p>
        </w:tc>
        <w:tc>
          <w:tcPr>
            <w:tcW w:w="23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3.16.</w:t>
            </w:r>
          </w:p>
        </w:tc>
        <w:tc>
          <w:tcPr>
            <w:tcW w:w="6920" w:type="dxa"/>
            <w:vAlign w:val="bottom"/>
          </w:tcPr>
          <w:p>
            <w:pPr>
              <w:ind w:left="320"/>
              <w:spacing w:after="0"/>
              <w:rPr>
                <w:sz w:val="20"/>
                <w:szCs w:val="20"/>
                <w:color w:val="auto"/>
              </w:rPr>
            </w:pPr>
            <w:r>
              <w:rPr>
                <w:rFonts w:ascii="Arial" w:cs="Arial" w:eastAsia="Arial" w:hAnsi="Arial"/>
                <w:sz w:val="18"/>
                <w:szCs w:val="18"/>
                <w:color w:val="auto"/>
              </w:rPr>
              <w:t>Patriot Act</w:t>
            </w:r>
          </w:p>
        </w:tc>
        <w:tc>
          <w:tcPr>
            <w:tcW w:w="23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3.17.</w:t>
            </w:r>
          </w:p>
        </w:tc>
        <w:tc>
          <w:tcPr>
            <w:tcW w:w="6920" w:type="dxa"/>
            <w:vAlign w:val="bottom"/>
          </w:tcPr>
          <w:p>
            <w:pPr>
              <w:ind w:left="320"/>
              <w:spacing w:after="0"/>
              <w:rPr>
                <w:sz w:val="20"/>
                <w:szCs w:val="20"/>
                <w:color w:val="auto"/>
              </w:rPr>
            </w:pPr>
            <w:r>
              <w:rPr>
                <w:rFonts w:ascii="Arial" w:cs="Arial" w:eastAsia="Arial" w:hAnsi="Arial"/>
                <w:sz w:val="18"/>
                <w:szCs w:val="18"/>
                <w:color w:val="auto"/>
              </w:rPr>
              <w:t>Collateral Documents</w:t>
            </w:r>
          </w:p>
        </w:tc>
        <w:tc>
          <w:tcPr>
            <w:tcW w:w="23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ARTICLE IV</w:t>
            </w:r>
          </w:p>
        </w:tc>
        <w:tc>
          <w:tcPr>
            <w:tcW w:w="7780" w:type="dxa"/>
            <w:vAlign w:val="bottom"/>
            <w:gridSpan w:val="2"/>
          </w:tcPr>
          <w:p>
            <w:pPr>
              <w:ind w:left="140"/>
              <w:spacing w:after="0"/>
              <w:rPr>
                <w:sz w:val="20"/>
                <w:szCs w:val="20"/>
                <w:color w:val="auto"/>
              </w:rPr>
            </w:pPr>
            <w:r>
              <w:rPr>
                <w:rFonts w:ascii="Arial" w:cs="Arial" w:eastAsia="Arial" w:hAnsi="Arial"/>
                <w:sz w:val="18"/>
                <w:szCs w:val="18"/>
                <w:color w:val="auto"/>
              </w:rPr>
              <w:t>CONDITIONS</w:t>
            </w:r>
          </w:p>
        </w:tc>
        <w:tc>
          <w:tcPr>
            <w:tcW w:w="2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4.01.</w:t>
            </w:r>
          </w:p>
        </w:tc>
        <w:tc>
          <w:tcPr>
            <w:tcW w:w="6920" w:type="dxa"/>
            <w:vAlign w:val="bottom"/>
          </w:tcPr>
          <w:p>
            <w:pPr>
              <w:ind w:left="320"/>
              <w:spacing w:after="0"/>
              <w:rPr>
                <w:sz w:val="20"/>
                <w:szCs w:val="20"/>
                <w:color w:val="auto"/>
              </w:rPr>
            </w:pPr>
            <w:r>
              <w:rPr>
                <w:rFonts w:ascii="Arial" w:cs="Arial" w:eastAsia="Arial" w:hAnsi="Arial"/>
                <w:sz w:val="18"/>
                <w:szCs w:val="18"/>
                <w:color w:val="auto"/>
              </w:rPr>
              <w:t>Effective Date</w:t>
            </w:r>
          </w:p>
        </w:tc>
        <w:tc>
          <w:tcPr>
            <w:tcW w:w="2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4.02.</w:t>
            </w:r>
          </w:p>
        </w:tc>
        <w:tc>
          <w:tcPr>
            <w:tcW w:w="6920" w:type="dxa"/>
            <w:vAlign w:val="bottom"/>
          </w:tcPr>
          <w:p>
            <w:pPr>
              <w:ind w:left="320"/>
              <w:spacing w:after="0"/>
              <w:rPr>
                <w:sz w:val="20"/>
                <w:szCs w:val="20"/>
                <w:color w:val="auto"/>
              </w:rPr>
            </w:pPr>
            <w:r>
              <w:rPr>
                <w:rFonts w:ascii="Arial" w:cs="Arial" w:eastAsia="Arial" w:hAnsi="Arial"/>
                <w:sz w:val="18"/>
                <w:szCs w:val="18"/>
                <w:color w:val="auto"/>
              </w:rPr>
              <w:t>Each Credit Event</w:t>
            </w:r>
          </w:p>
        </w:tc>
        <w:tc>
          <w:tcPr>
            <w:tcW w:w="2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ARTICLE V</w:t>
            </w:r>
          </w:p>
        </w:tc>
        <w:tc>
          <w:tcPr>
            <w:tcW w:w="7780" w:type="dxa"/>
            <w:vAlign w:val="bottom"/>
            <w:gridSpan w:val="2"/>
          </w:tcPr>
          <w:p>
            <w:pPr>
              <w:ind w:left="80"/>
              <w:spacing w:after="0"/>
              <w:rPr>
                <w:sz w:val="20"/>
                <w:szCs w:val="20"/>
                <w:color w:val="auto"/>
              </w:rPr>
            </w:pPr>
            <w:r>
              <w:rPr>
                <w:rFonts w:ascii="Arial" w:cs="Arial" w:eastAsia="Arial" w:hAnsi="Arial"/>
                <w:sz w:val="18"/>
                <w:szCs w:val="18"/>
                <w:color w:val="auto"/>
              </w:rPr>
              <w:t>AFFIRMATIVE COVENANTS</w:t>
            </w:r>
          </w:p>
        </w:tc>
        <w:tc>
          <w:tcPr>
            <w:tcW w:w="2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5.01.</w:t>
            </w:r>
          </w:p>
        </w:tc>
        <w:tc>
          <w:tcPr>
            <w:tcW w:w="6920" w:type="dxa"/>
            <w:vAlign w:val="bottom"/>
          </w:tcPr>
          <w:p>
            <w:pPr>
              <w:ind w:left="320"/>
              <w:spacing w:after="0"/>
              <w:rPr>
                <w:sz w:val="20"/>
                <w:szCs w:val="20"/>
                <w:color w:val="auto"/>
              </w:rPr>
            </w:pPr>
            <w:r>
              <w:rPr>
                <w:rFonts w:ascii="Arial" w:cs="Arial" w:eastAsia="Arial" w:hAnsi="Arial"/>
                <w:sz w:val="18"/>
                <w:szCs w:val="18"/>
                <w:color w:val="auto"/>
              </w:rPr>
              <w:t>Financial Statements and Other Information</w:t>
            </w:r>
          </w:p>
        </w:tc>
        <w:tc>
          <w:tcPr>
            <w:tcW w:w="2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5.02.</w:t>
            </w:r>
          </w:p>
        </w:tc>
        <w:tc>
          <w:tcPr>
            <w:tcW w:w="6920" w:type="dxa"/>
            <w:vAlign w:val="bottom"/>
          </w:tcPr>
          <w:p>
            <w:pPr>
              <w:ind w:left="320"/>
              <w:spacing w:after="0"/>
              <w:rPr>
                <w:sz w:val="20"/>
                <w:szCs w:val="20"/>
                <w:color w:val="auto"/>
              </w:rPr>
            </w:pPr>
            <w:r>
              <w:rPr>
                <w:rFonts w:ascii="Arial" w:cs="Arial" w:eastAsia="Arial" w:hAnsi="Arial"/>
                <w:sz w:val="18"/>
                <w:szCs w:val="18"/>
                <w:color w:val="auto"/>
              </w:rPr>
              <w:t>Notices of Material Events</w:t>
            </w:r>
          </w:p>
        </w:tc>
        <w:tc>
          <w:tcPr>
            <w:tcW w:w="2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5.03.</w:t>
            </w:r>
          </w:p>
        </w:tc>
        <w:tc>
          <w:tcPr>
            <w:tcW w:w="6920" w:type="dxa"/>
            <w:vAlign w:val="bottom"/>
          </w:tcPr>
          <w:p>
            <w:pPr>
              <w:ind w:left="320"/>
              <w:spacing w:after="0"/>
              <w:rPr>
                <w:sz w:val="20"/>
                <w:szCs w:val="20"/>
                <w:color w:val="auto"/>
              </w:rPr>
            </w:pPr>
            <w:r>
              <w:rPr>
                <w:rFonts w:ascii="Arial" w:cs="Arial" w:eastAsia="Arial" w:hAnsi="Arial"/>
                <w:sz w:val="18"/>
                <w:szCs w:val="18"/>
                <w:color w:val="auto"/>
              </w:rPr>
              <w:t>Existence: Conduct of Business</w:t>
            </w:r>
          </w:p>
        </w:tc>
        <w:tc>
          <w:tcPr>
            <w:tcW w:w="2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5.04.</w:t>
            </w:r>
          </w:p>
        </w:tc>
        <w:tc>
          <w:tcPr>
            <w:tcW w:w="6920" w:type="dxa"/>
            <w:vAlign w:val="bottom"/>
          </w:tcPr>
          <w:p>
            <w:pPr>
              <w:ind w:left="320"/>
              <w:spacing w:after="0"/>
              <w:rPr>
                <w:sz w:val="20"/>
                <w:szCs w:val="20"/>
                <w:color w:val="auto"/>
              </w:rPr>
            </w:pPr>
            <w:r>
              <w:rPr>
                <w:rFonts w:ascii="Arial" w:cs="Arial" w:eastAsia="Arial" w:hAnsi="Arial"/>
                <w:sz w:val="18"/>
                <w:szCs w:val="18"/>
                <w:color w:val="auto"/>
              </w:rPr>
              <w:t>Payment of Obligations</w:t>
            </w:r>
          </w:p>
        </w:tc>
        <w:tc>
          <w:tcPr>
            <w:tcW w:w="2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5.05.</w:t>
            </w:r>
          </w:p>
        </w:tc>
        <w:tc>
          <w:tcPr>
            <w:tcW w:w="6920" w:type="dxa"/>
            <w:vAlign w:val="bottom"/>
          </w:tcPr>
          <w:p>
            <w:pPr>
              <w:ind w:left="320"/>
              <w:spacing w:after="0"/>
              <w:rPr>
                <w:sz w:val="20"/>
                <w:szCs w:val="20"/>
                <w:color w:val="auto"/>
              </w:rPr>
            </w:pPr>
            <w:r>
              <w:rPr>
                <w:rFonts w:ascii="Arial" w:cs="Arial" w:eastAsia="Arial" w:hAnsi="Arial"/>
                <w:sz w:val="18"/>
                <w:szCs w:val="18"/>
                <w:color w:val="auto"/>
              </w:rPr>
              <w:t>Maintenance of Properties; Insurance</w:t>
            </w:r>
          </w:p>
        </w:tc>
        <w:tc>
          <w:tcPr>
            <w:tcW w:w="2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5.06.</w:t>
            </w:r>
          </w:p>
        </w:tc>
        <w:tc>
          <w:tcPr>
            <w:tcW w:w="6920" w:type="dxa"/>
            <w:vAlign w:val="bottom"/>
          </w:tcPr>
          <w:p>
            <w:pPr>
              <w:ind w:left="320"/>
              <w:spacing w:after="0"/>
              <w:rPr>
                <w:sz w:val="20"/>
                <w:szCs w:val="20"/>
                <w:color w:val="auto"/>
              </w:rPr>
            </w:pPr>
            <w:r>
              <w:rPr>
                <w:rFonts w:ascii="Arial" w:cs="Arial" w:eastAsia="Arial" w:hAnsi="Arial"/>
                <w:sz w:val="18"/>
                <w:szCs w:val="18"/>
                <w:color w:val="auto"/>
              </w:rPr>
              <w:t>Books and Records; Inspection and Audit Rights</w:t>
            </w:r>
          </w:p>
        </w:tc>
        <w:tc>
          <w:tcPr>
            <w:tcW w:w="2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5.07.</w:t>
            </w:r>
          </w:p>
        </w:tc>
        <w:tc>
          <w:tcPr>
            <w:tcW w:w="6920" w:type="dxa"/>
            <w:vAlign w:val="bottom"/>
          </w:tcPr>
          <w:p>
            <w:pPr>
              <w:ind w:left="320"/>
              <w:spacing w:after="0"/>
              <w:rPr>
                <w:sz w:val="20"/>
                <w:szCs w:val="20"/>
                <w:color w:val="auto"/>
              </w:rPr>
            </w:pPr>
            <w:r>
              <w:rPr>
                <w:rFonts w:ascii="Arial" w:cs="Arial" w:eastAsia="Arial" w:hAnsi="Arial"/>
                <w:sz w:val="18"/>
                <w:szCs w:val="18"/>
                <w:color w:val="auto"/>
              </w:rPr>
              <w:t>Compliance with Laws</w:t>
            </w:r>
          </w:p>
        </w:tc>
        <w:tc>
          <w:tcPr>
            <w:tcW w:w="2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5.08.</w:t>
            </w:r>
          </w:p>
        </w:tc>
        <w:tc>
          <w:tcPr>
            <w:tcW w:w="6920" w:type="dxa"/>
            <w:vAlign w:val="bottom"/>
          </w:tcPr>
          <w:p>
            <w:pPr>
              <w:ind w:left="320"/>
              <w:spacing w:after="0"/>
              <w:rPr>
                <w:sz w:val="20"/>
                <w:szCs w:val="20"/>
                <w:color w:val="auto"/>
              </w:rPr>
            </w:pPr>
            <w:r>
              <w:rPr>
                <w:rFonts w:ascii="Arial" w:cs="Arial" w:eastAsia="Arial" w:hAnsi="Arial"/>
                <w:sz w:val="18"/>
                <w:szCs w:val="18"/>
                <w:color w:val="auto"/>
              </w:rPr>
              <w:t>Certain Obligations Respecting Subsidiaries; Further Assurances</w:t>
            </w:r>
          </w:p>
        </w:tc>
        <w:tc>
          <w:tcPr>
            <w:tcW w:w="23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5.09.</w:t>
            </w:r>
          </w:p>
        </w:tc>
        <w:tc>
          <w:tcPr>
            <w:tcW w:w="6920" w:type="dxa"/>
            <w:vAlign w:val="bottom"/>
          </w:tcPr>
          <w:p>
            <w:pPr>
              <w:ind w:left="320"/>
              <w:spacing w:after="0"/>
              <w:rPr>
                <w:sz w:val="20"/>
                <w:szCs w:val="20"/>
                <w:color w:val="auto"/>
              </w:rPr>
            </w:pPr>
            <w:r>
              <w:rPr>
                <w:rFonts w:ascii="Arial" w:cs="Arial" w:eastAsia="Arial" w:hAnsi="Arial"/>
                <w:sz w:val="18"/>
                <w:szCs w:val="18"/>
                <w:color w:val="auto"/>
              </w:rPr>
              <w:t>Use of Proceeds</w:t>
            </w:r>
          </w:p>
        </w:tc>
        <w:tc>
          <w:tcPr>
            <w:tcW w:w="23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900" w:type="dxa"/>
            <w:vAlign w:val="bottom"/>
            <w:gridSpan w:val="2"/>
          </w:tcPr>
          <w:p>
            <w:pPr>
              <w:ind w:left="440"/>
              <w:spacing w:after="0"/>
              <w:rPr>
                <w:sz w:val="20"/>
                <w:szCs w:val="20"/>
                <w:color w:val="auto"/>
              </w:rPr>
            </w:pPr>
            <w:r>
              <w:rPr>
                <w:rFonts w:ascii="Arial" w:cs="Arial" w:eastAsia="Arial" w:hAnsi="Arial"/>
                <w:sz w:val="18"/>
                <w:szCs w:val="18"/>
                <w:color w:val="auto"/>
              </w:rPr>
              <w:t>SECTION 5.10.</w:t>
            </w:r>
          </w:p>
        </w:tc>
        <w:tc>
          <w:tcPr>
            <w:tcW w:w="6920" w:type="dxa"/>
            <w:vAlign w:val="bottom"/>
          </w:tcPr>
          <w:p>
            <w:pPr>
              <w:ind w:left="320"/>
              <w:spacing w:after="0"/>
              <w:rPr>
                <w:sz w:val="20"/>
                <w:szCs w:val="20"/>
                <w:color w:val="auto"/>
              </w:rPr>
            </w:pPr>
            <w:r>
              <w:rPr>
                <w:rFonts w:ascii="Arial" w:cs="Arial" w:eastAsia="Arial" w:hAnsi="Arial"/>
                <w:sz w:val="18"/>
                <w:szCs w:val="18"/>
                <w:color w:val="auto"/>
              </w:rPr>
              <w:t>Status of RIC and BDC</w:t>
            </w:r>
          </w:p>
        </w:tc>
        <w:tc>
          <w:tcPr>
            <w:tcW w:w="23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65"/>
        </w:trPr>
        <w:tc>
          <w:tcPr>
            <w:tcW w:w="1900" w:type="dxa"/>
            <w:vAlign w:val="bottom"/>
            <w:gridSpan w:val="2"/>
          </w:tcPr>
          <w:p>
            <w:pPr>
              <w:spacing w:after="0"/>
              <w:rPr>
                <w:sz w:val="20"/>
                <w:szCs w:val="20"/>
                <w:color w:val="auto"/>
              </w:rPr>
            </w:pPr>
            <w:r>
              <w:rPr>
                <w:rFonts w:ascii="Arial" w:cs="Arial" w:eastAsia="Arial" w:hAnsi="Arial"/>
                <w:sz w:val="18"/>
                <w:szCs w:val="18"/>
                <w:color w:val="auto"/>
              </w:rPr>
              <w:t>701007202 11262547</w:t>
            </w:r>
          </w:p>
        </w:tc>
        <w:tc>
          <w:tcPr>
            <w:tcW w:w="6920" w:type="dxa"/>
            <w:vAlign w:val="bottom"/>
          </w:tcPr>
          <w:p>
            <w:pPr>
              <w:ind w:left="3740"/>
              <w:spacing w:after="0"/>
              <w:rPr>
                <w:sz w:val="20"/>
                <w:szCs w:val="20"/>
                <w:color w:val="auto"/>
              </w:rPr>
            </w:pPr>
            <w:r>
              <w:rPr>
                <w:rFonts w:ascii="Arial" w:cs="Arial" w:eastAsia="Arial" w:hAnsi="Arial"/>
                <w:sz w:val="18"/>
                <w:szCs w:val="18"/>
                <w:color w:val="auto"/>
              </w:rPr>
              <w:t>-ii-</w:t>
            </w:r>
          </w:p>
        </w:tc>
        <w:tc>
          <w:tcPr>
            <w:tcW w:w="2320" w:type="dxa"/>
            <w:vAlign w:val="bottom"/>
          </w:tcPr>
          <w:p>
            <w:pPr>
              <w:spacing w:after="0"/>
              <w:rPr>
                <w:sz w:val="24"/>
                <w:szCs w:val="24"/>
                <w:color w:val="auto"/>
              </w:rPr>
            </w:pPr>
          </w:p>
        </w:tc>
      </w:tr>
    </w:tbl>
    <w:p>
      <w:pPr>
        <w:sectPr>
          <w:pgSz w:w="11900" w:h="16838" w:orient="portrait"/>
          <w:cols w:equalWidth="0" w:num="1">
            <w:col w:w="11140"/>
          </w:cols>
          <w:pgMar w:left="320" w:top="274" w:right="439" w:bottom="1440" w:gutter="0" w:footer="0" w:header="0"/>
        </w:sectPr>
      </w:pPr>
    </w:p>
    <w:bookmarkStart w:id="44" w:name="page45"/>
    <w:bookmarkEnd w:id="4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68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309"/>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5.11.</w:t>
            </w:r>
          </w:p>
        </w:tc>
        <w:tc>
          <w:tcPr>
            <w:tcW w:w="6620" w:type="dxa"/>
            <w:vAlign w:val="bottom"/>
          </w:tcPr>
          <w:p>
            <w:pPr>
              <w:ind w:left="280"/>
              <w:spacing w:after="0"/>
              <w:rPr>
                <w:sz w:val="20"/>
                <w:szCs w:val="20"/>
                <w:color w:val="auto"/>
              </w:rPr>
            </w:pPr>
            <w:r>
              <w:rPr>
                <w:rFonts w:ascii="Arial" w:cs="Arial" w:eastAsia="Arial" w:hAnsi="Arial"/>
                <w:sz w:val="18"/>
                <w:szCs w:val="18"/>
                <w:color w:val="auto"/>
              </w:rPr>
              <w:t>Investment Policies</w:t>
            </w:r>
          </w:p>
        </w:tc>
        <w:tc>
          <w:tcPr>
            <w:tcW w:w="26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5.12.</w:t>
            </w:r>
          </w:p>
        </w:tc>
        <w:tc>
          <w:tcPr>
            <w:tcW w:w="6620" w:type="dxa"/>
            <w:vAlign w:val="bottom"/>
          </w:tcPr>
          <w:p>
            <w:pPr>
              <w:ind w:left="280"/>
              <w:spacing w:after="0"/>
              <w:rPr>
                <w:sz w:val="20"/>
                <w:szCs w:val="20"/>
                <w:color w:val="auto"/>
              </w:rPr>
            </w:pPr>
            <w:r>
              <w:rPr>
                <w:rFonts w:ascii="Arial" w:cs="Arial" w:eastAsia="Arial" w:hAnsi="Arial"/>
                <w:sz w:val="18"/>
                <w:szCs w:val="18"/>
                <w:color w:val="auto"/>
              </w:rPr>
              <w:t>Portfolio Valuation and Diversification Etc</w:t>
            </w:r>
          </w:p>
        </w:tc>
        <w:tc>
          <w:tcPr>
            <w:tcW w:w="26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5.13.</w:t>
            </w:r>
          </w:p>
        </w:tc>
        <w:tc>
          <w:tcPr>
            <w:tcW w:w="6620" w:type="dxa"/>
            <w:vAlign w:val="bottom"/>
          </w:tcPr>
          <w:p>
            <w:pPr>
              <w:ind w:left="280"/>
              <w:spacing w:after="0"/>
              <w:rPr>
                <w:sz w:val="20"/>
                <w:szCs w:val="20"/>
                <w:color w:val="auto"/>
              </w:rPr>
            </w:pPr>
            <w:r>
              <w:rPr>
                <w:rFonts w:ascii="Arial" w:cs="Arial" w:eastAsia="Arial" w:hAnsi="Arial"/>
                <w:sz w:val="18"/>
                <w:szCs w:val="18"/>
                <w:color w:val="auto"/>
              </w:rPr>
              <w:t>Calculation of Borrowing Base</w:t>
            </w:r>
          </w:p>
        </w:tc>
        <w:tc>
          <w:tcPr>
            <w:tcW w:w="26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VI</w:t>
            </w:r>
          </w:p>
        </w:tc>
        <w:tc>
          <w:tcPr>
            <w:tcW w:w="7320" w:type="dxa"/>
            <w:vAlign w:val="bottom"/>
            <w:gridSpan w:val="2"/>
          </w:tcPr>
          <w:p>
            <w:pPr>
              <w:ind w:left="40"/>
              <w:spacing w:after="0"/>
              <w:rPr>
                <w:sz w:val="20"/>
                <w:szCs w:val="20"/>
                <w:color w:val="auto"/>
              </w:rPr>
            </w:pPr>
            <w:r>
              <w:rPr>
                <w:rFonts w:ascii="Arial" w:cs="Arial" w:eastAsia="Arial" w:hAnsi="Arial"/>
                <w:sz w:val="18"/>
                <w:szCs w:val="18"/>
                <w:color w:val="auto"/>
              </w:rPr>
              <w:t>NEGATIVE COVENANTS</w:t>
            </w:r>
          </w:p>
        </w:tc>
        <w:tc>
          <w:tcPr>
            <w:tcW w:w="26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6.01.</w:t>
            </w:r>
          </w:p>
        </w:tc>
        <w:tc>
          <w:tcPr>
            <w:tcW w:w="6620" w:type="dxa"/>
            <w:vAlign w:val="bottom"/>
          </w:tcPr>
          <w:p>
            <w:pPr>
              <w:ind w:left="280"/>
              <w:spacing w:after="0"/>
              <w:rPr>
                <w:sz w:val="20"/>
                <w:szCs w:val="20"/>
                <w:color w:val="auto"/>
              </w:rPr>
            </w:pPr>
            <w:r>
              <w:rPr>
                <w:rFonts w:ascii="Arial" w:cs="Arial" w:eastAsia="Arial" w:hAnsi="Arial"/>
                <w:sz w:val="18"/>
                <w:szCs w:val="18"/>
                <w:color w:val="auto"/>
              </w:rPr>
              <w:t>Indebtedness</w:t>
            </w:r>
          </w:p>
        </w:tc>
        <w:tc>
          <w:tcPr>
            <w:tcW w:w="26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6.02.</w:t>
            </w:r>
          </w:p>
        </w:tc>
        <w:tc>
          <w:tcPr>
            <w:tcW w:w="6620" w:type="dxa"/>
            <w:vAlign w:val="bottom"/>
          </w:tcPr>
          <w:p>
            <w:pPr>
              <w:ind w:left="280"/>
              <w:spacing w:after="0"/>
              <w:rPr>
                <w:sz w:val="20"/>
                <w:szCs w:val="20"/>
                <w:color w:val="auto"/>
              </w:rPr>
            </w:pPr>
            <w:r>
              <w:rPr>
                <w:rFonts w:ascii="Arial" w:cs="Arial" w:eastAsia="Arial" w:hAnsi="Arial"/>
                <w:sz w:val="18"/>
                <w:szCs w:val="18"/>
                <w:color w:val="auto"/>
              </w:rPr>
              <w:t>Liens</w:t>
            </w:r>
          </w:p>
        </w:tc>
        <w:tc>
          <w:tcPr>
            <w:tcW w:w="26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6.03.</w:t>
            </w:r>
          </w:p>
        </w:tc>
        <w:tc>
          <w:tcPr>
            <w:tcW w:w="6620" w:type="dxa"/>
            <w:vAlign w:val="bottom"/>
          </w:tcPr>
          <w:p>
            <w:pPr>
              <w:ind w:left="280"/>
              <w:spacing w:after="0"/>
              <w:rPr>
                <w:sz w:val="20"/>
                <w:szCs w:val="20"/>
                <w:color w:val="auto"/>
              </w:rPr>
            </w:pPr>
            <w:r>
              <w:rPr>
                <w:rFonts w:ascii="Arial" w:cs="Arial" w:eastAsia="Arial" w:hAnsi="Arial"/>
                <w:sz w:val="18"/>
                <w:szCs w:val="18"/>
                <w:color w:val="auto"/>
              </w:rPr>
              <w:t>Fundamental Changes</w:t>
            </w:r>
          </w:p>
        </w:tc>
        <w:tc>
          <w:tcPr>
            <w:tcW w:w="26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6.04.</w:t>
            </w:r>
          </w:p>
        </w:tc>
        <w:tc>
          <w:tcPr>
            <w:tcW w:w="6620" w:type="dxa"/>
            <w:vAlign w:val="bottom"/>
          </w:tcPr>
          <w:p>
            <w:pPr>
              <w:ind w:left="280"/>
              <w:spacing w:after="0"/>
              <w:rPr>
                <w:sz w:val="20"/>
                <w:szCs w:val="20"/>
                <w:color w:val="auto"/>
              </w:rPr>
            </w:pPr>
            <w:r>
              <w:rPr>
                <w:rFonts w:ascii="Arial" w:cs="Arial" w:eastAsia="Arial" w:hAnsi="Arial"/>
                <w:sz w:val="18"/>
                <w:szCs w:val="18"/>
                <w:color w:val="auto"/>
              </w:rPr>
              <w:t>Investments</w:t>
            </w:r>
          </w:p>
        </w:tc>
        <w:tc>
          <w:tcPr>
            <w:tcW w:w="26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6.05.</w:t>
            </w:r>
          </w:p>
        </w:tc>
        <w:tc>
          <w:tcPr>
            <w:tcW w:w="6620" w:type="dxa"/>
            <w:vAlign w:val="bottom"/>
          </w:tcPr>
          <w:p>
            <w:pPr>
              <w:ind w:left="280"/>
              <w:spacing w:after="0"/>
              <w:rPr>
                <w:sz w:val="20"/>
                <w:szCs w:val="20"/>
                <w:color w:val="auto"/>
              </w:rPr>
            </w:pPr>
            <w:r>
              <w:rPr>
                <w:rFonts w:ascii="Arial" w:cs="Arial" w:eastAsia="Arial" w:hAnsi="Arial"/>
                <w:sz w:val="18"/>
                <w:szCs w:val="18"/>
                <w:color w:val="auto"/>
              </w:rPr>
              <w:t>Restricted Payments</w:t>
            </w:r>
          </w:p>
        </w:tc>
        <w:tc>
          <w:tcPr>
            <w:tcW w:w="26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6.06.</w:t>
            </w:r>
          </w:p>
        </w:tc>
        <w:tc>
          <w:tcPr>
            <w:tcW w:w="6620" w:type="dxa"/>
            <w:vAlign w:val="bottom"/>
          </w:tcPr>
          <w:p>
            <w:pPr>
              <w:ind w:left="280"/>
              <w:spacing w:after="0"/>
              <w:rPr>
                <w:sz w:val="20"/>
                <w:szCs w:val="20"/>
                <w:color w:val="auto"/>
              </w:rPr>
            </w:pPr>
            <w:r>
              <w:rPr>
                <w:rFonts w:ascii="Arial" w:cs="Arial" w:eastAsia="Arial" w:hAnsi="Arial"/>
                <w:sz w:val="18"/>
                <w:szCs w:val="18"/>
                <w:color w:val="auto"/>
              </w:rPr>
              <w:t>Certain Restrictions on Subsidiaries</w:t>
            </w:r>
          </w:p>
        </w:tc>
        <w:tc>
          <w:tcPr>
            <w:tcW w:w="26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6.07.</w:t>
            </w:r>
          </w:p>
        </w:tc>
        <w:tc>
          <w:tcPr>
            <w:tcW w:w="6620" w:type="dxa"/>
            <w:vAlign w:val="bottom"/>
          </w:tcPr>
          <w:p>
            <w:pPr>
              <w:ind w:left="280"/>
              <w:spacing w:after="0"/>
              <w:rPr>
                <w:sz w:val="20"/>
                <w:szCs w:val="20"/>
                <w:color w:val="auto"/>
              </w:rPr>
            </w:pPr>
            <w:r>
              <w:rPr>
                <w:rFonts w:ascii="Arial" w:cs="Arial" w:eastAsia="Arial" w:hAnsi="Arial"/>
                <w:sz w:val="18"/>
                <w:szCs w:val="18"/>
                <w:color w:val="auto"/>
              </w:rPr>
              <w:t>Certain Financial Covenants</w:t>
            </w:r>
          </w:p>
        </w:tc>
        <w:tc>
          <w:tcPr>
            <w:tcW w:w="26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6.08.</w:t>
            </w:r>
          </w:p>
        </w:tc>
        <w:tc>
          <w:tcPr>
            <w:tcW w:w="6620" w:type="dxa"/>
            <w:vAlign w:val="bottom"/>
          </w:tcPr>
          <w:p>
            <w:pPr>
              <w:ind w:left="280"/>
              <w:spacing w:after="0"/>
              <w:rPr>
                <w:sz w:val="20"/>
                <w:szCs w:val="20"/>
                <w:color w:val="auto"/>
              </w:rPr>
            </w:pPr>
            <w:r>
              <w:rPr>
                <w:rFonts w:ascii="Arial" w:cs="Arial" w:eastAsia="Arial" w:hAnsi="Arial"/>
                <w:sz w:val="18"/>
                <w:szCs w:val="18"/>
                <w:color w:val="auto"/>
              </w:rPr>
              <w:t>Transactions with Affiliates</w:t>
            </w:r>
          </w:p>
        </w:tc>
        <w:tc>
          <w:tcPr>
            <w:tcW w:w="2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6.09.</w:t>
            </w:r>
          </w:p>
        </w:tc>
        <w:tc>
          <w:tcPr>
            <w:tcW w:w="6620" w:type="dxa"/>
            <w:vAlign w:val="bottom"/>
          </w:tcPr>
          <w:p>
            <w:pPr>
              <w:ind w:left="280"/>
              <w:spacing w:after="0"/>
              <w:rPr>
                <w:sz w:val="20"/>
                <w:szCs w:val="20"/>
                <w:color w:val="auto"/>
              </w:rPr>
            </w:pPr>
            <w:r>
              <w:rPr>
                <w:rFonts w:ascii="Arial" w:cs="Arial" w:eastAsia="Arial" w:hAnsi="Arial"/>
                <w:sz w:val="18"/>
                <w:szCs w:val="18"/>
                <w:color w:val="auto"/>
              </w:rPr>
              <w:t>Lines of Business</w:t>
            </w:r>
          </w:p>
        </w:tc>
        <w:tc>
          <w:tcPr>
            <w:tcW w:w="2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6.10.</w:t>
            </w:r>
          </w:p>
        </w:tc>
        <w:tc>
          <w:tcPr>
            <w:tcW w:w="6620" w:type="dxa"/>
            <w:vAlign w:val="bottom"/>
          </w:tcPr>
          <w:p>
            <w:pPr>
              <w:ind w:left="280"/>
              <w:spacing w:after="0"/>
              <w:rPr>
                <w:sz w:val="20"/>
                <w:szCs w:val="20"/>
                <w:color w:val="auto"/>
              </w:rPr>
            </w:pPr>
            <w:r>
              <w:rPr>
                <w:rFonts w:ascii="Arial" w:cs="Arial" w:eastAsia="Arial" w:hAnsi="Arial"/>
                <w:sz w:val="18"/>
                <w:szCs w:val="18"/>
                <w:color w:val="auto"/>
              </w:rPr>
              <w:t>No Further Negative Pledge</w:t>
            </w:r>
          </w:p>
        </w:tc>
        <w:tc>
          <w:tcPr>
            <w:tcW w:w="2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6.11.</w:t>
            </w:r>
          </w:p>
        </w:tc>
        <w:tc>
          <w:tcPr>
            <w:tcW w:w="6620" w:type="dxa"/>
            <w:vAlign w:val="bottom"/>
          </w:tcPr>
          <w:p>
            <w:pPr>
              <w:ind w:left="280"/>
              <w:spacing w:after="0"/>
              <w:rPr>
                <w:sz w:val="20"/>
                <w:szCs w:val="20"/>
                <w:color w:val="auto"/>
              </w:rPr>
            </w:pPr>
            <w:r>
              <w:rPr>
                <w:rFonts w:ascii="Arial" w:cs="Arial" w:eastAsia="Arial" w:hAnsi="Arial"/>
                <w:sz w:val="18"/>
                <w:szCs w:val="18"/>
                <w:color w:val="auto"/>
              </w:rPr>
              <w:t>Modifications of Longer-Term Indebtedness Documents</w:t>
            </w:r>
          </w:p>
        </w:tc>
        <w:tc>
          <w:tcPr>
            <w:tcW w:w="26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6.12.</w:t>
            </w:r>
          </w:p>
        </w:tc>
        <w:tc>
          <w:tcPr>
            <w:tcW w:w="6620" w:type="dxa"/>
            <w:vAlign w:val="bottom"/>
          </w:tcPr>
          <w:p>
            <w:pPr>
              <w:ind w:left="280"/>
              <w:spacing w:after="0"/>
              <w:rPr>
                <w:sz w:val="20"/>
                <w:szCs w:val="20"/>
                <w:color w:val="auto"/>
              </w:rPr>
            </w:pPr>
            <w:r>
              <w:rPr>
                <w:rFonts w:ascii="Arial" w:cs="Arial" w:eastAsia="Arial" w:hAnsi="Arial"/>
                <w:sz w:val="18"/>
                <w:szCs w:val="18"/>
                <w:color w:val="auto"/>
              </w:rPr>
              <w:t>Payments of Longer-Term Indebtedness</w:t>
            </w:r>
          </w:p>
        </w:tc>
        <w:tc>
          <w:tcPr>
            <w:tcW w:w="26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6.13.</w:t>
            </w:r>
          </w:p>
        </w:tc>
        <w:tc>
          <w:tcPr>
            <w:tcW w:w="6620" w:type="dxa"/>
            <w:vAlign w:val="bottom"/>
          </w:tcPr>
          <w:p>
            <w:pPr>
              <w:ind w:left="280"/>
              <w:spacing w:after="0"/>
              <w:rPr>
                <w:sz w:val="20"/>
                <w:szCs w:val="20"/>
                <w:color w:val="auto"/>
              </w:rPr>
            </w:pPr>
            <w:r>
              <w:rPr>
                <w:rFonts w:ascii="Arial" w:cs="Arial" w:eastAsia="Arial" w:hAnsi="Arial"/>
                <w:sz w:val="18"/>
                <w:szCs w:val="18"/>
                <w:color w:val="auto"/>
              </w:rPr>
              <w:t>Accounting Changes</w:t>
            </w:r>
          </w:p>
        </w:tc>
        <w:tc>
          <w:tcPr>
            <w:tcW w:w="2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6.14.</w:t>
            </w:r>
          </w:p>
        </w:tc>
        <w:tc>
          <w:tcPr>
            <w:tcW w:w="6620" w:type="dxa"/>
            <w:vAlign w:val="bottom"/>
          </w:tcPr>
          <w:p>
            <w:pPr>
              <w:ind w:left="280"/>
              <w:spacing w:after="0"/>
              <w:rPr>
                <w:sz w:val="20"/>
                <w:szCs w:val="20"/>
                <w:color w:val="auto"/>
              </w:rPr>
            </w:pPr>
            <w:r>
              <w:rPr>
                <w:rFonts w:ascii="Arial" w:cs="Arial" w:eastAsia="Arial" w:hAnsi="Arial"/>
                <w:sz w:val="18"/>
                <w:szCs w:val="18"/>
                <w:color w:val="auto"/>
              </w:rPr>
              <w:t>SBIC Guarantee</w:t>
            </w:r>
          </w:p>
        </w:tc>
        <w:tc>
          <w:tcPr>
            <w:tcW w:w="2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VII</w:t>
            </w:r>
          </w:p>
        </w:tc>
        <w:tc>
          <w:tcPr>
            <w:tcW w:w="7320" w:type="dxa"/>
            <w:vAlign w:val="bottom"/>
            <w:gridSpan w:val="2"/>
          </w:tcPr>
          <w:p>
            <w:pPr>
              <w:ind w:left="100"/>
              <w:spacing w:after="0"/>
              <w:rPr>
                <w:sz w:val="20"/>
                <w:szCs w:val="20"/>
                <w:color w:val="auto"/>
              </w:rPr>
            </w:pPr>
            <w:r>
              <w:rPr>
                <w:rFonts w:ascii="Arial" w:cs="Arial" w:eastAsia="Arial" w:hAnsi="Arial"/>
                <w:sz w:val="18"/>
                <w:szCs w:val="18"/>
                <w:color w:val="auto"/>
              </w:rPr>
              <w:t>EVENTS OF DEFAULT</w:t>
            </w:r>
          </w:p>
        </w:tc>
        <w:tc>
          <w:tcPr>
            <w:tcW w:w="2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VIII</w:t>
            </w:r>
          </w:p>
        </w:tc>
        <w:tc>
          <w:tcPr>
            <w:tcW w:w="7320" w:type="dxa"/>
            <w:vAlign w:val="bottom"/>
            <w:gridSpan w:val="2"/>
          </w:tcPr>
          <w:p>
            <w:pPr>
              <w:ind w:left="160"/>
              <w:spacing w:after="0"/>
              <w:rPr>
                <w:sz w:val="20"/>
                <w:szCs w:val="20"/>
                <w:color w:val="auto"/>
              </w:rPr>
            </w:pPr>
            <w:r>
              <w:rPr>
                <w:rFonts w:ascii="Arial" w:cs="Arial" w:eastAsia="Arial" w:hAnsi="Arial"/>
                <w:sz w:val="18"/>
                <w:szCs w:val="18"/>
                <w:color w:val="auto"/>
              </w:rPr>
              <w:t>THE ADMINISTRATIVE AGENT</w:t>
            </w:r>
          </w:p>
        </w:tc>
        <w:tc>
          <w:tcPr>
            <w:tcW w:w="2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8.01.</w:t>
            </w:r>
          </w:p>
        </w:tc>
        <w:tc>
          <w:tcPr>
            <w:tcW w:w="6620" w:type="dxa"/>
            <w:vAlign w:val="bottom"/>
          </w:tcPr>
          <w:p>
            <w:pPr>
              <w:ind w:left="280"/>
              <w:spacing w:after="0"/>
              <w:rPr>
                <w:sz w:val="20"/>
                <w:szCs w:val="20"/>
                <w:color w:val="auto"/>
              </w:rPr>
            </w:pPr>
            <w:r>
              <w:rPr>
                <w:rFonts w:ascii="Arial" w:cs="Arial" w:eastAsia="Arial" w:hAnsi="Arial"/>
                <w:sz w:val="18"/>
                <w:szCs w:val="18"/>
                <w:color w:val="auto"/>
              </w:rPr>
              <w:t>Appointment of the Administrative Agent</w:t>
            </w:r>
          </w:p>
        </w:tc>
        <w:tc>
          <w:tcPr>
            <w:tcW w:w="2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8.02.</w:t>
            </w:r>
          </w:p>
        </w:tc>
        <w:tc>
          <w:tcPr>
            <w:tcW w:w="6620" w:type="dxa"/>
            <w:vAlign w:val="bottom"/>
          </w:tcPr>
          <w:p>
            <w:pPr>
              <w:ind w:left="280"/>
              <w:spacing w:after="0"/>
              <w:rPr>
                <w:sz w:val="20"/>
                <w:szCs w:val="20"/>
                <w:color w:val="auto"/>
              </w:rPr>
            </w:pPr>
            <w:r>
              <w:rPr>
                <w:rFonts w:ascii="Arial" w:cs="Arial" w:eastAsia="Arial" w:hAnsi="Arial"/>
                <w:sz w:val="18"/>
                <w:szCs w:val="18"/>
                <w:color w:val="auto"/>
              </w:rPr>
              <w:t>Capacity as Lender</w:t>
            </w:r>
          </w:p>
        </w:tc>
        <w:tc>
          <w:tcPr>
            <w:tcW w:w="2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8.03.</w:t>
            </w:r>
          </w:p>
        </w:tc>
        <w:tc>
          <w:tcPr>
            <w:tcW w:w="6620" w:type="dxa"/>
            <w:vAlign w:val="bottom"/>
          </w:tcPr>
          <w:p>
            <w:pPr>
              <w:ind w:left="280"/>
              <w:spacing w:after="0"/>
              <w:rPr>
                <w:sz w:val="20"/>
                <w:szCs w:val="20"/>
                <w:color w:val="auto"/>
              </w:rPr>
            </w:pPr>
            <w:r>
              <w:rPr>
                <w:rFonts w:ascii="Arial" w:cs="Arial" w:eastAsia="Arial" w:hAnsi="Arial"/>
                <w:sz w:val="18"/>
                <w:szCs w:val="18"/>
                <w:color w:val="auto"/>
              </w:rPr>
              <w:t>Limitation of Duties; Exculpation</w:t>
            </w:r>
          </w:p>
        </w:tc>
        <w:tc>
          <w:tcPr>
            <w:tcW w:w="2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8.04.</w:t>
            </w:r>
          </w:p>
        </w:tc>
        <w:tc>
          <w:tcPr>
            <w:tcW w:w="6620" w:type="dxa"/>
            <w:vAlign w:val="bottom"/>
          </w:tcPr>
          <w:p>
            <w:pPr>
              <w:ind w:left="280"/>
              <w:spacing w:after="0"/>
              <w:rPr>
                <w:sz w:val="20"/>
                <w:szCs w:val="20"/>
                <w:color w:val="auto"/>
              </w:rPr>
            </w:pPr>
            <w:r>
              <w:rPr>
                <w:rFonts w:ascii="Arial" w:cs="Arial" w:eastAsia="Arial" w:hAnsi="Arial"/>
                <w:sz w:val="18"/>
                <w:szCs w:val="18"/>
                <w:color w:val="auto"/>
              </w:rPr>
              <w:t>Reliance</w:t>
            </w:r>
          </w:p>
        </w:tc>
        <w:tc>
          <w:tcPr>
            <w:tcW w:w="26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8.05.</w:t>
            </w:r>
          </w:p>
        </w:tc>
        <w:tc>
          <w:tcPr>
            <w:tcW w:w="6620" w:type="dxa"/>
            <w:vAlign w:val="bottom"/>
          </w:tcPr>
          <w:p>
            <w:pPr>
              <w:ind w:left="280"/>
              <w:spacing w:after="0"/>
              <w:rPr>
                <w:sz w:val="20"/>
                <w:szCs w:val="20"/>
                <w:color w:val="auto"/>
              </w:rPr>
            </w:pPr>
            <w:r>
              <w:rPr>
                <w:rFonts w:ascii="Arial" w:cs="Arial" w:eastAsia="Arial" w:hAnsi="Arial"/>
                <w:sz w:val="18"/>
                <w:szCs w:val="18"/>
                <w:color w:val="auto"/>
              </w:rPr>
              <w:t>Sub-Agents</w:t>
            </w:r>
          </w:p>
        </w:tc>
        <w:tc>
          <w:tcPr>
            <w:tcW w:w="26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8.06.</w:t>
            </w:r>
          </w:p>
        </w:tc>
        <w:tc>
          <w:tcPr>
            <w:tcW w:w="6620" w:type="dxa"/>
            <w:vAlign w:val="bottom"/>
          </w:tcPr>
          <w:p>
            <w:pPr>
              <w:ind w:left="280"/>
              <w:spacing w:after="0"/>
              <w:rPr>
                <w:sz w:val="20"/>
                <w:szCs w:val="20"/>
                <w:color w:val="auto"/>
              </w:rPr>
            </w:pPr>
            <w:r>
              <w:rPr>
                <w:rFonts w:ascii="Arial" w:cs="Arial" w:eastAsia="Arial" w:hAnsi="Arial"/>
                <w:sz w:val="18"/>
                <w:szCs w:val="18"/>
                <w:color w:val="auto"/>
              </w:rPr>
              <w:t>Resignation; Successor Administrative Agent</w:t>
            </w:r>
          </w:p>
        </w:tc>
        <w:tc>
          <w:tcPr>
            <w:tcW w:w="26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8.07.</w:t>
            </w:r>
          </w:p>
        </w:tc>
        <w:tc>
          <w:tcPr>
            <w:tcW w:w="6620" w:type="dxa"/>
            <w:vAlign w:val="bottom"/>
          </w:tcPr>
          <w:p>
            <w:pPr>
              <w:ind w:left="280"/>
              <w:spacing w:after="0"/>
              <w:rPr>
                <w:sz w:val="20"/>
                <w:szCs w:val="20"/>
                <w:color w:val="auto"/>
              </w:rPr>
            </w:pPr>
            <w:r>
              <w:rPr>
                <w:rFonts w:ascii="Arial" w:cs="Arial" w:eastAsia="Arial" w:hAnsi="Arial"/>
                <w:sz w:val="18"/>
                <w:szCs w:val="18"/>
                <w:color w:val="auto"/>
              </w:rPr>
              <w:t>Reliance by Lenders</w:t>
            </w:r>
          </w:p>
        </w:tc>
        <w:tc>
          <w:tcPr>
            <w:tcW w:w="26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8.08.</w:t>
            </w:r>
          </w:p>
        </w:tc>
        <w:tc>
          <w:tcPr>
            <w:tcW w:w="6620" w:type="dxa"/>
            <w:vAlign w:val="bottom"/>
          </w:tcPr>
          <w:p>
            <w:pPr>
              <w:ind w:left="280"/>
              <w:spacing w:after="0"/>
              <w:rPr>
                <w:sz w:val="20"/>
                <w:szCs w:val="20"/>
                <w:color w:val="auto"/>
              </w:rPr>
            </w:pPr>
            <w:r>
              <w:rPr>
                <w:rFonts w:ascii="Arial" w:cs="Arial" w:eastAsia="Arial" w:hAnsi="Arial"/>
                <w:sz w:val="18"/>
                <w:szCs w:val="18"/>
                <w:color w:val="auto"/>
              </w:rPr>
              <w:t>Modifications to Loan Documents</w:t>
            </w:r>
          </w:p>
        </w:tc>
        <w:tc>
          <w:tcPr>
            <w:tcW w:w="26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IX</w:t>
            </w:r>
          </w:p>
        </w:tc>
        <w:tc>
          <w:tcPr>
            <w:tcW w:w="7320" w:type="dxa"/>
            <w:vAlign w:val="bottom"/>
            <w:gridSpan w:val="2"/>
          </w:tcPr>
          <w:p>
            <w:pPr>
              <w:ind w:left="40"/>
              <w:spacing w:after="0"/>
              <w:rPr>
                <w:sz w:val="20"/>
                <w:szCs w:val="20"/>
                <w:color w:val="auto"/>
              </w:rPr>
            </w:pPr>
            <w:r>
              <w:rPr>
                <w:rFonts w:ascii="Arial" w:cs="Arial" w:eastAsia="Arial" w:hAnsi="Arial"/>
                <w:sz w:val="18"/>
                <w:szCs w:val="18"/>
                <w:color w:val="auto"/>
              </w:rPr>
              <w:t>MISCELLANEOUS</w:t>
            </w:r>
          </w:p>
        </w:tc>
        <w:tc>
          <w:tcPr>
            <w:tcW w:w="2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24"/>
        </w:trPr>
        <w:tc>
          <w:tcPr>
            <w:tcW w:w="1840" w:type="dxa"/>
            <w:vAlign w:val="bottom"/>
            <w:gridSpan w:val="2"/>
          </w:tcPr>
          <w:p>
            <w:pPr>
              <w:ind w:left="440"/>
              <w:spacing w:after="0"/>
              <w:rPr>
                <w:sz w:val="20"/>
                <w:szCs w:val="20"/>
                <w:color w:val="auto"/>
              </w:rPr>
            </w:pPr>
            <w:r>
              <w:rPr>
                <w:rFonts w:ascii="Arial" w:cs="Arial" w:eastAsia="Arial" w:hAnsi="Arial"/>
                <w:sz w:val="18"/>
                <w:szCs w:val="18"/>
                <w:color w:val="auto"/>
              </w:rPr>
              <w:t>SECTION 9.01.</w:t>
            </w:r>
          </w:p>
        </w:tc>
        <w:tc>
          <w:tcPr>
            <w:tcW w:w="6620" w:type="dxa"/>
            <w:vAlign w:val="bottom"/>
          </w:tcPr>
          <w:p>
            <w:pPr>
              <w:ind w:left="280"/>
              <w:spacing w:after="0"/>
              <w:rPr>
                <w:sz w:val="20"/>
                <w:szCs w:val="20"/>
                <w:color w:val="auto"/>
              </w:rPr>
            </w:pPr>
            <w:r>
              <w:rPr>
                <w:rFonts w:ascii="Arial" w:cs="Arial" w:eastAsia="Arial" w:hAnsi="Arial"/>
                <w:sz w:val="18"/>
                <w:szCs w:val="18"/>
                <w:color w:val="auto"/>
              </w:rPr>
              <w:t>Notices; Electronic Communications</w:t>
            </w:r>
          </w:p>
        </w:tc>
        <w:tc>
          <w:tcPr>
            <w:tcW w:w="2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65"/>
        </w:trPr>
        <w:tc>
          <w:tcPr>
            <w:tcW w:w="1840" w:type="dxa"/>
            <w:vAlign w:val="bottom"/>
            <w:gridSpan w:val="2"/>
          </w:tcPr>
          <w:p>
            <w:pPr>
              <w:spacing w:after="0"/>
              <w:rPr>
                <w:sz w:val="20"/>
                <w:szCs w:val="20"/>
                <w:color w:val="auto"/>
              </w:rPr>
            </w:pPr>
            <w:r>
              <w:rPr>
                <w:rFonts w:ascii="Arial" w:cs="Arial" w:eastAsia="Arial" w:hAnsi="Arial"/>
                <w:sz w:val="18"/>
                <w:szCs w:val="18"/>
                <w:color w:val="auto"/>
              </w:rPr>
              <w:t>701007202 11262547</w:t>
            </w:r>
          </w:p>
        </w:tc>
        <w:tc>
          <w:tcPr>
            <w:tcW w:w="6620" w:type="dxa"/>
            <w:vAlign w:val="bottom"/>
          </w:tcPr>
          <w:p>
            <w:pPr>
              <w:ind w:left="3760"/>
              <w:spacing w:after="0"/>
              <w:rPr>
                <w:sz w:val="20"/>
                <w:szCs w:val="20"/>
                <w:color w:val="auto"/>
              </w:rPr>
            </w:pPr>
            <w:r>
              <w:rPr>
                <w:rFonts w:ascii="Arial" w:cs="Arial" w:eastAsia="Arial" w:hAnsi="Arial"/>
                <w:sz w:val="18"/>
                <w:szCs w:val="18"/>
                <w:color w:val="auto"/>
              </w:rPr>
              <w:t>-iii-</w:t>
            </w:r>
          </w:p>
        </w:tc>
        <w:tc>
          <w:tcPr>
            <w:tcW w:w="2680" w:type="dxa"/>
            <w:vAlign w:val="bottom"/>
          </w:tcPr>
          <w:p>
            <w:pPr>
              <w:spacing w:after="0"/>
              <w:rPr>
                <w:sz w:val="24"/>
                <w:szCs w:val="24"/>
                <w:color w:val="auto"/>
              </w:rPr>
            </w:pPr>
          </w:p>
        </w:tc>
      </w:tr>
    </w:tbl>
    <w:p>
      <w:pPr>
        <w:sectPr>
          <w:pgSz w:w="11900" w:h="16838" w:orient="portrait"/>
          <w:cols w:equalWidth="0" w:num="1">
            <w:col w:w="11140"/>
          </w:cols>
          <w:pgMar w:left="320" w:top="274" w:right="439" w:bottom="1440" w:gutter="0" w:footer="0" w:header="0"/>
        </w:sectPr>
      </w:pPr>
    </w:p>
    <w:bookmarkStart w:id="45" w:name="page46"/>
    <w:bookmarkEnd w:id="4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0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309"/>
        </w:trPr>
        <w:tc>
          <w:tcPr>
            <w:tcW w:w="1900" w:type="dxa"/>
            <w:vAlign w:val="bottom"/>
          </w:tcPr>
          <w:p>
            <w:pPr>
              <w:ind w:left="440"/>
              <w:spacing w:after="0"/>
              <w:rPr>
                <w:sz w:val="20"/>
                <w:szCs w:val="20"/>
                <w:color w:val="auto"/>
              </w:rPr>
            </w:pPr>
            <w:r>
              <w:rPr>
                <w:rFonts w:ascii="Arial" w:cs="Arial" w:eastAsia="Arial" w:hAnsi="Arial"/>
                <w:sz w:val="18"/>
                <w:szCs w:val="18"/>
                <w:color w:val="auto"/>
              </w:rPr>
              <w:t>SECTION 9.02.</w:t>
            </w:r>
          </w:p>
        </w:tc>
        <w:tc>
          <w:tcPr>
            <w:tcW w:w="7080" w:type="dxa"/>
            <w:vAlign w:val="bottom"/>
          </w:tcPr>
          <w:p>
            <w:pPr>
              <w:ind w:left="300"/>
              <w:spacing w:after="0"/>
              <w:rPr>
                <w:sz w:val="20"/>
                <w:szCs w:val="20"/>
                <w:color w:val="auto"/>
              </w:rPr>
            </w:pPr>
            <w:r>
              <w:rPr>
                <w:rFonts w:ascii="Arial" w:cs="Arial" w:eastAsia="Arial" w:hAnsi="Arial"/>
                <w:sz w:val="18"/>
                <w:szCs w:val="18"/>
                <w:color w:val="auto"/>
              </w:rPr>
              <w:t>Waivers; Amendments</w:t>
            </w:r>
          </w:p>
        </w:tc>
        <w:tc>
          <w:tcPr>
            <w:tcW w:w="2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1900" w:type="dxa"/>
            <w:vAlign w:val="bottom"/>
          </w:tcPr>
          <w:p>
            <w:pPr>
              <w:ind w:left="440"/>
              <w:spacing w:after="0"/>
              <w:rPr>
                <w:sz w:val="20"/>
                <w:szCs w:val="20"/>
                <w:color w:val="auto"/>
              </w:rPr>
            </w:pPr>
            <w:r>
              <w:rPr>
                <w:rFonts w:ascii="Arial" w:cs="Arial" w:eastAsia="Arial" w:hAnsi="Arial"/>
                <w:sz w:val="18"/>
                <w:szCs w:val="18"/>
                <w:color w:val="auto"/>
              </w:rPr>
              <w:t>SECTION 9.03.</w:t>
            </w:r>
          </w:p>
        </w:tc>
        <w:tc>
          <w:tcPr>
            <w:tcW w:w="7080" w:type="dxa"/>
            <w:vAlign w:val="bottom"/>
          </w:tcPr>
          <w:p>
            <w:pPr>
              <w:ind w:left="300"/>
              <w:spacing w:after="0"/>
              <w:rPr>
                <w:sz w:val="20"/>
                <w:szCs w:val="20"/>
                <w:color w:val="auto"/>
              </w:rPr>
            </w:pPr>
            <w:r>
              <w:rPr>
                <w:rFonts w:ascii="Arial" w:cs="Arial" w:eastAsia="Arial" w:hAnsi="Arial"/>
                <w:sz w:val="18"/>
                <w:szCs w:val="18"/>
                <w:color w:val="auto"/>
              </w:rPr>
              <w:t>Expenses; Indemnity; Damage Waiver</w:t>
            </w:r>
          </w:p>
        </w:tc>
        <w:tc>
          <w:tcPr>
            <w:tcW w:w="21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1900" w:type="dxa"/>
            <w:vAlign w:val="bottom"/>
          </w:tcPr>
          <w:p>
            <w:pPr>
              <w:ind w:left="440"/>
              <w:spacing w:after="0"/>
              <w:rPr>
                <w:sz w:val="20"/>
                <w:szCs w:val="20"/>
                <w:color w:val="auto"/>
              </w:rPr>
            </w:pPr>
            <w:r>
              <w:rPr>
                <w:rFonts w:ascii="Arial" w:cs="Arial" w:eastAsia="Arial" w:hAnsi="Arial"/>
                <w:sz w:val="18"/>
                <w:szCs w:val="18"/>
                <w:color w:val="auto"/>
              </w:rPr>
              <w:t>SECTION 9.04.</w:t>
            </w:r>
          </w:p>
        </w:tc>
        <w:tc>
          <w:tcPr>
            <w:tcW w:w="7080" w:type="dxa"/>
            <w:vAlign w:val="bottom"/>
          </w:tcPr>
          <w:p>
            <w:pPr>
              <w:ind w:left="300"/>
              <w:spacing w:after="0"/>
              <w:rPr>
                <w:sz w:val="20"/>
                <w:szCs w:val="20"/>
                <w:color w:val="auto"/>
              </w:rPr>
            </w:pPr>
            <w:r>
              <w:rPr>
                <w:rFonts w:ascii="Arial" w:cs="Arial" w:eastAsia="Arial" w:hAnsi="Arial"/>
                <w:sz w:val="18"/>
                <w:szCs w:val="18"/>
                <w:color w:val="auto"/>
              </w:rPr>
              <w:t>Successors and Assigns</w:t>
            </w:r>
          </w:p>
        </w:tc>
        <w:tc>
          <w:tcPr>
            <w:tcW w:w="2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1900" w:type="dxa"/>
            <w:vAlign w:val="bottom"/>
          </w:tcPr>
          <w:p>
            <w:pPr>
              <w:ind w:left="440"/>
              <w:spacing w:after="0"/>
              <w:rPr>
                <w:sz w:val="20"/>
                <w:szCs w:val="20"/>
                <w:color w:val="auto"/>
              </w:rPr>
            </w:pPr>
            <w:r>
              <w:rPr>
                <w:rFonts w:ascii="Arial" w:cs="Arial" w:eastAsia="Arial" w:hAnsi="Arial"/>
                <w:sz w:val="18"/>
                <w:szCs w:val="18"/>
                <w:color w:val="auto"/>
              </w:rPr>
              <w:t>SECTION 9.05.</w:t>
            </w:r>
          </w:p>
        </w:tc>
        <w:tc>
          <w:tcPr>
            <w:tcW w:w="7080" w:type="dxa"/>
            <w:vAlign w:val="bottom"/>
          </w:tcPr>
          <w:p>
            <w:pPr>
              <w:ind w:left="300"/>
              <w:spacing w:after="0"/>
              <w:rPr>
                <w:sz w:val="20"/>
                <w:szCs w:val="20"/>
                <w:color w:val="auto"/>
              </w:rPr>
            </w:pPr>
            <w:r>
              <w:rPr>
                <w:rFonts w:ascii="Arial" w:cs="Arial" w:eastAsia="Arial" w:hAnsi="Arial"/>
                <w:sz w:val="18"/>
                <w:szCs w:val="18"/>
                <w:color w:val="auto"/>
              </w:rPr>
              <w:t>Survival</w:t>
            </w:r>
          </w:p>
        </w:tc>
        <w:tc>
          <w:tcPr>
            <w:tcW w:w="2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1900" w:type="dxa"/>
            <w:vAlign w:val="bottom"/>
          </w:tcPr>
          <w:p>
            <w:pPr>
              <w:ind w:left="440"/>
              <w:spacing w:after="0"/>
              <w:rPr>
                <w:sz w:val="20"/>
                <w:szCs w:val="20"/>
                <w:color w:val="auto"/>
              </w:rPr>
            </w:pPr>
            <w:r>
              <w:rPr>
                <w:rFonts w:ascii="Arial" w:cs="Arial" w:eastAsia="Arial" w:hAnsi="Arial"/>
                <w:sz w:val="18"/>
                <w:szCs w:val="18"/>
                <w:color w:val="auto"/>
              </w:rPr>
              <w:t>SECTION 9.06.</w:t>
            </w:r>
          </w:p>
        </w:tc>
        <w:tc>
          <w:tcPr>
            <w:tcW w:w="7080" w:type="dxa"/>
            <w:vAlign w:val="bottom"/>
          </w:tcPr>
          <w:p>
            <w:pPr>
              <w:ind w:left="300"/>
              <w:spacing w:after="0"/>
              <w:rPr>
                <w:sz w:val="20"/>
                <w:szCs w:val="20"/>
                <w:color w:val="auto"/>
              </w:rPr>
            </w:pPr>
            <w:r>
              <w:rPr>
                <w:rFonts w:ascii="Arial" w:cs="Arial" w:eastAsia="Arial" w:hAnsi="Arial"/>
                <w:sz w:val="18"/>
                <w:szCs w:val="18"/>
                <w:color w:val="auto"/>
              </w:rPr>
              <w:t>Counterparts; Integration; Effectiveness; Electronic Execution</w:t>
            </w:r>
          </w:p>
        </w:tc>
        <w:tc>
          <w:tcPr>
            <w:tcW w:w="21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1900" w:type="dxa"/>
            <w:vAlign w:val="bottom"/>
          </w:tcPr>
          <w:p>
            <w:pPr>
              <w:ind w:left="440"/>
              <w:spacing w:after="0"/>
              <w:rPr>
                <w:sz w:val="20"/>
                <w:szCs w:val="20"/>
                <w:color w:val="auto"/>
              </w:rPr>
            </w:pPr>
            <w:r>
              <w:rPr>
                <w:rFonts w:ascii="Arial" w:cs="Arial" w:eastAsia="Arial" w:hAnsi="Arial"/>
                <w:sz w:val="18"/>
                <w:szCs w:val="18"/>
                <w:color w:val="auto"/>
              </w:rPr>
              <w:t>SECTION 9.07.</w:t>
            </w:r>
          </w:p>
        </w:tc>
        <w:tc>
          <w:tcPr>
            <w:tcW w:w="708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1900" w:type="dxa"/>
            <w:vAlign w:val="bottom"/>
          </w:tcPr>
          <w:p>
            <w:pPr>
              <w:ind w:left="440"/>
              <w:spacing w:after="0"/>
              <w:rPr>
                <w:sz w:val="20"/>
                <w:szCs w:val="20"/>
                <w:color w:val="auto"/>
              </w:rPr>
            </w:pPr>
            <w:r>
              <w:rPr>
                <w:rFonts w:ascii="Arial" w:cs="Arial" w:eastAsia="Arial" w:hAnsi="Arial"/>
                <w:sz w:val="18"/>
                <w:szCs w:val="18"/>
                <w:color w:val="auto"/>
              </w:rPr>
              <w:t>SECTION 9.08.</w:t>
            </w:r>
          </w:p>
        </w:tc>
        <w:tc>
          <w:tcPr>
            <w:tcW w:w="7080" w:type="dxa"/>
            <w:vAlign w:val="bottom"/>
          </w:tcPr>
          <w:p>
            <w:pPr>
              <w:ind w:left="300"/>
              <w:spacing w:after="0"/>
              <w:rPr>
                <w:sz w:val="20"/>
                <w:szCs w:val="20"/>
                <w:color w:val="auto"/>
              </w:rPr>
            </w:pPr>
            <w:r>
              <w:rPr>
                <w:rFonts w:ascii="Arial" w:cs="Arial" w:eastAsia="Arial" w:hAnsi="Arial"/>
                <w:sz w:val="18"/>
                <w:szCs w:val="18"/>
                <w:color w:val="auto"/>
              </w:rPr>
              <w:t>Right of Setoff</w:t>
            </w:r>
          </w:p>
        </w:tc>
        <w:tc>
          <w:tcPr>
            <w:tcW w:w="21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1900" w:type="dxa"/>
            <w:vAlign w:val="bottom"/>
          </w:tcPr>
          <w:p>
            <w:pPr>
              <w:ind w:left="440"/>
              <w:spacing w:after="0"/>
              <w:rPr>
                <w:sz w:val="20"/>
                <w:szCs w:val="20"/>
                <w:color w:val="auto"/>
              </w:rPr>
            </w:pPr>
            <w:r>
              <w:rPr>
                <w:rFonts w:ascii="Arial" w:cs="Arial" w:eastAsia="Arial" w:hAnsi="Arial"/>
                <w:sz w:val="18"/>
                <w:szCs w:val="18"/>
                <w:color w:val="auto"/>
              </w:rPr>
              <w:t>SECTION 9.09.</w:t>
            </w:r>
          </w:p>
        </w:tc>
        <w:tc>
          <w:tcPr>
            <w:tcW w:w="7080" w:type="dxa"/>
            <w:vAlign w:val="bottom"/>
          </w:tcPr>
          <w:p>
            <w:pPr>
              <w:ind w:left="300"/>
              <w:spacing w:after="0"/>
              <w:rPr>
                <w:sz w:val="20"/>
                <w:szCs w:val="20"/>
                <w:color w:val="auto"/>
              </w:rPr>
            </w:pPr>
            <w:r>
              <w:rPr>
                <w:rFonts w:ascii="Arial" w:cs="Arial" w:eastAsia="Arial" w:hAnsi="Arial"/>
                <w:sz w:val="18"/>
                <w:szCs w:val="18"/>
                <w:color w:val="auto"/>
              </w:rPr>
              <w:t>Governing Law; Jurisdiction; Etc</w:t>
            </w:r>
          </w:p>
        </w:tc>
        <w:tc>
          <w:tcPr>
            <w:tcW w:w="21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900" w:type="dxa"/>
            <w:vAlign w:val="bottom"/>
          </w:tcPr>
          <w:p>
            <w:pPr>
              <w:ind w:left="440"/>
              <w:spacing w:after="0"/>
              <w:rPr>
                <w:sz w:val="20"/>
                <w:szCs w:val="20"/>
                <w:color w:val="auto"/>
              </w:rPr>
            </w:pPr>
            <w:r>
              <w:rPr>
                <w:rFonts w:ascii="Arial" w:cs="Arial" w:eastAsia="Arial" w:hAnsi="Arial"/>
                <w:sz w:val="18"/>
                <w:szCs w:val="18"/>
                <w:color w:val="auto"/>
              </w:rPr>
              <w:t>SECTION 9.10.</w:t>
            </w:r>
          </w:p>
        </w:tc>
        <w:tc>
          <w:tcPr>
            <w:tcW w:w="7080" w:type="dxa"/>
            <w:vAlign w:val="bottom"/>
          </w:tcPr>
          <w:p>
            <w:pPr>
              <w:ind w:left="300"/>
              <w:spacing w:after="0"/>
              <w:rPr>
                <w:sz w:val="20"/>
                <w:szCs w:val="20"/>
                <w:color w:val="auto"/>
              </w:rPr>
            </w:pPr>
            <w:r>
              <w:rPr>
                <w:rFonts w:ascii="Arial" w:cs="Arial" w:eastAsia="Arial" w:hAnsi="Arial"/>
                <w:sz w:val="18"/>
                <w:szCs w:val="18"/>
                <w:color w:val="auto"/>
              </w:rPr>
              <w:t>WAIVER OF JURY TRIAL</w:t>
            </w:r>
          </w:p>
        </w:tc>
        <w:tc>
          <w:tcPr>
            <w:tcW w:w="21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900" w:type="dxa"/>
            <w:vAlign w:val="bottom"/>
          </w:tcPr>
          <w:p>
            <w:pPr>
              <w:ind w:left="440"/>
              <w:spacing w:after="0"/>
              <w:rPr>
                <w:sz w:val="20"/>
                <w:szCs w:val="20"/>
                <w:color w:val="auto"/>
              </w:rPr>
            </w:pPr>
            <w:r>
              <w:rPr>
                <w:rFonts w:ascii="Arial" w:cs="Arial" w:eastAsia="Arial" w:hAnsi="Arial"/>
                <w:sz w:val="18"/>
                <w:szCs w:val="18"/>
                <w:color w:val="auto"/>
              </w:rPr>
              <w:t>SECTION 9.11.</w:t>
            </w:r>
          </w:p>
        </w:tc>
        <w:tc>
          <w:tcPr>
            <w:tcW w:w="7080" w:type="dxa"/>
            <w:vAlign w:val="bottom"/>
          </w:tcPr>
          <w:p>
            <w:pPr>
              <w:ind w:left="300"/>
              <w:spacing w:after="0"/>
              <w:rPr>
                <w:sz w:val="20"/>
                <w:szCs w:val="20"/>
                <w:color w:val="auto"/>
              </w:rPr>
            </w:pPr>
            <w:r>
              <w:rPr>
                <w:rFonts w:ascii="Arial" w:cs="Arial" w:eastAsia="Arial" w:hAnsi="Arial"/>
                <w:sz w:val="18"/>
                <w:szCs w:val="18"/>
                <w:color w:val="auto"/>
              </w:rPr>
              <w:t>Judgment Currency</w:t>
            </w:r>
          </w:p>
        </w:tc>
        <w:tc>
          <w:tcPr>
            <w:tcW w:w="21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1900" w:type="dxa"/>
            <w:vAlign w:val="bottom"/>
          </w:tcPr>
          <w:p>
            <w:pPr>
              <w:ind w:left="440"/>
              <w:spacing w:after="0"/>
              <w:rPr>
                <w:sz w:val="20"/>
                <w:szCs w:val="20"/>
                <w:color w:val="auto"/>
              </w:rPr>
            </w:pPr>
            <w:r>
              <w:rPr>
                <w:rFonts w:ascii="Arial" w:cs="Arial" w:eastAsia="Arial" w:hAnsi="Arial"/>
                <w:sz w:val="18"/>
                <w:szCs w:val="18"/>
                <w:color w:val="auto"/>
              </w:rPr>
              <w:t>SECTION 9.12.</w:t>
            </w:r>
          </w:p>
        </w:tc>
        <w:tc>
          <w:tcPr>
            <w:tcW w:w="7080" w:type="dxa"/>
            <w:vAlign w:val="bottom"/>
          </w:tcPr>
          <w:p>
            <w:pPr>
              <w:ind w:left="300"/>
              <w:spacing w:after="0"/>
              <w:rPr>
                <w:sz w:val="20"/>
                <w:szCs w:val="20"/>
                <w:color w:val="auto"/>
              </w:rPr>
            </w:pPr>
            <w:r>
              <w:rPr>
                <w:rFonts w:ascii="Arial" w:cs="Arial" w:eastAsia="Arial" w:hAnsi="Arial"/>
                <w:sz w:val="18"/>
                <w:szCs w:val="18"/>
                <w:color w:val="auto"/>
              </w:rPr>
              <w:t>Headings</w:t>
            </w:r>
          </w:p>
        </w:tc>
        <w:tc>
          <w:tcPr>
            <w:tcW w:w="21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1900" w:type="dxa"/>
            <w:vAlign w:val="bottom"/>
          </w:tcPr>
          <w:p>
            <w:pPr>
              <w:ind w:left="440"/>
              <w:spacing w:after="0"/>
              <w:rPr>
                <w:sz w:val="20"/>
                <w:szCs w:val="20"/>
                <w:color w:val="auto"/>
              </w:rPr>
            </w:pPr>
            <w:r>
              <w:rPr>
                <w:rFonts w:ascii="Arial" w:cs="Arial" w:eastAsia="Arial" w:hAnsi="Arial"/>
                <w:sz w:val="18"/>
                <w:szCs w:val="18"/>
                <w:color w:val="auto"/>
              </w:rPr>
              <w:t>SECTION 9.13.</w:t>
            </w:r>
          </w:p>
        </w:tc>
        <w:tc>
          <w:tcPr>
            <w:tcW w:w="7080" w:type="dxa"/>
            <w:vAlign w:val="bottom"/>
          </w:tcPr>
          <w:p>
            <w:pPr>
              <w:ind w:left="300"/>
              <w:spacing w:after="0"/>
              <w:rPr>
                <w:sz w:val="20"/>
                <w:szCs w:val="20"/>
                <w:color w:val="auto"/>
              </w:rPr>
            </w:pPr>
            <w:r>
              <w:rPr>
                <w:rFonts w:ascii="Arial" w:cs="Arial" w:eastAsia="Arial" w:hAnsi="Arial"/>
                <w:sz w:val="18"/>
                <w:szCs w:val="18"/>
                <w:color w:val="auto"/>
              </w:rPr>
              <w:t>Treatment of Certain Information; No Fiduciary Duty; Confidentiality</w:t>
            </w:r>
          </w:p>
        </w:tc>
        <w:tc>
          <w:tcPr>
            <w:tcW w:w="21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1900" w:type="dxa"/>
            <w:vAlign w:val="bottom"/>
          </w:tcPr>
          <w:p>
            <w:pPr>
              <w:ind w:left="440"/>
              <w:spacing w:after="0"/>
              <w:rPr>
                <w:sz w:val="20"/>
                <w:szCs w:val="20"/>
                <w:color w:val="auto"/>
              </w:rPr>
            </w:pPr>
            <w:r>
              <w:rPr>
                <w:rFonts w:ascii="Arial" w:cs="Arial" w:eastAsia="Arial" w:hAnsi="Arial"/>
                <w:sz w:val="18"/>
                <w:szCs w:val="18"/>
                <w:color w:val="auto"/>
              </w:rPr>
              <w:t>SECTION 9.14.</w:t>
            </w:r>
          </w:p>
        </w:tc>
        <w:tc>
          <w:tcPr>
            <w:tcW w:w="7080" w:type="dxa"/>
            <w:vAlign w:val="bottom"/>
          </w:tcPr>
          <w:p>
            <w:pPr>
              <w:ind w:left="300"/>
              <w:spacing w:after="0"/>
              <w:rPr>
                <w:sz w:val="20"/>
                <w:szCs w:val="20"/>
                <w:color w:val="auto"/>
              </w:rPr>
            </w:pPr>
            <w:r>
              <w:rPr>
                <w:rFonts w:ascii="Arial" w:cs="Arial" w:eastAsia="Arial" w:hAnsi="Arial"/>
                <w:sz w:val="18"/>
                <w:szCs w:val="18"/>
                <w:color w:val="auto"/>
              </w:rPr>
              <w:t>USA PATRIOT Act</w:t>
            </w:r>
          </w:p>
        </w:tc>
        <w:tc>
          <w:tcPr>
            <w:tcW w:w="21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1900" w:type="dxa"/>
            <w:vAlign w:val="bottom"/>
          </w:tcPr>
          <w:p>
            <w:pPr>
              <w:ind w:left="440"/>
              <w:spacing w:after="0"/>
              <w:rPr>
                <w:sz w:val="20"/>
                <w:szCs w:val="20"/>
                <w:color w:val="auto"/>
              </w:rPr>
            </w:pPr>
            <w:r>
              <w:rPr>
                <w:rFonts w:ascii="Arial" w:cs="Arial" w:eastAsia="Arial" w:hAnsi="Arial"/>
                <w:sz w:val="18"/>
                <w:szCs w:val="18"/>
                <w:color w:val="auto"/>
              </w:rPr>
              <w:t>SECTION 9.15.</w:t>
            </w:r>
          </w:p>
        </w:tc>
        <w:tc>
          <w:tcPr>
            <w:tcW w:w="7080" w:type="dxa"/>
            <w:vAlign w:val="bottom"/>
          </w:tcPr>
          <w:p>
            <w:pPr>
              <w:ind w:left="300"/>
              <w:spacing w:after="0"/>
              <w:rPr>
                <w:sz w:val="20"/>
                <w:szCs w:val="20"/>
                <w:color w:val="auto"/>
              </w:rPr>
            </w:pPr>
            <w:r>
              <w:rPr>
                <w:rFonts w:ascii="Arial" w:cs="Arial" w:eastAsia="Arial" w:hAnsi="Arial"/>
                <w:sz w:val="18"/>
                <w:szCs w:val="18"/>
                <w:color w:val="auto"/>
              </w:rPr>
              <w:t>Effect of Amendment and Restatement of the Existing Agreement</w:t>
            </w:r>
          </w:p>
        </w:tc>
        <w:tc>
          <w:tcPr>
            <w:tcW w:w="21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513"/>
        </w:trPr>
        <w:tc>
          <w:tcPr>
            <w:tcW w:w="1900" w:type="dxa"/>
            <w:vAlign w:val="bottom"/>
          </w:tcPr>
          <w:p>
            <w:pPr>
              <w:spacing w:after="0"/>
              <w:rPr>
                <w:sz w:val="20"/>
                <w:szCs w:val="20"/>
                <w:color w:val="auto"/>
              </w:rPr>
            </w:pPr>
            <w:r>
              <w:rPr>
                <w:rFonts w:ascii="Arial" w:cs="Arial" w:eastAsia="Arial" w:hAnsi="Arial"/>
                <w:sz w:val="18"/>
                <w:szCs w:val="18"/>
                <w:color w:val="auto"/>
              </w:rPr>
              <w:t>701007202 11262547</w:t>
            </w:r>
          </w:p>
        </w:tc>
        <w:tc>
          <w:tcPr>
            <w:tcW w:w="7080" w:type="dxa"/>
            <w:vAlign w:val="bottom"/>
          </w:tcPr>
          <w:p>
            <w:pPr>
              <w:ind w:left="3720"/>
              <w:spacing w:after="0"/>
              <w:rPr>
                <w:sz w:val="20"/>
                <w:szCs w:val="20"/>
                <w:color w:val="auto"/>
              </w:rPr>
            </w:pPr>
            <w:r>
              <w:rPr>
                <w:rFonts w:ascii="Arial" w:cs="Arial" w:eastAsia="Arial" w:hAnsi="Arial"/>
                <w:sz w:val="18"/>
                <w:szCs w:val="18"/>
                <w:color w:val="auto"/>
              </w:rPr>
              <w:t>-iv-</w:t>
            </w:r>
          </w:p>
        </w:tc>
        <w:tc>
          <w:tcPr>
            <w:tcW w:w="2160" w:type="dxa"/>
            <w:vAlign w:val="bottom"/>
          </w:tcPr>
          <w:p>
            <w:pPr>
              <w:spacing w:after="0"/>
              <w:rPr>
                <w:sz w:val="24"/>
                <w:szCs w:val="24"/>
                <w:color w:val="auto"/>
              </w:rPr>
            </w:pPr>
          </w:p>
        </w:tc>
      </w:tr>
    </w:tbl>
    <w:p>
      <w:pPr>
        <w:sectPr>
          <w:pgSz w:w="11900" w:h="16838" w:orient="portrait"/>
          <w:cols w:equalWidth="0" w:num="1">
            <w:col w:w="11140"/>
          </w:cols>
          <w:pgMar w:left="320" w:top="274" w:right="439" w:bottom="1440" w:gutter="0" w:footer="0" w:header="0"/>
        </w:sectPr>
      </w:pPr>
    </w:p>
    <w:bookmarkStart w:id="46" w:name="page47"/>
    <w:bookmarkEnd w:id="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180" w:type="dxa"/>
            <w:vAlign w:val="bottom"/>
          </w:tcPr>
          <w:p>
            <w:pPr>
              <w:ind w:left="440"/>
              <w:spacing w:after="0"/>
              <w:rPr>
                <w:sz w:val="20"/>
                <w:szCs w:val="20"/>
                <w:color w:val="auto"/>
              </w:rPr>
            </w:pPr>
            <w:r>
              <w:rPr>
                <w:rFonts w:ascii="Arial" w:cs="Arial" w:eastAsia="Arial" w:hAnsi="Arial"/>
                <w:sz w:val="18"/>
                <w:szCs w:val="18"/>
                <w:color w:val="auto"/>
              </w:rPr>
              <w:t>SCHEDULE 1.01(a)</w:t>
            </w:r>
          </w:p>
        </w:tc>
        <w:tc>
          <w:tcPr>
            <w:tcW w:w="7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3900" w:type="dxa"/>
            <w:vAlign w:val="bottom"/>
          </w:tcPr>
          <w:p>
            <w:pPr>
              <w:ind w:left="380"/>
              <w:spacing w:after="0"/>
              <w:rPr>
                <w:sz w:val="20"/>
                <w:szCs w:val="20"/>
                <w:color w:val="auto"/>
              </w:rPr>
            </w:pPr>
            <w:r>
              <w:rPr>
                <w:rFonts w:ascii="Arial" w:cs="Arial" w:eastAsia="Arial" w:hAnsi="Arial"/>
                <w:sz w:val="18"/>
                <w:szCs w:val="18"/>
                <w:color w:val="auto"/>
                <w:w w:val="88"/>
              </w:rPr>
              <w:t>Approved Dealers and Approved Pricing Services</w:t>
            </w:r>
          </w:p>
        </w:tc>
      </w:tr>
      <w:tr>
        <w:trPr>
          <w:trHeight w:val="216"/>
        </w:trPr>
        <w:tc>
          <w:tcPr>
            <w:tcW w:w="2180" w:type="dxa"/>
            <w:vAlign w:val="bottom"/>
          </w:tcPr>
          <w:p>
            <w:pPr>
              <w:ind w:left="440"/>
              <w:spacing w:after="0"/>
              <w:rPr>
                <w:sz w:val="20"/>
                <w:szCs w:val="20"/>
                <w:color w:val="auto"/>
              </w:rPr>
            </w:pPr>
            <w:r>
              <w:rPr>
                <w:rFonts w:ascii="Arial" w:cs="Arial" w:eastAsia="Arial" w:hAnsi="Arial"/>
                <w:sz w:val="18"/>
                <w:szCs w:val="18"/>
                <w:color w:val="auto"/>
              </w:rPr>
              <w:t>SCHEDULE 1.01(b)</w:t>
            </w:r>
          </w:p>
        </w:tc>
        <w:tc>
          <w:tcPr>
            <w:tcW w:w="7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3900" w:type="dxa"/>
            <w:vAlign w:val="bottom"/>
          </w:tcPr>
          <w:p>
            <w:pPr>
              <w:ind w:left="380"/>
              <w:spacing w:after="0"/>
              <w:rPr>
                <w:sz w:val="20"/>
                <w:szCs w:val="20"/>
                <w:color w:val="auto"/>
              </w:rPr>
            </w:pPr>
            <w:r>
              <w:rPr>
                <w:rFonts w:ascii="Arial" w:cs="Arial" w:eastAsia="Arial" w:hAnsi="Arial"/>
                <w:sz w:val="18"/>
                <w:szCs w:val="18"/>
                <w:color w:val="auto"/>
              </w:rPr>
              <w:t>Commitments</w:t>
            </w:r>
          </w:p>
        </w:tc>
      </w:tr>
      <w:tr>
        <w:trPr>
          <w:trHeight w:val="216"/>
        </w:trPr>
        <w:tc>
          <w:tcPr>
            <w:tcW w:w="2180" w:type="dxa"/>
            <w:vAlign w:val="bottom"/>
          </w:tcPr>
          <w:p>
            <w:pPr>
              <w:ind w:left="440"/>
              <w:spacing w:after="0"/>
              <w:rPr>
                <w:sz w:val="20"/>
                <w:szCs w:val="20"/>
                <w:color w:val="auto"/>
              </w:rPr>
            </w:pPr>
            <w:r>
              <w:rPr>
                <w:rFonts w:ascii="Arial" w:cs="Arial" w:eastAsia="Arial" w:hAnsi="Arial"/>
                <w:sz w:val="18"/>
                <w:szCs w:val="18"/>
                <w:color w:val="auto"/>
              </w:rPr>
              <w:t>SCHEDULE 1.01(c)</w:t>
            </w:r>
          </w:p>
        </w:tc>
        <w:tc>
          <w:tcPr>
            <w:tcW w:w="7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3900" w:type="dxa"/>
            <w:vAlign w:val="bottom"/>
          </w:tcPr>
          <w:p>
            <w:pPr>
              <w:ind w:left="380"/>
              <w:spacing w:after="0"/>
              <w:rPr>
                <w:sz w:val="20"/>
                <w:szCs w:val="20"/>
                <w:color w:val="auto"/>
              </w:rPr>
            </w:pPr>
            <w:r>
              <w:rPr>
                <w:rFonts w:ascii="Arial" w:cs="Arial" w:eastAsia="Arial" w:hAnsi="Arial"/>
                <w:sz w:val="18"/>
                <w:szCs w:val="18"/>
                <w:color w:val="auto"/>
              </w:rPr>
              <w:t>Industry Classification Group List</w:t>
            </w:r>
          </w:p>
        </w:tc>
      </w:tr>
      <w:tr>
        <w:trPr>
          <w:trHeight w:val="216"/>
        </w:trPr>
        <w:tc>
          <w:tcPr>
            <w:tcW w:w="2180" w:type="dxa"/>
            <w:vAlign w:val="bottom"/>
          </w:tcPr>
          <w:p>
            <w:pPr>
              <w:ind w:left="440"/>
              <w:spacing w:after="0"/>
              <w:rPr>
                <w:sz w:val="20"/>
                <w:szCs w:val="20"/>
                <w:color w:val="auto"/>
              </w:rPr>
            </w:pPr>
            <w:r>
              <w:rPr>
                <w:rFonts w:ascii="Arial" w:cs="Arial" w:eastAsia="Arial" w:hAnsi="Arial"/>
                <w:sz w:val="18"/>
                <w:szCs w:val="18"/>
                <w:color w:val="auto"/>
              </w:rPr>
              <w:t>SCHEDULE 3.11</w:t>
            </w:r>
          </w:p>
        </w:tc>
        <w:tc>
          <w:tcPr>
            <w:tcW w:w="7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3900" w:type="dxa"/>
            <w:vAlign w:val="bottom"/>
          </w:tcPr>
          <w:p>
            <w:pPr>
              <w:ind w:left="380"/>
              <w:spacing w:after="0"/>
              <w:rPr>
                <w:sz w:val="20"/>
                <w:szCs w:val="20"/>
                <w:color w:val="auto"/>
              </w:rPr>
            </w:pPr>
            <w:r>
              <w:rPr>
                <w:rFonts w:ascii="Arial" w:cs="Arial" w:eastAsia="Arial" w:hAnsi="Arial"/>
                <w:sz w:val="18"/>
                <w:szCs w:val="18"/>
                <w:color w:val="auto"/>
              </w:rPr>
              <w:t>Material Agreements and Liens</w:t>
            </w:r>
          </w:p>
        </w:tc>
      </w:tr>
      <w:tr>
        <w:trPr>
          <w:trHeight w:val="216"/>
        </w:trPr>
        <w:tc>
          <w:tcPr>
            <w:tcW w:w="2180" w:type="dxa"/>
            <w:vAlign w:val="bottom"/>
          </w:tcPr>
          <w:p>
            <w:pPr>
              <w:ind w:left="440"/>
              <w:spacing w:after="0"/>
              <w:rPr>
                <w:sz w:val="20"/>
                <w:szCs w:val="20"/>
                <w:color w:val="auto"/>
              </w:rPr>
            </w:pPr>
            <w:r>
              <w:rPr>
                <w:rFonts w:ascii="Arial" w:cs="Arial" w:eastAsia="Arial" w:hAnsi="Arial"/>
                <w:sz w:val="18"/>
                <w:szCs w:val="18"/>
                <w:color w:val="auto"/>
              </w:rPr>
              <w:t>SCHEDULE 3.12(a)</w:t>
            </w:r>
          </w:p>
        </w:tc>
        <w:tc>
          <w:tcPr>
            <w:tcW w:w="7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3900" w:type="dxa"/>
            <w:vAlign w:val="bottom"/>
          </w:tcPr>
          <w:p>
            <w:pPr>
              <w:ind w:left="380"/>
              <w:spacing w:after="0"/>
              <w:rPr>
                <w:sz w:val="20"/>
                <w:szCs w:val="20"/>
                <w:color w:val="auto"/>
              </w:rPr>
            </w:pPr>
            <w:r>
              <w:rPr>
                <w:rFonts w:ascii="Arial" w:cs="Arial" w:eastAsia="Arial" w:hAnsi="Arial"/>
                <w:sz w:val="18"/>
                <w:szCs w:val="18"/>
                <w:color w:val="auto"/>
              </w:rPr>
              <w:t>Subsidiaries</w:t>
            </w:r>
          </w:p>
        </w:tc>
      </w:tr>
      <w:tr>
        <w:trPr>
          <w:trHeight w:val="216"/>
        </w:trPr>
        <w:tc>
          <w:tcPr>
            <w:tcW w:w="2180" w:type="dxa"/>
            <w:vAlign w:val="bottom"/>
          </w:tcPr>
          <w:p>
            <w:pPr>
              <w:ind w:left="440"/>
              <w:spacing w:after="0"/>
              <w:rPr>
                <w:sz w:val="20"/>
                <w:szCs w:val="20"/>
                <w:color w:val="auto"/>
              </w:rPr>
            </w:pPr>
            <w:r>
              <w:rPr>
                <w:rFonts w:ascii="Arial" w:cs="Arial" w:eastAsia="Arial" w:hAnsi="Arial"/>
                <w:sz w:val="18"/>
                <w:szCs w:val="18"/>
                <w:color w:val="auto"/>
              </w:rPr>
              <w:t>SCHEDULE 3.12(b)</w:t>
            </w:r>
          </w:p>
        </w:tc>
        <w:tc>
          <w:tcPr>
            <w:tcW w:w="7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3900" w:type="dxa"/>
            <w:vAlign w:val="bottom"/>
          </w:tcPr>
          <w:p>
            <w:pPr>
              <w:ind w:left="380"/>
              <w:spacing w:after="0"/>
              <w:rPr>
                <w:sz w:val="20"/>
                <w:szCs w:val="20"/>
                <w:color w:val="auto"/>
              </w:rPr>
            </w:pPr>
            <w:r>
              <w:rPr>
                <w:rFonts w:ascii="Arial" w:cs="Arial" w:eastAsia="Arial" w:hAnsi="Arial"/>
                <w:sz w:val="18"/>
                <w:szCs w:val="18"/>
                <w:color w:val="auto"/>
              </w:rPr>
              <w:t>Investments</w:t>
            </w:r>
          </w:p>
        </w:tc>
      </w:tr>
      <w:tr>
        <w:trPr>
          <w:trHeight w:val="222"/>
        </w:trPr>
        <w:tc>
          <w:tcPr>
            <w:tcW w:w="2180" w:type="dxa"/>
            <w:vAlign w:val="bottom"/>
          </w:tcPr>
          <w:p>
            <w:pPr>
              <w:ind w:left="440"/>
              <w:spacing w:after="0"/>
              <w:rPr>
                <w:sz w:val="20"/>
                <w:szCs w:val="20"/>
                <w:color w:val="auto"/>
              </w:rPr>
            </w:pPr>
            <w:r>
              <w:rPr>
                <w:rFonts w:ascii="Arial" w:cs="Arial" w:eastAsia="Arial" w:hAnsi="Arial"/>
                <w:sz w:val="18"/>
                <w:szCs w:val="18"/>
                <w:color w:val="auto"/>
              </w:rPr>
              <w:t>SCHEDULE 6.08</w:t>
            </w:r>
          </w:p>
        </w:tc>
        <w:tc>
          <w:tcPr>
            <w:tcW w:w="7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3900" w:type="dxa"/>
            <w:vAlign w:val="bottom"/>
          </w:tcPr>
          <w:p>
            <w:pPr>
              <w:ind w:left="380"/>
              <w:spacing w:after="0"/>
              <w:rPr>
                <w:sz w:val="20"/>
                <w:szCs w:val="20"/>
                <w:color w:val="auto"/>
              </w:rPr>
            </w:pPr>
            <w:r>
              <w:rPr>
                <w:rFonts w:ascii="Arial" w:cs="Arial" w:eastAsia="Arial" w:hAnsi="Arial"/>
                <w:sz w:val="18"/>
                <w:szCs w:val="18"/>
                <w:color w:val="auto"/>
              </w:rPr>
              <w:t>Transactions with Affiliates</w:t>
            </w:r>
          </w:p>
        </w:tc>
      </w:tr>
      <w:tr>
        <w:trPr>
          <w:trHeight w:val="426"/>
        </w:trPr>
        <w:tc>
          <w:tcPr>
            <w:tcW w:w="2180" w:type="dxa"/>
            <w:vAlign w:val="bottom"/>
          </w:tcPr>
          <w:p>
            <w:pPr>
              <w:ind w:left="440"/>
              <w:spacing w:after="0"/>
              <w:rPr>
                <w:sz w:val="20"/>
                <w:szCs w:val="20"/>
                <w:color w:val="auto"/>
              </w:rPr>
            </w:pPr>
            <w:r>
              <w:rPr>
                <w:rFonts w:ascii="Arial" w:cs="Arial" w:eastAsia="Arial" w:hAnsi="Arial"/>
                <w:sz w:val="18"/>
                <w:szCs w:val="18"/>
                <w:color w:val="auto"/>
              </w:rPr>
              <w:t>EXHIBIT A</w:t>
            </w:r>
          </w:p>
        </w:tc>
        <w:tc>
          <w:tcPr>
            <w:tcW w:w="7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3900" w:type="dxa"/>
            <w:vAlign w:val="bottom"/>
          </w:tcPr>
          <w:p>
            <w:pPr>
              <w:ind w:left="380"/>
              <w:spacing w:after="0"/>
              <w:rPr>
                <w:sz w:val="20"/>
                <w:szCs w:val="20"/>
                <w:color w:val="auto"/>
              </w:rPr>
            </w:pPr>
            <w:r>
              <w:rPr>
                <w:rFonts w:ascii="Arial" w:cs="Arial" w:eastAsia="Arial" w:hAnsi="Arial"/>
                <w:sz w:val="18"/>
                <w:szCs w:val="18"/>
                <w:color w:val="auto"/>
              </w:rPr>
              <w:t>Form of Assignment and Assumption</w:t>
            </w:r>
          </w:p>
        </w:tc>
      </w:tr>
      <w:tr>
        <w:trPr>
          <w:trHeight w:val="222"/>
        </w:trPr>
        <w:tc>
          <w:tcPr>
            <w:tcW w:w="2180" w:type="dxa"/>
            <w:vAlign w:val="bottom"/>
          </w:tcPr>
          <w:p>
            <w:pPr>
              <w:ind w:left="440"/>
              <w:spacing w:after="0"/>
              <w:rPr>
                <w:sz w:val="20"/>
                <w:szCs w:val="20"/>
                <w:color w:val="auto"/>
              </w:rPr>
            </w:pPr>
            <w:r>
              <w:rPr>
                <w:rFonts w:ascii="Arial" w:cs="Arial" w:eastAsia="Arial" w:hAnsi="Arial"/>
                <w:sz w:val="18"/>
                <w:szCs w:val="18"/>
                <w:color w:val="auto"/>
              </w:rPr>
              <w:t>EXHIBIT B</w:t>
            </w:r>
          </w:p>
        </w:tc>
        <w:tc>
          <w:tcPr>
            <w:tcW w:w="7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3900" w:type="dxa"/>
            <w:vAlign w:val="bottom"/>
          </w:tcPr>
          <w:p>
            <w:pPr>
              <w:ind w:left="380"/>
              <w:spacing w:after="0"/>
              <w:rPr>
                <w:sz w:val="20"/>
                <w:szCs w:val="20"/>
                <w:color w:val="auto"/>
              </w:rPr>
            </w:pPr>
            <w:r>
              <w:rPr>
                <w:rFonts w:ascii="Arial" w:cs="Arial" w:eastAsia="Arial" w:hAnsi="Arial"/>
                <w:sz w:val="18"/>
                <w:szCs w:val="18"/>
                <w:color w:val="auto"/>
              </w:rPr>
              <w:t>Form of Borrowing Base Certificate</w:t>
            </w:r>
          </w:p>
        </w:tc>
      </w:tr>
      <w:tr>
        <w:trPr>
          <w:trHeight w:val="364"/>
        </w:trPr>
        <w:tc>
          <w:tcPr>
            <w:tcW w:w="2180" w:type="dxa"/>
            <w:vAlign w:val="bottom"/>
          </w:tcPr>
          <w:p>
            <w:pPr>
              <w:spacing w:after="0"/>
              <w:rPr>
                <w:sz w:val="20"/>
                <w:szCs w:val="20"/>
                <w:color w:val="auto"/>
              </w:rPr>
            </w:pPr>
            <w:r>
              <w:rPr>
                <w:rFonts w:ascii="Arial" w:cs="Arial" w:eastAsia="Arial" w:hAnsi="Arial"/>
                <w:sz w:val="18"/>
                <w:szCs w:val="18"/>
                <w:color w:val="auto"/>
              </w:rPr>
              <w:t>701007202 11262547</w:t>
            </w:r>
          </w:p>
        </w:tc>
        <w:tc>
          <w:tcPr>
            <w:tcW w:w="72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ectPr>
          <w:pgSz w:w="11900" w:h="16838" w:orient="portrait"/>
          <w:cols w:equalWidth="0" w:num="1">
            <w:col w:w="10139"/>
          </w:cols>
          <w:pgMar w:left="320" w:top="280" w:right="1440" w:bottom="1440" w:gutter="0" w:footer="0" w:header="0"/>
        </w:sectPr>
      </w:pPr>
    </w:p>
    <w:bookmarkStart w:id="47" w:name="page48"/>
    <w:bookmarkEnd w:id="47"/>
    <w:p>
      <w:pPr>
        <w:jc w:val="both"/>
        <w:ind w:right="12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AMENDED AND RESTATED SENIOR SECURED REVOLVING CREDIT AGREEMENT dated as of February 21, 2012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PENNANTPARK INVESTMENT CORPORATION, a Maryland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and SUNTRUST BANK, as Administrative Agent.</w:t>
      </w:r>
    </w:p>
    <w:p>
      <w:pPr>
        <w:spacing w:after="0" w:line="140"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color w:val="auto"/>
        </w:rPr>
        <w:t>Pursuant to the Senior Secured Revolving Credit Agreement dated as of June 25, 2007 (as amended, supplemented or otherwise modified prior to the Effective Date,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among the Borrower, the lenders party thereto (collectively, the “</w:t>
      </w:r>
      <w:r>
        <w:rPr>
          <w:rFonts w:ascii="Arial" w:cs="Arial" w:eastAsia="Arial" w:hAnsi="Arial"/>
          <w:sz w:val="18"/>
          <w:szCs w:val="18"/>
          <w:u w:val="single" w:color="auto"/>
          <w:color w:val="auto"/>
        </w:rPr>
        <w:t>Existing Lenders</w:t>
      </w:r>
      <w:r>
        <w:rPr>
          <w:rFonts w:ascii="Arial" w:cs="Arial" w:eastAsia="Arial" w:hAnsi="Arial"/>
          <w:sz w:val="18"/>
          <w:szCs w:val="18"/>
          <w:color w:val="auto"/>
        </w:rPr>
        <w:t>”) and the Administrative Agent, the Existing Lenders agreed to make extensions of credit to the Borrower on the terms and conditions set forth therein, including making loans (the “</w:t>
      </w:r>
      <w:r>
        <w:rPr>
          <w:rFonts w:ascii="Arial" w:cs="Arial" w:eastAsia="Arial" w:hAnsi="Arial"/>
          <w:sz w:val="18"/>
          <w:szCs w:val="18"/>
          <w:u w:val="single" w:color="auto"/>
          <w:color w:val="auto"/>
        </w:rPr>
        <w:t>Existing Loans</w:t>
      </w:r>
      <w:r>
        <w:rPr>
          <w:rFonts w:ascii="Arial" w:cs="Arial" w:eastAsia="Arial" w:hAnsi="Arial"/>
          <w:sz w:val="18"/>
          <w:szCs w:val="18"/>
          <w:color w:val="auto"/>
        </w:rPr>
        <w:t>”) to the Borrower.</w:t>
      </w:r>
    </w:p>
    <w:p>
      <w:pPr>
        <w:spacing w:after="0" w:line="143" w:lineRule="exact"/>
        <w:rPr>
          <w:sz w:val="20"/>
          <w:szCs w:val="20"/>
          <w:color w:val="auto"/>
        </w:rPr>
      </w:pPr>
    </w:p>
    <w:p>
      <w:pPr>
        <w:ind w:right="20" w:firstLine="898"/>
        <w:spacing w:after="0" w:line="287" w:lineRule="auto"/>
        <w:rPr>
          <w:sz w:val="20"/>
          <w:szCs w:val="20"/>
          <w:color w:val="auto"/>
        </w:rPr>
      </w:pPr>
      <w:r>
        <w:rPr>
          <w:rFonts w:ascii="Arial" w:cs="Arial" w:eastAsia="Arial" w:hAnsi="Arial"/>
          <w:sz w:val="16"/>
          <w:szCs w:val="16"/>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22" w:lineRule="exact"/>
        <w:rPr>
          <w:sz w:val="20"/>
          <w:szCs w:val="20"/>
          <w:color w:val="auto"/>
        </w:rPr>
      </w:pPr>
    </w:p>
    <w:p>
      <w:pPr>
        <w:ind w:right="240" w:firstLine="898"/>
        <w:spacing w:after="0" w:line="268" w:lineRule="auto"/>
        <w:rPr>
          <w:sz w:val="20"/>
          <w:szCs w:val="20"/>
          <w:color w:val="auto"/>
        </w:rPr>
      </w:pPr>
      <w:r>
        <w:rPr>
          <w:rFonts w:ascii="Arial" w:cs="Arial" w:eastAsia="Arial" w:hAnsi="Arial"/>
          <w:sz w:val="18"/>
          <w:szCs w:val="18"/>
          <w:color w:val="auto"/>
        </w:rPr>
        <w:t>The parties hereto hereby agree to amend and restate the Existing Credit Agreement, and the Existing Credit Agreement is hereby amended and restated in its entirety as follows:</w:t>
      </w:r>
    </w:p>
    <w:p>
      <w:pPr>
        <w:spacing w:after="0" w:line="29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71" w:lineRule="exact"/>
        <w:rPr>
          <w:sz w:val="20"/>
          <w:szCs w:val="20"/>
          <w:color w:val="auto"/>
        </w:rPr>
      </w:pPr>
    </w:p>
    <w:p>
      <w:pPr>
        <w:ind w:right="88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32" w:lineRule="exact"/>
        <w:rPr>
          <w:sz w:val="20"/>
          <w:szCs w:val="20"/>
          <w:color w:val="auto"/>
        </w:rPr>
      </w:pPr>
    </w:p>
    <w:p>
      <w:pPr>
        <w:ind w:right="80" w:firstLine="898"/>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Borrowing Base</w:t>
      </w:r>
      <w:r>
        <w:rPr>
          <w:rFonts w:ascii="Arial" w:cs="Arial" w:eastAsia="Arial" w:hAnsi="Arial"/>
          <w:sz w:val="16"/>
          <w:szCs w:val="16"/>
          <w:color w:val="auto"/>
        </w:rPr>
        <w:t xml:space="preserve">” means the Borrowing Base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73"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48" w:name="page49"/>
    <w:bookmarkEnd w:id="48"/>
    <w:p>
      <w:pPr>
        <w:jc w:val="both"/>
        <w:ind w:right="2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Adjusted Covered Debt Balance</w:t>
      </w:r>
      <w:r>
        <w:rPr>
          <w:rFonts w:ascii="Arial" w:cs="Arial" w:eastAsia="Arial" w:hAnsi="Arial"/>
          <w:sz w:val="18"/>
          <w:szCs w:val="18"/>
          <w:color w:val="auto"/>
        </w:rPr>
        <w:t xml:space="preserve">” means, on any date, the aggregate Covered Debt Amount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40" w:lineRule="exact"/>
        <w:rPr>
          <w:sz w:val="20"/>
          <w:szCs w:val="20"/>
          <w:color w:val="auto"/>
        </w:rPr>
      </w:pPr>
    </w:p>
    <w:p>
      <w:pPr>
        <w:ind w:right="80" w:firstLine="898"/>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xml:space="preserve">” means, for the Interest Period for any Eurocurrency Borrowing, an interest rate per annum (rounded upwards, if necessary, to the next 1/16 of 1%) equal to (a) the LIBO Rate for such Interest Period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the Statutory Reserve Rate for such Interest Period.</w:t>
      </w:r>
    </w:p>
    <w:p>
      <w:pPr>
        <w:spacing w:after="0" w:line="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SunTrust, in its capacity as administrative agent for the Lenders hereunder.</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Appraisal Testing Month</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5.12(b)(ii)(E)(z)</w:t>
      </w:r>
      <w:r>
        <w:rPr>
          <w:rFonts w:ascii="Arial" w:cs="Arial" w:eastAsia="Arial" w:hAnsi="Arial"/>
          <w:sz w:val="18"/>
          <w:szCs w:val="18"/>
          <w:color w:val="auto"/>
        </w:rPr>
        <w:t>.</w:t>
      </w:r>
    </w:p>
    <w:p>
      <w:pPr>
        <w:spacing w:after="0" w:line="171" w:lineRule="exact"/>
        <w:rPr>
          <w:sz w:val="20"/>
          <w:szCs w:val="20"/>
          <w:color w:val="auto"/>
        </w:rPr>
      </w:pPr>
    </w:p>
    <w:p>
      <w:pPr>
        <w:ind w:right="10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Account</w:t>
      </w:r>
      <w:r>
        <w:rPr>
          <w:rFonts w:ascii="Arial" w:cs="Arial" w:eastAsia="Arial" w:hAnsi="Arial"/>
          <w:sz w:val="18"/>
          <w:szCs w:val="18"/>
          <w:color w:val="auto"/>
        </w:rPr>
        <w:t>” means, for each Currency, an account in respect of such Currency designated by the Administrative Agent in a notice to the Borrower and the Lenders.</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71" w:lineRule="exact"/>
        <w:rPr>
          <w:sz w:val="20"/>
          <w:szCs w:val="20"/>
          <w:color w:val="auto"/>
        </w:rPr>
      </w:pPr>
    </w:p>
    <w:p>
      <w:pPr>
        <w:ind w:right="120" w:firstLine="89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any Obligor in the ordinary course of business.</w:t>
      </w:r>
    </w:p>
    <w:p>
      <w:pPr>
        <w:spacing w:after="0" w:line="106" w:lineRule="exact"/>
        <w:rPr>
          <w:sz w:val="20"/>
          <w:szCs w:val="20"/>
          <w:color w:val="auto"/>
        </w:rPr>
      </w:pPr>
    </w:p>
    <w:p>
      <w:pPr>
        <w:ind w:right="160" w:firstLine="89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 Agreements</w:t>
      </w:r>
      <w:r>
        <w:rPr>
          <w:rFonts w:ascii="Arial" w:cs="Arial" w:eastAsia="Arial" w:hAnsi="Arial"/>
          <w:sz w:val="16"/>
          <w:szCs w:val="16"/>
          <w:color w:val="auto"/>
        </w:rPr>
        <w:t>” means, collectively, (a) the Administration Agreement dated June 11, 2010 by and among the Borrower, PennantPark SBIC LP and PennantPark SBIC GP, LLC, (b) the Investment Advisory Agreement dated June 11, 2010 by and among the Borrower, PennantPark SBIC LP and PennantPark SBIC GP, LLC, (c) the Investment Advisory Management Agreement dated as of April 17, 2007, between the Borrower and Pennant Investment Advisers, LLC, (d) the Administration Agreement dated as of April 17, 2007, between the Borrower and PennantPark Investment Administration, LLC, and (e) the Trademark License Agreement dated as of April 15, 2007, between the Borrower and Pennant Investment Advisers, LLC.</w:t>
      </w:r>
    </w:p>
    <w:p>
      <w:pPr>
        <w:spacing w:after="0" w:line="115" w:lineRule="exact"/>
        <w:rPr>
          <w:sz w:val="20"/>
          <w:szCs w:val="20"/>
          <w:color w:val="auto"/>
        </w:rPr>
      </w:pPr>
    </w:p>
    <w:p>
      <w:pPr>
        <w:ind w:right="64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Foreign Currency</w:t>
      </w:r>
      <w:r>
        <w:rPr>
          <w:rFonts w:ascii="Arial" w:cs="Arial" w:eastAsia="Arial" w:hAnsi="Arial"/>
          <w:sz w:val="18"/>
          <w:szCs w:val="18"/>
          <w:color w:val="auto"/>
        </w:rPr>
        <w:t>” means, at any time, any of Canadian Dollars, English Pounds Sterling, Euros and, with the agreement of each Multicurrency Lender, any other Foreign</w:t>
      </w:r>
    </w:p>
    <w:p>
      <w:pPr>
        <w:spacing w:after="0" w:line="118" w:lineRule="exact"/>
        <w:rPr>
          <w:sz w:val="20"/>
          <w:szCs w:val="20"/>
          <w:color w:val="auto"/>
        </w:rPr>
      </w:pPr>
    </w:p>
    <w:p>
      <w:pPr>
        <w:spacing w:after="0"/>
        <w:tabs>
          <w:tab w:leader="none" w:pos="566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49" w:name="page50"/>
    <w:bookmarkEnd w:id="49"/>
    <w:p>
      <w:pPr>
        <w:ind w:right="180"/>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and</w:t>
      </w:r>
    </w:p>
    <w:p>
      <w:pPr>
        <w:spacing w:after="0" w:line="1" w:lineRule="exact"/>
        <w:rPr>
          <w:sz w:val="20"/>
          <w:szCs w:val="20"/>
          <w:color w:val="auto"/>
        </w:rPr>
      </w:pPr>
    </w:p>
    <w:p>
      <w:pPr>
        <w:ind w:right="160" w:firstLine="8"/>
        <w:spacing w:after="0" w:line="253" w:lineRule="auto"/>
        <w:tabs>
          <w:tab w:leader="none" w:pos="2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4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171" w:lineRule="exact"/>
        <w:rPr>
          <w:sz w:val="20"/>
          <w:szCs w:val="20"/>
          <w:color w:val="auto"/>
        </w:rPr>
      </w:pPr>
    </w:p>
    <w:p>
      <w:pPr>
        <w:ind w:right="20" w:firstLine="89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Federal Funds Effective Rate for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1/2 of 1% and (c) the rate per annum equal to 1%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appearing on Reuters Screen LIBOR01 Page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Any change in the Alternate Base Rate due to a change in the Prime Rate, the Federal Funds Effective Rate or the rate appearing on Reuters Screen LIBOR01 Page (or successor therefor) as set forth above shall be effective from and including the effective date of such change in the Prime Rate, the Federal Funds Effective Rate or such rate appearing on Reuters Screen LIBOR01 Page (or successor therefor), respectively.</w:t>
      </w:r>
    </w:p>
    <w:p>
      <w:pPr>
        <w:spacing w:after="0" w:line="119" w:lineRule="exact"/>
        <w:rPr>
          <w:sz w:val="20"/>
          <w:szCs w:val="20"/>
          <w:color w:val="auto"/>
        </w:rPr>
      </w:pPr>
    </w:p>
    <w:p>
      <w:pPr>
        <w:ind w:right="28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Dollar Percentage</w:t>
      </w:r>
      <w:r>
        <w:rPr>
          <w:rFonts w:ascii="Arial" w:cs="Arial" w:eastAsia="Arial" w:hAnsi="Arial"/>
          <w:sz w:val="18"/>
          <w:szCs w:val="18"/>
          <w:color w:val="auto"/>
        </w:rPr>
        <w:t>”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w:t>
      </w:r>
    </w:p>
    <w:p>
      <w:pPr>
        <w:spacing w:after="0" w:line="140" w:lineRule="exact"/>
        <w:rPr>
          <w:sz w:val="20"/>
          <w:szCs w:val="20"/>
          <w:color w:val="auto"/>
        </w:rPr>
      </w:pPr>
    </w:p>
    <w:p>
      <w:pPr>
        <w:ind w:right="240" w:firstLine="89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Financial Statements</w:t>
      </w:r>
      <w:r>
        <w:rPr>
          <w:rFonts w:ascii="Arial" w:cs="Arial" w:eastAsia="Arial" w:hAnsi="Arial"/>
          <w:sz w:val="16"/>
          <w:szCs w:val="16"/>
          <w:color w:val="auto"/>
        </w:rPr>
        <w:t xml:space="preserve">” means, as at any date, the most-recent audited financial statements of the Borrower delivered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immediately prior to the delivery to the Lenders of new audited financial statements of the Borrower a Material Adverse Change (the “</w:t>
      </w:r>
      <w:r>
        <w:rPr>
          <w:rFonts w:ascii="Arial" w:cs="Arial" w:eastAsia="Arial" w:hAnsi="Arial"/>
          <w:sz w:val="16"/>
          <w:szCs w:val="16"/>
          <w:u w:val="single" w:color="auto"/>
          <w:color w:val="auto"/>
        </w:rPr>
        <w:t>Pre-existing MAC</w:t>
      </w:r>
      <w:r>
        <w:rPr>
          <w:rFonts w:ascii="Arial" w:cs="Arial" w:eastAsia="Arial" w:hAnsi="Arial"/>
          <w:sz w:val="16"/>
          <w:szCs w:val="16"/>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1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(a) with respect to any ABR Loan, 1.75% per annum; and (b) with respect to any Eurocurrency Loan, 2.75% per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annum.</w:t>
      </w:r>
    </w:p>
    <w:p>
      <w:pPr>
        <w:spacing w:after="0" w:line="165" w:lineRule="exact"/>
        <w:rPr>
          <w:sz w:val="20"/>
          <w:szCs w:val="20"/>
          <w:color w:val="auto"/>
        </w:rPr>
      </w:pPr>
    </w:p>
    <w:p>
      <w:pPr>
        <w:ind w:right="6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Multicurrency Percentage</w:t>
      </w:r>
      <w:r>
        <w:rPr>
          <w:rFonts w:ascii="Arial" w:cs="Arial" w:eastAsia="Arial" w:hAnsi="Arial"/>
          <w:sz w:val="18"/>
          <w:szCs w:val="18"/>
          <w:color w:val="auto"/>
        </w:rPr>
        <w:t>” means, with respect to any Multicurrency Lender, the percentage of the total Multicurrency Commitments represented by such</w:t>
      </w:r>
    </w:p>
    <w:p>
      <w:pPr>
        <w:spacing w:after="0" w:line="118" w:lineRule="exact"/>
        <w:rPr>
          <w:sz w:val="20"/>
          <w:szCs w:val="20"/>
          <w:color w:val="auto"/>
        </w:rPr>
      </w:pPr>
    </w:p>
    <w:p>
      <w:pPr>
        <w:spacing w:after="0"/>
        <w:tabs>
          <w:tab w:leader="none" w:pos="566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50" w:name="page51"/>
    <w:bookmarkEnd w:id="50"/>
    <w:p>
      <w:pPr>
        <w:ind w:right="20"/>
        <w:spacing w:after="0" w:line="33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Multicurrency Lender’s Multicurrency Commitment. If the Multicurrency Commitments have terminated or expired, the Applicable Multicurrency Percentages shall be determined based upon the Multicurrency Commitments most recently in effect, giving effect to any assignments.</w:t>
      </w:r>
    </w:p>
    <w:p>
      <w:pPr>
        <w:spacing w:after="0" w:line="87"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the percentage of the total Commitments represented by such Lender’s Commitments. If the Commitments have terminated or expired, the Applicable Percentages shall be determined based upon the Commitments most recently in effect, giving effect to any assignments.</w:t>
      </w:r>
    </w:p>
    <w:p>
      <w:pPr>
        <w:spacing w:after="0" w:line="140"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Dealer</w:t>
      </w:r>
      <w:r>
        <w:rPr>
          <w:rFonts w:ascii="Arial" w:cs="Arial" w:eastAsia="Arial" w:hAnsi="Arial"/>
          <w:sz w:val="18"/>
          <w:szCs w:val="18"/>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as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or any other bank or broker-dealer acceptable to the Administrative Agent in its reasonable determination.</w:t>
      </w:r>
    </w:p>
    <w:p>
      <w:pPr>
        <w:spacing w:after="0" w:line="147" w:lineRule="exact"/>
        <w:rPr>
          <w:sz w:val="20"/>
          <w:szCs w:val="20"/>
          <w:color w:val="auto"/>
        </w:rPr>
      </w:pPr>
    </w:p>
    <w:p>
      <w:pPr>
        <w:ind w:right="80" w:firstLine="89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Pricing Service</w:t>
      </w:r>
      <w:r>
        <w:rPr>
          <w:rFonts w:ascii="Arial" w:cs="Arial" w:eastAsia="Arial" w:hAnsi="Arial"/>
          <w:sz w:val="16"/>
          <w:szCs w:val="16"/>
          <w:color w:val="auto"/>
        </w:rPr>
        <w:t xml:space="preserve">” means a pricing or quotation service as set forth in </w:t>
      </w:r>
      <w:r>
        <w:rPr>
          <w:rFonts w:ascii="Arial" w:cs="Arial" w:eastAsia="Arial" w:hAnsi="Arial"/>
          <w:sz w:val="16"/>
          <w:szCs w:val="16"/>
          <w:u w:val="single" w:color="auto"/>
          <w:color w:val="auto"/>
        </w:rPr>
        <w:t>Schedule 1.01(a)</w:t>
      </w:r>
      <w:r>
        <w:rPr>
          <w:rFonts w:ascii="Arial" w:cs="Arial" w:eastAsia="Arial" w:hAnsi="Arial"/>
          <w:sz w:val="16"/>
          <w:szCs w:val="16"/>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06"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Third-Party Appraiser</w:t>
      </w:r>
      <w:r>
        <w:rPr>
          <w:rFonts w:ascii="Arial" w:cs="Arial" w:eastAsia="Arial" w:hAnsi="Arial"/>
          <w:sz w:val="16"/>
          <w:szCs w:val="16"/>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Advisors and Valuation Research Corporation are acceptable to the Administrative Agent. As used in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24" w:lineRule="exact"/>
        <w:rPr>
          <w:sz w:val="20"/>
          <w:szCs w:val="20"/>
          <w:color w:val="auto"/>
        </w:rPr>
      </w:pPr>
    </w:p>
    <w:p>
      <w:pPr>
        <w:ind w:firstLine="89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Coverage Ratio</w:t>
      </w:r>
      <w:r>
        <w:rPr>
          <w:rFonts w:ascii="Arial" w:cs="Arial" w:eastAsia="Arial" w:hAnsi="Arial"/>
          <w:sz w:val="16"/>
          <w:szCs w:val="16"/>
          <w:color w:val="auto"/>
        </w:rPr>
        <w:t>” means the ratio, determined on a consolidated basis for Borrower and its Subsidiaries, without duplication, (a) the value of total assets of the Borrower and its Subsidiaries, less all liabilities and indebtedness not represented by senior securities to (b) to the aggregate amount of senior securities representing indebtedness of Borrower and its Subsidiaries,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02" w:lineRule="exact"/>
        <w:rPr>
          <w:sz w:val="20"/>
          <w:szCs w:val="20"/>
          <w:color w:val="auto"/>
        </w:rPr>
      </w:pPr>
    </w:p>
    <w:p>
      <w:pPr>
        <w:spacing w:after="0"/>
        <w:tabs>
          <w:tab w:leader="none" w:pos="566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51" w:name="page52"/>
    <w:bookmarkEnd w:id="51"/>
    <w:p>
      <w:pPr>
        <w:ind w:right="32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approved by the Administrative Agent.</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ind w:right="28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Commitment Termination Date and the date of termination of the Commitments.</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 to this Agreement.</w:t>
      </w:r>
    </w:p>
    <w:p>
      <w:pPr>
        <w:spacing w:after="0" w:line="171" w:lineRule="exact"/>
        <w:rPr>
          <w:sz w:val="20"/>
          <w:szCs w:val="20"/>
          <w:color w:val="auto"/>
        </w:rPr>
      </w:pPr>
    </w:p>
    <w:p>
      <w:pPr>
        <w:ind w:right="16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all Syndicated ABR Loans of the same Class made, converted or continued on the same date, (b) all Eurocurrency Loans of the same Class denominated in the same Currency that have the same Interest Period or (c) a Swingline Loan.</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 Certificate</w:t>
      </w:r>
      <w:r>
        <w:rPr>
          <w:rFonts w:ascii="Arial" w:cs="Arial" w:eastAsia="Arial" w:hAnsi="Arial"/>
          <w:sz w:val="16"/>
          <w:szCs w:val="16"/>
          <w:color w:val="auto"/>
        </w:rPr>
        <w:t xml:space="preserve">” means a certificate of a Financial Officer of the Borrower,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appropriately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completed.</w:t>
      </w:r>
    </w:p>
    <w:p>
      <w:pPr>
        <w:spacing w:after="0" w:line="165" w:lineRule="exact"/>
        <w:rPr>
          <w:sz w:val="20"/>
          <w:szCs w:val="20"/>
          <w:color w:val="auto"/>
        </w:rPr>
      </w:pPr>
    </w:p>
    <w:p>
      <w:pPr>
        <w:ind w:right="58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Deficiency</w:t>
      </w:r>
      <w:r>
        <w:rPr>
          <w:rFonts w:ascii="Arial" w:cs="Arial" w:eastAsia="Arial" w:hAnsi="Arial"/>
          <w:sz w:val="18"/>
          <w:szCs w:val="18"/>
          <w:color w:val="auto"/>
        </w:rPr>
        <w:t>” means, at any date on which the same is determined, the amount, if any, that (a) the aggregate Covered Debt Amount as of such date exceeds (b) the Borrowing Base as of such date.</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Syndicated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71" w:lineRule="exact"/>
        <w:rPr>
          <w:sz w:val="20"/>
          <w:szCs w:val="20"/>
          <w:color w:val="auto"/>
        </w:rPr>
      </w:pPr>
    </w:p>
    <w:p>
      <w:pPr>
        <w:ind w:right="20" w:firstLine="89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(a) that is not a Saturday, Sunday or other day on which commercial banks in Atlanta, Georgia are authorized or required by law to remain closed, (b) if such day relates to a borrowing of, a payment or prepayment of principal of or interest on, a continuation or conversion of or into, or the Interest Period for, a Eurocurrency Borrowing denominated in Dollars, or to a notice by the Borrower with respect to any such borrowing, payment, prepayment, continuation, conversion, or Interest Period, that is also a day on which dealings in deposits denominated in Dollars are carried out in the London interbank market and (c) if such day relates to a borrowing or continuation of, a payment or prepayment of principal of or interest on, or the Interest Period for, any Borrowing denominated in any Foreign Currency, or to a notice by the Borrower with respect to any such borrowing, continuation, payment, prepayment or Interest Period, that is also a day on which commercial banks and the London foreign exchange market settle payments in the Principal Financial Center for such Foreign Currency.</w:t>
      </w:r>
    </w:p>
    <w:p>
      <w:pPr>
        <w:spacing w:after="0" w:line="110" w:lineRule="exact"/>
        <w:rPr>
          <w:sz w:val="20"/>
          <w:szCs w:val="20"/>
          <w:color w:val="auto"/>
        </w:rPr>
      </w:pPr>
    </w:p>
    <w:p>
      <w:pPr>
        <w:spacing w:after="0"/>
        <w:tabs>
          <w:tab w:leader="none" w:pos="566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52" w:name="page53"/>
    <w:bookmarkEnd w:id="52"/>
    <w:p>
      <w:pPr>
        <w:ind w:right="140" w:firstLine="898"/>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5"/>
          <w:szCs w:val="15"/>
          <w:u w:val="single" w:color="auto"/>
          <w:color w:val="auto"/>
        </w:rPr>
        <w:t>Calculation Value</w:t>
      </w:r>
      <w:r>
        <w:rPr>
          <w:rFonts w:ascii="Arial" w:cs="Arial" w:eastAsia="Arial" w:hAnsi="Arial"/>
          <w:sz w:val="15"/>
          <w:szCs w:val="15"/>
          <w:color w:val="auto"/>
        </w:rPr>
        <w:t xml:space="preserve">” shall mean the sum of (a) the Value, as determined at the end of the fiscal quarter immediately preceding the Testing Quarter (as defined in </w:t>
      </w:r>
      <w:r>
        <w:rPr>
          <w:rFonts w:ascii="Arial" w:cs="Arial" w:eastAsia="Arial" w:hAnsi="Arial"/>
          <w:sz w:val="15"/>
          <w:szCs w:val="15"/>
          <w:u w:val="single" w:color="auto"/>
          <w:color w:val="auto"/>
        </w:rPr>
        <w:t>Section 5.12(b)(ii)(E))</w:t>
      </w:r>
      <w:r>
        <w:rPr>
          <w:rFonts w:ascii="Arial" w:cs="Arial" w:eastAsia="Arial" w:hAnsi="Arial"/>
          <w:sz w:val="15"/>
          <w:szCs w:val="15"/>
          <w:color w:val="auto"/>
        </w:rPr>
        <w:t xml:space="preserve">, of all Unquoted Investments (as defined in </w:t>
      </w:r>
      <w:r>
        <w:rPr>
          <w:rFonts w:ascii="Arial" w:cs="Arial" w:eastAsia="Arial" w:hAnsi="Arial"/>
          <w:sz w:val="15"/>
          <w:szCs w:val="15"/>
          <w:u w:val="single" w:color="auto"/>
          <w:color w:val="auto"/>
        </w:rPr>
        <w:t>Section 5.12(b)(ii)(E))</w:t>
      </w:r>
      <w:r>
        <w:rPr>
          <w:rFonts w:ascii="Arial" w:cs="Arial" w:eastAsia="Arial" w:hAnsi="Arial"/>
          <w:sz w:val="15"/>
          <w:szCs w:val="15"/>
          <w:color w:val="auto"/>
        </w:rPr>
        <w:t xml:space="preserve"> held by the Obligors at the time of determination and</w:t>
      </w:r>
    </w:p>
    <w:p>
      <w:pPr>
        <w:spacing w:after="0" w:line="1" w:lineRule="exact"/>
        <w:rPr>
          <w:sz w:val="20"/>
          <w:szCs w:val="20"/>
          <w:color w:val="auto"/>
        </w:rPr>
      </w:pPr>
    </w:p>
    <w:p>
      <w:pPr>
        <w:ind w:right="40" w:firstLine="8"/>
        <w:spacing w:after="0" w:line="255"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Value of all Unquoted Investments held by the Obligors at the time of determination that were acquired by the Obligors during the Testing Quarter, with the value of any Unquoted Investment pursuant to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being equal to the lower of (i) the cost of such investment and (ii) the internal value of such investment.</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w:t>
      </w:r>
      <w:r>
        <w:rPr>
          <w:rFonts w:ascii="Arial" w:cs="Arial" w:eastAsia="Arial" w:hAnsi="Arial"/>
          <w:sz w:val="18"/>
          <w:szCs w:val="18"/>
          <w:color w:val="auto"/>
        </w:rPr>
        <w:t xml:space="preserve">” means the exchange of the Lenders’ interests provided for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1" w:lineRule="exact"/>
        <w:rPr>
          <w:sz w:val="20"/>
          <w:szCs w:val="20"/>
          <w:color w:val="auto"/>
        </w:rPr>
      </w:pPr>
    </w:p>
    <w:p>
      <w:pPr>
        <w:ind w:right="180" w:firstLine="898"/>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CAM Exchange Date</w:t>
      </w:r>
      <w:r>
        <w:rPr>
          <w:rFonts w:ascii="Arial" w:cs="Arial" w:eastAsia="Arial" w:hAnsi="Arial"/>
          <w:sz w:val="16"/>
          <w:szCs w:val="16"/>
          <w:color w:val="auto"/>
        </w:rPr>
        <w:t xml:space="preserve">” means the date on which any Event of Default referred to in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shall occur or the date on which the Company receives written notice from the Administrative Agent that any Event of Default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has occurred.</w:t>
      </w:r>
    </w:p>
    <w:p>
      <w:pPr>
        <w:spacing w:after="0" w:line="87" w:lineRule="exact"/>
        <w:rPr>
          <w:sz w:val="20"/>
          <w:szCs w:val="20"/>
          <w:color w:val="auto"/>
        </w:rPr>
      </w:pPr>
    </w:p>
    <w:p>
      <w:pPr>
        <w:ind w:right="60" w:firstLine="89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CAM Percentage</w:t>
      </w:r>
      <w:r>
        <w:rPr>
          <w:rFonts w:ascii="Arial" w:cs="Arial" w:eastAsia="Arial" w:hAnsi="Arial"/>
          <w:sz w:val="16"/>
          <w:szCs w:val="16"/>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w:t>
      </w:r>
    </w:p>
    <w:p>
      <w:pPr>
        <w:spacing w:after="0" w:line="1" w:lineRule="exact"/>
        <w:rPr>
          <w:sz w:val="20"/>
          <w:szCs w:val="20"/>
          <w:color w:val="auto"/>
        </w:rPr>
      </w:pPr>
    </w:p>
    <w:p>
      <w:pPr>
        <w:ind w:right="60" w:firstLine="8"/>
        <w:spacing w:after="0" w:line="260"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denominator shall be the aggregate Dollar Equivalent amount of the Designated Obligations owed to all the Lenders (whether or not at the time due and payable) immediately prior to the CAM Exchange Date.</w:t>
      </w:r>
    </w:p>
    <w:p>
      <w:pPr>
        <w:spacing w:after="0" w:line="139" w:lineRule="exact"/>
        <w:rPr>
          <w:sz w:val="20"/>
          <w:szCs w:val="20"/>
          <w:color w:val="auto"/>
        </w:rPr>
      </w:pPr>
    </w:p>
    <w:p>
      <w:pPr>
        <w:ind w:right="40" w:firstLine="89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3" w:lineRule="exact"/>
        <w:rPr>
          <w:sz w:val="20"/>
          <w:szCs w:val="20"/>
          <w:color w:val="auto"/>
        </w:rPr>
      </w:pPr>
    </w:p>
    <w:p>
      <w:pPr>
        <w:ind w:right="50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any immediately available funds in Dollars or in any currency other than Dollars (measured in terms of the Dollar Equivalent thereof) which is a freely convertible currency.</w:t>
      </w:r>
    </w:p>
    <w:p>
      <w:pPr>
        <w:spacing w:after="0" w:line="132" w:lineRule="exact"/>
        <w:rPr>
          <w:sz w:val="20"/>
          <w:szCs w:val="20"/>
          <w:color w:val="auto"/>
        </w:rPr>
      </w:pPr>
    </w:p>
    <w:p>
      <w:pPr>
        <w:ind w:right="440" w:firstLine="89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xml:space="preserve">” means, in respect of a Letter of Credit or any obligation hereunder, to provide and pledge cash collateral pursuant to </w:t>
      </w:r>
      <w:r>
        <w:rPr>
          <w:rFonts w:ascii="Arial" w:cs="Arial" w:eastAsia="Arial" w:hAnsi="Arial"/>
          <w:sz w:val="16"/>
          <w:szCs w:val="16"/>
          <w:u w:val="single" w:color="auto"/>
          <w:color w:val="auto"/>
        </w:rPr>
        <w:t>Section 2.05(k)</w:t>
      </w:r>
      <w:r>
        <w:rPr>
          <w:rFonts w:ascii="Arial" w:cs="Arial" w:eastAsia="Arial" w:hAnsi="Arial"/>
          <w:sz w:val="16"/>
          <w:szCs w:val="16"/>
          <w:color w:val="auto"/>
        </w:rPr>
        <w:t>, at a location and pursuant to documentation in form and substance reasonably satisfactory to Administrative Agent and the Issuing Bank. “</w:t>
      </w:r>
      <w:r>
        <w:rPr>
          <w:rFonts w:ascii="Arial" w:cs="Arial" w:eastAsia="Arial" w:hAnsi="Arial"/>
          <w:sz w:val="16"/>
          <w:szCs w:val="16"/>
          <w:u w:val="single" w:color="auto"/>
          <w:color w:val="auto"/>
        </w:rPr>
        <w:t>Cash Collateral</w:t>
      </w:r>
      <w:r>
        <w:rPr>
          <w:rFonts w:ascii="Arial" w:cs="Arial" w:eastAsia="Arial" w:hAnsi="Arial"/>
          <w:sz w:val="16"/>
          <w:szCs w:val="16"/>
          <w:color w:val="auto"/>
        </w:rPr>
        <w:t>” shall have a meaning correlative to the foregoing and shall include the proceeds of such cash collateral and other credit support.</w:t>
      </w:r>
    </w:p>
    <w:p>
      <w:pPr>
        <w:spacing w:after="0" w:line="10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investments (other than Cash) that are one or more of the following obligations: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U.S. Government Securities, in each case maturing within three months from the date of acquisition thereof;</w:t>
      </w:r>
    </w:p>
    <w:p>
      <w:pPr>
        <w:spacing w:after="0" w:line="158" w:lineRule="exact"/>
        <w:rPr>
          <w:sz w:val="20"/>
          <w:szCs w:val="20"/>
          <w:color w:val="auto"/>
        </w:rPr>
      </w:pPr>
    </w:p>
    <w:p>
      <w:pPr>
        <w:spacing w:after="0"/>
        <w:tabs>
          <w:tab w:leader="none" w:pos="566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53" w:name="page54"/>
    <w:bookmarkEnd w:id="53"/>
    <w:p>
      <w:pPr>
        <w:ind w:left="460" w:right="60" w:firstLine="428"/>
        <w:spacing w:after="0" w:line="268"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in commercial paper maturing within 180 days from the date of acquisition thereof and having, at such date of acquisition, a credit rating of at least A-1 from S&amp;P and at least P-1 from Moody’s;</w:t>
      </w:r>
    </w:p>
    <w:p>
      <w:pPr>
        <w:spacing w:after="0" w:line="50" w:lineRule="exact"/>
        <w:rPr>
          <w:rFonts w:ascii="Arial" w:cs="Arial" w:eastAsia="Arial" w:hAnsi="Arial"/>
          <w:sz w:val="18"/>
          <w:szCs w:val="18"/>
          <w:color w:val="auto"/>
        </w:rPr>
      </w:pPr>
    </w:p>
    <w:p>
      <w:pPr>
        <w:ind w:left="1120" w:hanging="232"/>
        <w:spacing w:after="0"/>
        <w:tabs>
          <w:tab w:leader="none" w:pos="11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investments in certificates of deposit, banker’s acceptances and time deposits maturing within 180 days from the date of acquisition thereof</w:t>
      </w:r>
    </w:p>
    <w:p>
      <w:pPr>
        <w:spacing w:after="0" w:line="38" w:lineRule="exact"/>
        <w:rPr>
          <w:rFonts w:ascii="Arial" w:cs="Arial" w:eastAsia="Arial" w:hAnsi="Arial"/>
          <w:sz w:val="16"/>
          <w:szCs w:val="16"/>
          <w:color w:val="auto"/>
        </w:rPr>
      </w:pPr>
    </w:p>
    <w:p>
      <w:pPr>
        <w:ind w:left="460" w:right="100" w:hanging="3"/>
        <w:spacing w:after="0" w:line="292" w:lineRule="auto"/>
        <w:tabs>
          <w:tab w:leader="none" w:pos="67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A-1 from S&amp;P and at least P-1 from Moody’s; and</w:t>
      </w:r>
    </w:p>
    <w:p>
      <w:pPr>
        <w:spacing w:after="0" w:line="35" w:lineRule="exact"/>
        <w:rPr>
          <w:rFonts w:ascii="Arial" w:cs="Arial" w:eastAsia="Arial" w:hAnsi="Arial"/>
          <w:sz w:val="16"/>
          <w:szCs w:val="16"/>
          <w:color w:val="auto"/>
        </w:rPr>
      </w:pPr>
    </w:p>
    <w:p>
      <w:pPr>
        <w:ind w:left="460" w:right="20" w:firstLine="428"/>
        <w:spacing w:after="0" w:line="306" w:lineRule="auto"/>
        <w:tabs>
          <w:tab w:leader="none" w:pos="11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definition or (ii) an Approved Dealer having (or being a member of a consolidated group having) at such date of acquisition, a credit rating of at least A-1 from S&amp;P and at least P-1 from Moody’s;</w:t>
      </w:r>
    </w:p>
    <w:p>
      <w:pPr>
        <w:spacing w:after="0" w:line="10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or repurchase agreements)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15" w:lineRule="exact"/>
        <w:rPr>
          <w:sz w:val="20"/>
          <w:szCs w:val="20"/>
          <w:color w:val="auto"/>
        </w:rPr>
      </w:pPr>
    </w:p>
    <w:p>
      <w:pPr>
        <w:ind w:right="40" w:firstLine="89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or (c) the acquisition of direct or indirect Control of the Borrower by any Person or group other than PennantPark Investment Advisers, LLC.</w:t>
      </w:r>
    </w:p>
    <w:p>
      <w:pPr>
        <w:spacing w:after="0" w:line="120" w:lineRule="exact"/>
        <w:rPr>
          <w:sz w:val="20"/>
          <w:szCs w:val="20"/>
          <w:color w:val="auto"/>
        </w:rPr>
      </w:pPr>
    </w:p>
    <w:p>
      <w:pPr>
        <w:ind w:right="100" w:firstLine="898"/>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Law</w:t>
      </w:r>
      <w:r>
        <w:rPr>
          <w:rFonts w:ascii="Arial" w:cs="Arial" w:eastAsia="Arial" w:hAnsi="Arial"/>
          <w:sz w:val="15"/>
          <w:szCs w:val="15"/>
          <w:color w:val="auto"/>
        </w:rPr>
        <w:t>” means the occurrence, after the date of this Agreement,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w:t>
      </w:r>
    </w:p>
    <w:p>
      <w:pPr>
        <w:spacing w:after="0" w:line="74" w:lineRule="exact"/>
        <w:rPr>
          <w:sz w:val="20"/>
          <w:szCs w:val="20"/>
          <w:color w:val="auto"/>
        </w:rPr>
      </w:pPr>
    </w:p>
    <w:p>
      <w:pPr>
        <w:spacing w:after="0"/>
        <w:tabs>
          <w:tab w:leader="none" w:pos="566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54" w:name="page55"/>
    <w:bookmarkEnd w:id="54"/>
    <w:p>
      <w:pPr>
        <w:ind w:right="2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w:t>
      </w:r>
    </w:p>
    <w:p>
      <w:pPr>
        <w:spacing w:after="0" w:line="1"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compliance by any Lender (or its applicable lending office) or any company controlling such Lender with any guideline, request or directive regarding</w:t>
      </w:r>
    </w:p>
    <w:p>
      <w:pPr>
        <w:spacing w:after="0" w:line="32" w:lineRule="exact"/>
        <w:rPr>
          <w:rFonts w:ascii="Arial" w:cs="Arial" w:eastAsia="Arial" w:hAnsi="Arial"/>
          <w:sz w:val="16"/>
          <w:szCs w:val="16"/>
          <w:color w:val="auto"/>
        </w:rPr>
      </w:pPr>
    </w:p>
    <w:p>
      <w:pPr>
        <w:ind w:right="180"/>
        <w:spacing w:after="0" w:line="300" w:lineRule="auto"/>
        <w:rPr>
          <w:rFonts w:ascii="Arial" w:cs="Arial" w:eastAsia="Arial" w:hAnsi="Arial"/>
          <w:sz w:val="16"/>
          <w:szCs w:val="16"/>
          <w:color w:val="auto"/>
        </w:rPr>
      </w:pPr>
      <w:r>
        <w:rPr>
          <w:rFonts w:ascii="Arial" w:cs="Arial" w:eastAsia="Arial" w:hAnsi="Arial"/>
          <w:sz w:val="15"/>
          <w:szCs w:val="15"/>
          <w:color w:val="auto"/>
        </w:rPr>
        <w:t>capital adequacy or liquidity (whether or not having the force of law) of any such Governmental Authority, in each case adopted after the date hereof. For the avoidance of doubt, all requests, rules, guidelines or directives concerning liquidity and capital adequacy issued by any United States regulatory authority</w:t>
      </w:r>
    </w:p>
    <w:p>
      <w:pPr>
        <w:ind w:right="20" w:firstLine="8"/>
        <w:spacing w:after="0" w:line="253" w:lineRule="auto"/>
        <w:tabs>
          <w:tab w:leader="none" w:pos="2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47" w:lineRule="exact"/>
        <w:rPr>
          <w:sz w:val="20"/>
          <w:szCs w:val="20"/>
          <w:color w:val="auto"/>
        </w:rPr>
      </w:pPr>
    </w:p>
    <w:p>
      <w:pPr>
        <w:ind w:right="40" w:firstLine="89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when used in reference to any Loan or Borrowing, refers to whether such Loan, or the Loans constituting such Borrowing, are Syndicated Dollar Loans, Syndicated Multicurrency Loans or Swingline Loans; when used in reference to any Lender, refers to whether such Lender is a Dollar Lender or a Multicurrency Lender; and, when used in reference to any Commitment, refers to whether such Commitment is a Dollar Commitment or a Multicurrency Commitment. The “</w:t>
      </w:r>
      <w:r>
        <w:rPr>
          <w:rFonts w:ascii="Arial" w:cs="Arial" w:eastAsia="Arial" w:hAnsi="Arial"/>
          <w:sz w:val="16"/>
          <w:szCs w:val="16"/>
          <w:u w:val="single" w:color="auto"/>
          <w:color w:val="auto"/>
        </w:rPr>
        <w:t>Class</w:t>
      </w:r>
      <w:r>
        <w:rPr>
          <w:rFonts w:ascii="Arial" w:cs="Arial" w:eastAsia="Arial" w:hAnsi="Arial"/>
          <w:sz w:val="16"/>
          <w:szCs w:val="16"/>
          <w:color w:val="auto"/>
        </w:rPr>
        <w:t>” of a Letter of Credit refers to whether such Letter of Credit is a Dollar Letter of Credit or a Multicurrency Letter of Credit.</w:t>
      </w:r>
    </w:p>
    <w:p>
      <w:pPr>
        <w:spacing w:after="0" w:line="11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assigned to such term in the Guarantee and Security Agreement.</w:t>
      </w:r>
    </w:p>
    <w:p>
      <w:pPr>
        <w:spacing w:after="0" w:line="171" w:lineRule="exact"/>
        <w:rPr>
          <w:sz w:val="20"/>
          <w:szCs w:val="20"/>
          <w:color w:val="auto"/>
        </w:rPr>
      </w:pPr>
    </w:p>
    <w:p>
      <w:pPr>
        <w:ind w:right="22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SunTrust in its capacity as Collateral Agent under the Guarantee and Security Agreement, and includes any successor Collateral Agent thereunder.</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collectively, the Dollar Commitments and the Multicurrency Commitments.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Termination Date</w:t>
      </w:r>
      <w:r>
        <w:rPr>
          <w:rFonts w:ascii="Arial" w:cs="Arial" w:eastAsia="Arial" w:hAnsi="Arial"/>
          <w:sz w:val="16"/>
          <w:szCs w:val="16"/>
          <w:color w:val="auto"/>
        </w:rPr>
        <w:t>” means February 21, 2015, as such date may be extended upon the consent of each affected Lender.</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Group</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171" w:lineRule="exact"/>
        <w:rPr>
          <w:sz w:val="20"/>
          <w:szCs w:val="20"/>
          <w:color w:val="auto"/>
        </w:rPr>
      </w:pPr>
    </w:p>
    <w:p>
      <w:pPr>
        <w:ind w:right="380" w:firstLine="898"/>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73" w:lineRule="exact"/>
        <w:rPr>
          <w:sz w:val="20"/>
          <w:szCs w:val="20"/>
          <w:color w:val="auto"/>
        </w:rPr>
      </w:pPr>
    </w:p>
    <w:p>
      <w:pPr>
        <w:spacing w:after="0"/>
        <w:tabs>
          <w:tab w:leader="none" w:pos="566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55" w:name="page56"/>
    <w:bookmarkEnd w:id="55"/>
    <w:p>
      <w:pPr>
        <w:ind w:right="14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Covered Debt Amount</w:t>
      </w:r>
      <w:r>
        <w:rPr>
          <w:rFonts w:ascii="Arial" w:cs="Arial" w:eastAsia="Arial" w:hAnsi="Arial"/>
          <w:sz w:val="18"/>
          <w:szCs w:val="18"/>
          <w:color w:val="auto"/>
        </w:rPr>
        <w:t xml:space="preserve">” means, on any date, the sum of (x) all of the Revolving Credit Exposures of all Lenders on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aggregate amount of Other Covered Indebtedness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(z) the LC Exposures fully Cash Collateralized on such date pursuant to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and the last paragraph of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Foreign Currency.</w:t>
      </w:r>
    </w:p>
    <w:p>
      <w:pPr>
        <w:spacing w:after="0" w:line="171" w:lineRule="exact"/>
        <w:rPr>
          <w:sz w:val="20"/>
          <w:szCs w:val="20"/>
          <w:color w:val="auto"/>
        </w:rPr>
      </w:pPr>
    </w:p>
    <w:p>
      <w:pPr>
        <w:ind w:right="14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32" w:lineRule="exact"/>
        <w:rPr>
          <w:sz w:val="20"/>
          <w:szCs w:val="20"/>
          <w:color w:val="auto"/>
        </w:rPr>
      </w:pPr>
    </w:p>
    <w:p>
      <w:pPr>
        <w:jc w:val="both"/>
        <w:ind w:right="100" w:firstLine="89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Defaulting Lender</w:t>
      </w:r>
      <w:r>
        <w:rPr>
          <w:rFonts w:ascii="Arial" w:cs="Arial" w:eastAsia="Arial" w:hAnsi="Arial"/>
          <w:sz w:val="15"/>
          <w:szCs w:val="15"/>
          <w:color w:val="auto"/>
        </w:rPr>
        <w:t xml:space="preserve">” means, subject to </w:t>
      </w:r>
      <w:r>
        <w:rPr>
          <w:rFonts w:ascii="Arial" w:cs="Arial" w:eastAsia="Arial" w:hAnsi="Arial"/>
          <w:sz w:val="15"/>
          <w:szCs w:val="15"/>
          <w:u w:val="single" w:color="auto"/>
          <w:color w:val="auto"/>
        </w:rPr>
        <w:t>Section 2.19(b)</w:t>
      </w:r>
      <w:r>
        <w:rPr>
          <w:rFonts w:ascii="Arial" w:cs="Arial" w:eastAsia="Arial" w:hAnsi="Arial"/>
          <w:sz w:val="15"/>
          <w:szCs w:val="15"/>
          <w:color w:val="auto"/>
        </w:rPr>
        <w:t>, any Lender that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w:t>
      </w:r>
    </w:p>
    <w:p>
      <w:pPr>
        <w:spacing w:after="0" w:line="2" w:lineRule="exact"/>
        <w:rPr>
          <w:sz w:val="20"/>
          <w:szCs w:val="20"/>
          <w:color w:val="auto"/>
        </w:rPr>
      </w:pPr>
    </w:p>
    <w:p>
      <w:pPr>
        <w:ind w:firstLine="8"/>
        <w:spacing w:after="0" w:line="284" w:lineRule="auto"/>
        <w:tabs>
          <w:tab w:leader="none" w:pos="2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pay to the Administrative Agent, Issuing Bank, Swingline Lender or any Lender any other amount required to be paid by it hereunder (including in respect of its participation in Letters of Credit or Swingline Loans) within two Business Days of the date when due, (b) has notified the Borrower, the Administrative Agent,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Administrative Agent and Borrower), or (d) Administrative Agent has received notification that such Lender has, or has a direct or indirect parent company that is (i) insolvent, or is generally unable to pay its debts as they become due, or admits in writing its inability to pay its debts as they become due, or makes a general assignment for the benefit of its creditors or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w:t>
      </w:r>
    </w:p>
    <w:p>
      <w:pPr>
        <w:spacing w:after="0" w:line="115" w:lineRule="exact"/>
        <w:rPr>
          <w:sz w:val="20"/>
          <w:szCs w:val="20"/>
          <w:color w:val="auto"/>
        </w:rPr>
      </w:pPr>
    </w:p>
    <w:p>
      <w:pPr>
        <w:spacing w:after="0"/>
        <w:tabs>
          <w:tab w:leader="none" w:pos="566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56" w:name="page57"/>
    <w:bookmarkEnd w:id="56"/>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shall be conclusive and binding absent manifest error, and such Lender shall be deemed to be a Defaulting Lender (subject to </w:t>
      </w:r>
      <w:r>
        <w:rPr>
          <w:rFonts w:ascii="Arial" w:cs="Arial" w:eastAsia="Arial" w:hAnsi="Arial"/>
          <w:sz w:val="16"/>
          <w:szCs w:val="16"/>
          <w:u w:val="single" w:color="auto"/>
          <w:color w:val="auto"/>
        </w:rPr>
        <w:t>Section 2.19(b))</w:t>
      </w:r>
      <w:r>
        <w:rPr>
          <w:rFonts w:ascii="Arial" w:cs="Arial" w:eastAsia="Arial" w:hAnsi="Arial"/>
          <w:sz w:val="16"/>
          <w:szCs w:val="16"/>
          <w:color w:val="auto"/>
        </w:rPr>
        <w:t xml:space="preserve"> upon such determination (and the Administrative Agent shall deliver written notice of such determination to the Borrower, each Issuing Bank and each Lender and the Swingline Lender).</w:t>
      </w:r>
    </w:p>
    <w:p>
      <w:pPr>
        <w:spacing w:after="0" w:line="115" w:lineRule="exact"/>
        <w:rPr>
          <w:sz w:val="20"/>
          <w:szCs w:val="20"/>
          <w:color w:val="auto"/>
        </w:rPr>
      </w:pPr>
    </w:p>
    <w:p>
      <w:pPr>
        <w:ind w:right="42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Obligations</w:t>
      </w:r>
      <w:r>
        <w:rPr>
          <w:rFonts w:ascii="Arial" w:cs="Arial" w:eastAsia="Arial" w:hAnsi="Arial"/>
          <w:sz w:val="18"/>
          <w:szCs w:val="18"/>
          <w:color w:val="auto"/>
        </w:rPr>
        <w:t>” means all obligations of the Borrower with respect to (a) principal of and interest on the Loans and (b) accrued and unpaid fees under the Loan Documents.</w:t>
      </w:r>
    </w:p>
    <w:p>
      <w:pPr>
        <w:spacing w:after="0" w:line="132"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“Disposition” or “Dispose” shall not include the disposition of Portfolio Investments originated by the Borrower and immediately transferred to a Financing Subsidiary pursuant to a transaction not prohibited hereunder.</w:t>
      </w:r>
    </w:p>
    <w:p>
      <w:pPr>
        <w:spacing w:after="0" w:line="147" w:lineRule="exact"/>
        <w:rPr>
          <w:sz w:val="20"/>
          <w:szCs w:val="20"/>
          <w:color w:val="auto"/>
        </w:rPr>
      </w:pPr>
    </w:p>
    <w:p>
      <w:pPr>
        <w:ind w:right="120" w:firstLine="89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Commitment</w:t>
      </w:r>
      <w:r>
        <w:rPr>
          <w:rFonts w:ascii="Arial" w:cs="Arial" w:eastAsia="Arial" w:hAnsi="Arial"/>
          <w:sz w:val="16"/>
          <w:szCs w:val="16"/>
          <w:color w:val="auto"/>
        </w:rPr>
        <w:t xml:space="preserve">” means, with respect to each Dollar Lender,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from time to time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(b) reduced or increased from time to time pursuant to assignments by or to such Lender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The initial amount of each Lender’s Dollar Commitment is set forth on </w:t>
      </w:r>
      <w:r>
        <w:rPr>
          <w:rFonts w:ascii="Arial" w:cs="Arial" w:eastAsia="Arial" w:hAnsi="Arial"/>
          <w:sz w:val="16"/>
          <w:szCs w:val="16"/>
          <w:u w:val="single" w:color="auto"/>
          <w:color w:val="auto"/>
        </w:rPr>
        <w:t>Schedule 1.01(b)</w:t>
      </w:r>
      <w:r>
        <w:rPr>
          <w:rFonts w:ascii="Arial" w:cs="Arial" w:eastAsia="Arial" w:hAnsi="Arial"/>
          <w:sz w:val="16"/>
          <w:szCs w:val="16"/>
          <w:color w:val="auto"/>
        </w:rPr>
        <w:t>, or in the Assignment and Assumption pursuant to which such Lender shall have assumed its Dollar Commitment, as applicable. The initial aggregate amount of the Lenders’ Dollar Commitments is $40,000,000.</w:t>
      </w:r>
    </w:p>
    <w:p>
      <w:pPr>
        <w:spacing w:after="0" w:line="120" w:lineRule="exact"/>
        <w:rPr>
          <w:sz w:val="20"/>
          <w:szCs w:val="20"/>
          <w:color w:val="auto"/>
        </w:rPr>
      </w:pPr>
    </w:p>
    <w:p>
      <w:pPr>
        <w:jc w:val="both"/>
        <w:ind w:right="100" w:firstLine="89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43" w:lineRule="exact"/>
        <w:rPr>
          <w:sz w:val="20"/>
          <w:szCs w:val="20"/>
          <w:color w:val="auto"/>
        </w:rPr>
      </w:pPr>
    </w:p>
    <w:p>
      <w:pPr>
        <w:ind w:right="20" w:firstLine="89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LC Exposure</w:t>
      </w:r>
      <w:r>
        <w:rPr>
          <w:rFonts w:ascii="Arial" w:cs="Arial" w:eastAsia="Arial" w:hAnsi="Arial"/>
          <w:sz w:val="16"/>
          <w:szCs w:val="16"/>
          <w:color w:val="auto"/>
        </w:rPr>
        <w:t xml:space="preserve">” means, at any time, the sum of (a) the aggregate undrawn amount of all outstanding Dollar Letters of Credit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06" w:lineRule="exact"/>
        <w:rPr>
          <w:sz w:val="20"/>
          <w:szCs w:val="20"/>
          <w:color w:val="auto"/>
        </w:rPr>
      </w:pPr>
    </w:p>
    <w:p>
      <w:pPr>
        <w:ind w:right="2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Lender</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as having Dollar Commitments and any other Person that shall have become a party hereto pursuant to an</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57" w:name="page58"/>
    <w:bookmarkEnd w:id="57"/>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and Assumption that provides for it to assume a Dollar Commitment or to acquire Revolving Dollar Credit Exposure, other than any such Person that ceases to be a party hereto pursuant to an Assignment and Assumption.</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Letters of Credit</w:t>
      </w:r>
      <w:r>
        <w:rPr>
          <w:rFonts w:ascii="Arial" w:cs="Arial" w:eastAsia="Arial" w:hAnsi="Arial"/>
          <w:sz w:val="18"/>
          <w:szCs w:val="18"/>
          <w:color w:val="auto"/>
        </w:rPr>
        <w:t>” means Letters of Credit that utilize the Dollar Commitments.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Loan</w:t>
      </w:r>
      <w:r>
        <w:rPr>
          <w:rFonts w:ascii="Arial" w:cs="Arial" w:eastAsia="Arial" w:hAnsi="Arial"/>
          <w:sz w:val="18"/>
          <w:szCs w:val="18"/>
          <w:color w:val="auto"/>
        </w:rPr>
        <w:t>” means a Loan denominated in Dollars.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means the date on which the conditions specified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satisfied (or waived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w:t>
      </w:r>
    </w:p>
    <w:p>
      <w:pPr>
        <w:spacing w:after="0" w:line="194" w:lineRule="exact"/>
        <w:rPr>
          <w:sz w:val="20"/>
          <w:szCs w:val="20"/>
          <w:color w:val="auto"/>
        </w:rPr>
      </w:pPr>
    </w:p>
    <w:p>
      <w:pPr>
        <w:jc w:val="both"/>
        <w:ind w:right="2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171" w:lineRule="exact"/>
        <w:rPr>
          <w:sz w:val="20"/>
          <w:szCs w:val="20"/>
          <w:color w:val="auto"/>
        </w:rPr>
      </w:pPr>
    </w:p>
    <w:p>
      <w:pPr>
        <w:ind w:right="32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40" w:lineRule="exact"/>
        <w:rPr>
          <w:sz w:val="20"/>
          <w:szCs w:val="20"/>
          <w:color w:val="auto"/>
        </w:rPr>
      </w:pPr>
    </w:p>
    <w:p>
      <w:pPr>
        <w:ind w:right="60" w:firstLine="89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2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a single currency of the Participating Member States.</w:t>
      </w:r>
    </w:p>
    <w:p>
      <w:pPr>
        <w:spacing w:after="0" w:line="15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58" w:name="page59"/>
    <w:bookmarkEnd w:id="58"/>
    <w:p>
      <w:pPr>
        <w:ind w:right="280" w:firstLine="89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constituting such Borrowing, are bearing interest at a rate determined by reference to the Adjusted LIBO Rate.</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1" w:lineRule="exact"/>
        <w:rPr>
          <w:sz w:val="20"/>
          <w:szCs w:val="20"/>
          <w:color w:val="auto"/>
        </w:rPr>
      </w:pPr>
    </w:p>
    <w:p>
      <w:pPr>
        <w:ind w:firstLine="89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with respect to the Administrative Agent, any Lender, the Issuing Bank or any other recipient of any payment to be made by or on account of any obligation of the Borrower hereunder, (a) income, corporate, franchise or other similar taxes imposed on (or measured by) its net income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w:t>
      </w:r>
    </w:p>
    <w:p>
      <w:pPr>
        <w:spacing w:after="0" w:line="3"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branch profits taxes imposed by the United States of America or any similar tax imposed by any other jurisdiction in which the Borrower is located,</w:t>
      </w:r>
    </w:p>
    <w:p>
      <w:pPr>
        <w:spacing w:after="0" w:line="32" w:lineRule="exact"/>
        <w:rPr>
          <w:rFonts w:ascii="Arial" w:cs="Arial" w:eastAsia="Arial" w:hAnsi="Arial"/>
          <w:sz w:val="16"/>
          <w:szCs w:val="16"/>
          <w:color w:val="auto"/>
        </w:rPr>
      </w:pPr>
    </w:p>
    <w:p>
      <w:pPr>
        <w:ind w:firstLine="8"/>
        <w:spacing w:after="0" w:line="288" w:lineRule="auto"/>
        <w:tabs>
          <w:tab w:leader="none" w:pos="239"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in the case of a Lender, any U.S. withholding tax imposed on amounts payable to such Lender (i) at the time such Lender (other than an assignee pursuant to a request by the Borrower under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at the time of such assignment or designation (other than to the extent such withholding is as a result of a CAM Exchange), or (ii) that is attributable to such Lender’s failure or inability (other than as a result of a Change in Law occurring after the date such Lender becomes a party to this Agreement) to comply with </w:t>
      </w:r>
      <w:r>
        <w:rPr>
          <w:rFonts w:ascii="Arial" w:cs="Arial" w:eastAsia="Arial" w:hAnsi="Arial"/>
          <w:sz w:val="16"/>
          <w:szCs w:val="16"/>
          <w:u w:val="single" w:color="auto"/>
          <w:color w:val="auto"/>
        </w:rPr>
        <w:t>Section 2.16(f)</w:t>
      </w:r>
      <w:r>
        <w:rPr>
          <w:rFonts w:ascii="Arial" w:cs="Arial" w:eastAsia="Arial" w:hAnsi="Arial"/>
          <w:sz w:val="16"/>
          <w:szCs w:val="16"/>
          <w:color w:val="auto"/>
        </w:rPr>
        <w:t>, (d) any U.S. federal, state or local backup withholding Taxes imposed on payments made under any Loan Document, and (e) any U.S. federal withholding tax that is imposed pursuant to FATCA.</w:t>
      </w:r>
    </w:p>
    <w:p>
      <w:pPr>
        <w:spacing w:after="0" w:line="12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Lenders</w:t>
      </w:r>
      <w:r>
        <w:rPr>
          <w:rFonts w:ascii="Arial" w:cs="Arial" w:eastAsia="Arial" w:hAnsi="Arial"/>
          <w:sz w:val="18"/>
          <w:szCs w:val="18"/>
          <w:color w:val="auto"/>
        </w:rPr>
        <w:t>” has the meaning assigned to such term in the preamble to this Agreement.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Loans</w:t>
      </w:r>
      <w:r>
        <w:rPr>
          <w:rFonts w:ascii="Arial" w:cs="Arial" w:eastAsia="Arial" w:hAnsi="Arial"/>
          <w:sz w:val="18"/>
          <w:szCs w:val="18"/>
          <w:color w:val="auto"/>
        </w:rPr>
        <w:t>” has the meaning assigned to such term in the preamble to this Agreement.</w:t>
      </w:r>
    </w:p>
    <w:p>
      <w:pPr>
        <w:spacing w:after="0" w:line="171" w:lineRule="exact"/>
        <w:rPr>
          <w:sz w:val="20"/>
          <w:szCs w:val="20"/>
          <w:color w:val="auto"/>
        </w:rPr>
      </w:pPr>
    </w:p>
    <w:p>
      <w:pPr>
        <w:ind w:right="20" w:firstLine="89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Extraordinary Receipts</w:t>
      </w:r>
      <w:r>
        <w:rPr>
          <w:rFonts w:ascii="Arial" w:cs="Arial" w:eastAsia="Arial" w:hAnsi="Arial"/>
          <w:sz w:val="16"/>
          <w:szCs w:val="16"/>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Extraordinary Receipts shall not include any (x) amounts that the Borrower receives from the Administrative Agent or any Lender pursuant to </w:t>
      </w:r>
      <w:r>
        <w:rPr>
          <w:rFonts w:ascii="Arial" w:cs="Arial" w:eastAsia="Arial" w:hAnsi="Arial"/>
          <w:sz w:val="16"/>
          <w:szCs w:val="16"/>
          <w:u w:val="single" w:color="auto"/>
          <w:color w:val="auto"/>
        </w:rPr>
        <w:t>Section 2.16(f)</w:t>
      </w:r>
      <w:r>
        <w:rPr>
          <w:rFonts w:ascii="Arial" w:cs="Arial" w:eastAsia="Arial" w:hAnsi="Arial"/>
          <w:sz w:val="16"/>
          <w:szCs w:val="16"/>
          <w:color w:val="auto"/>
        </w:rPr>
        <w:t>, or (y) cash receipts to the extent received from proceeds of insurance, condemnation awards (or payments in lieu thereof), indemnity payments or payments in respect of judgments or settlements of claims, litigation or proceedings to the extent</w:t>
      </w:r>
    </w:p>
    <w:p>
      <w:pPr>
        <w:spacing w:after="0" w:line="110"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59" w:name="page60"/>
    <w:bookmarkEnd w:id="59"/>
    <w:p>
      <w:pPr>
        <w:ind w:right="100"/>
        <w:spacing w:after="0" w:line="36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64" w:lineRule="exact"/>
        <w:rPr>
          <w:sz w:val="20"/>
          <w:szCs w:val="20"/>
          <w:color w:val="auto"/>
        </w:rPr>
      </w:pPr>
    </w:p>
    <w:p>
      <w:pPr>
        <w:ind w:right="840" w:firstLine="898"/>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 1471 through 1474 of the Code, as of the date of this Agreement (or any amended or successor version that is substantively comparable and not materially more onerous to comply with) and any regulations or official interpretations thereof.</w:t>
      </w:r>
    </w:p>
    <w:p>
      <w:pPr>
        <w:spacing w:after="0" w:line="87" w:lineRule="exact"/>
        <w:rPr>
          <w:sz w:val="20"/>
          <w:szCs w:val="20"/>
          <w:color w:val="auto"/>
        </w:rPr>
      </w:pPr>
    </w:p>
    <w:p>
      <w:pPr>
        <w:ind w:right="120" w:firstLine="89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4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means February 21, 2016.</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Subsidiary</w:t>
      </w:r>
      <w:r>
        <w:rPr>
          <w:rFonts w:ascii="Arial" w:cs="Arial" w:eastAsia="Arial" w:hAnsi="Arial"/>
          <w:sz w:val="18"/>
          <w:szCs w:val="18"/>
          <w:color w:val="auto"/>
        </w:rPr>
        <w:t>” means an SPE Subsidiary or an SBIC Subsidiary.</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at any time any Currency other than Dollars.</w:t>
      </w:r>
    </w:p>
    <w:p>
      <w:pPr>
        <w:spacing w:after="0" w:line="171" w:lineRule="exact"/>
        <w:rPr>
          <w:sz w:val="20"/>
          <w:szCs w:val="20"/>
          <w:color w:val="auto"/>
        </w:rPr>
      </w:pPr>
    </w:p>
    <w:p>
      <w:pPr>
        <w:ind w:right="20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Equivalent</w:t>
      </w:r>
      <w:r>
        <w:rPr>
          <w:rFonts w:ascii="Arial" w:cs="Arial" w:eastAsia="Arial" w:hAnsi="Arial"/>
          <w:sz w:val="18"/>
          <w:szCs w:val="18"/>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as defined under Section 7701(a)(30) of the Code.</w:t>
      </w:r>
    </w:p>
    <w:p>
      <w:pPr>
        <w:spacing w:after="0" w:line="171" w:lineRule="exact"/>
        <w:rPr>
          <w:sz w:val="20"/>
          <w:szCs w:val="20"/>
          <w:color w:val="auto"/>
        </w:rPr>
      </w:pPr>
    </w:p>
    <w:p>
      <w:pPr>
        <w:ind w:firstLine="89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Subsidiary</w:t>
      </w:r>
      <w:r>
        <w:rPr>
          <w:rFonts w:ascii="Arial" w:cs="Arial" w:eastAsia="Arial" w:hAnsi="Arial"/>
          <w:sz w:val="16"/>
          <w:szCs w:val="16"/>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a direct or indirect Subsidiary of the Borrower which is a “controlled foreign subsidiary” within the meaning of the Code and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15" w:lineRule="exact"/>
        <w:rPr>
          <w:sz w:val="20"/>
          <w:szCs w:val="20"/>
          <w:color w:val="auto"/>
        </w:rPr>
      </w:pPr>
    </w:p>
    <w:p>
      <w:pPr>
        <w:ind w:right="140" w:firstLine="89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Fronting Exposure</w:t>
      </w:r>
      <w:r>
        <w:rPr>
          <w:rFonts w:ascii="Arial" w:cs="Arial" w:eastAsia="Arial" w:hAnsi="Arial"/>
          <w:sz w:val="16"/>
          <w:szCs w:val="16"/>
          <w:color w:val="auto"/>
        </w:rPr>
        <w:t>” means, at any time there is a Defaulting Lender, with respect to any Issuing Bank, such Defaulting Lender’s Applicable Percentage of the outstanding LC Exposure with respect to Letters of Credit issued by such Issuing Bank other than LC Exposure as to which such Defaulting Lender’s participation obligation has been reallocated to other Lenders or Cash Collateralized in accordance with the terms hereof.</w:t>
      </w:r>
    </w:p>
    <w:p>
      <w:pPr>
        <w:spacing w:after="0" w:line="93"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60" w:name="page61"/>
    <w:bookmarkEnd w:id="60"/>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171" w:lineRule="exact"/>
        <w:rPr>
          <w:sz w:val="20"/>
          <w:szCs w:val="20"/>
          <w:color w:val="auto"/>
        </w:rPr>
      </w:pPr>
    </w:p>
    <w:p>
      <w:pPr>
        <w:ind w:right="14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or of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40"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26" w:lineRule="exact"/>
        <w:rPr>
          <w:sz w:val="20"/>
          <w:szCs w:val="20"/>
          <w:color w:val="auto"/>
        </w:rPr>
      </w:pPr>
    </w:p>
    <w:p>
      <w:pPr>
        <w:ind w:right="60" w:firstLine="89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Security Agreement</w:t>
      </w:r>
      <w:r>
        <w:rPr>
          <w:rFonts w:ascii="Arial" w:cs="Arial" w:eastAsia="Arial" w:hAnsi="Arial"/>
          <w:sz w:val="18"/>
          <w:szCs w:val="18"/>
          <w:color w:val="auto"/>
        </w:rPr>
        <w:t>” means that certain Amended and Restated Guarantee and Security Agreement dated as of February 21, 2012 among the Borrower, the Administrative Agent, each Subsidiary of the Borrower from time to time party thereto, each holder (or a representative or trustee therefor) from time to time of any Secured Longer-Term Indebtedness, and the Collateral Agent, as the same shall be modified and supplemented and in effect from time to time.</w:t>
      </w:r>
    </w:p>
    <w:p>
      <w:pPr>
        <w:spacing w:after="0" w:line="143" w:lineRule="exact"/>
        <w:rPr>
          <w:sz w:val="20"/>
          <w:szCs w:val="20"/>
          <w:color w:val="auto"/>
        </w:rPr>
      </w:pPr>
    </w:p>
    <w:p>
      <w:pPr>
        <w:ind w:right="480" w:firstLine="89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Assumption Agreement</w:t>
      </w:r>
      <w:r>
        <w:rPr>
          <w:rFonts w:ascii="Arial" w:cs="Arial" w:eastAsia="Arial" w:hAnsi="Arial"/>
          <w:sz w:val="16"/>
          <w:szCs w:val="16"/>
          <w:color w:val="auto"/>
        </w:rPr>
        <w:t xml:space="preserve">” means a Guarantee Assumption Agreement substantially in the form of Exhibit B to the Guarantee and Security Agreement between the Collateral Agent and an entity that pursuant to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is required to become a “Subsidiary Guarantor” under the Guarantee and Security Agreement (with such changes as the Administrative Agent shall request consistent with the requirements of </w:t>
      </w:r>
      <w:r>
        <w:rPr>
          <w:rFonts w:ascii="Arial" w:cs="Arial" w:eastAsia="Arial" w:hAnsi="Arial"/>
          <w:sz w:val="16"/>
          <w:szCs w:val="16"/>
          <w:u w:val="single" w:color="auto"/>
          <w:color w:val="auto"/>
        </w:rPr>
        <w:t>Section 5.08)</w:t>
      </w:r>
      <w:r>
        <w:rPr>
          <w:rFonts w:ascii="Arial" w:cs="Arial" w:eastAsia="Arial" w:hAnsi="Arial"/>
          <w:sz w:val="16"/>
          <w:szCs w:val="16"/>
          <w:color w:val="auto"/>
        </w:rPr>
        <w:t>.</w:t>
      </w:r>
    </w:p>
    <w:p>
      <w:pPr>
        <w:spacing w:after="0" w:line="106" w:lineRule="exact"/>
        <w:rPr>
          <w:sz w:val="20"/>
          <w:szCs w:val="20"/>
          <w:color w:val="auto"/>
        </w:rPr>
      </w:pPr>
    </w:p>
    <w:p>
      <w:pPr>
        <w:ind w:right="4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interest rate protection agreement, foreign currency exchange protection agreement, commodity price protection agreement or other interest or currency exchange rate or commodity price hedging arrangement.</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14</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61" w:name="page62"/>
    <w:bookmarkEnd w:id="61"/>
    <w:p>
      <w:pPr>
        <w:ind w:right="100" w:firstLine="898"/>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5"/>
          <w:szCs w:val="15"/>
          <w:u w:val="single" w:color="auto"/>
          <w:color w:val="auto"/>
        </w:rPr>
        <w:t>Immaterial Subsidiaries</w:t>
      </w:r>
      <w:r>
        <w:rPr>
          <w:rFonts w:ascii="Arial" w:cs="Arial" w:eastAsia="Arial" w:hAnsi="Arial"/>
          <w:sz w:val="15"/>
          <w:szCs w:val="15"/>
          <w:color w:val="auto"/>
        </w:rPr>
        <w:t xml:space="preserve">” means those Subsidiaries of the Borrower that are “designated” as Immaterial Subsidiaries by the Borrower from time to time (it being understood that the Borrower may at any time change any such designation);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designated Immaterial Subsidiaries shall collectively meet all of the following criteria as of the date of the most recent balance sheet required to be delivered pursuant to </w:t>
      </w:r>
      <w:r>
        <w:rPr>
          <w:rFonts w:ascii="Arial" w:cs="Arial" w:eastAsia="Arial" w:hAnsi="Arial"/>
          <w:sz w:val="15"/>
          <w:szCs w:val="15"/>
          <w:u w:val="single" w:color="auto"/>
          <w:color w:val="auto"/>
        </w:rPr>
        <w:t>Section 5.01</w:t>
      </w:r>
      <w:r>
        <w:rPr>
          <w:rFonts w:ascii="Arial" w:cs="Arial" w:eastAsia="Arial" w:hAnsi="Arial"/>
          <w:sz w:val="15"/>
          <w:szCs w:val="15"/>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0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71" w:lineRule="exact"/>
        <w:rPr>
          <w:sz w:val="20"/>
          <w:szCs w:val="20"/>
          <w:color w:val="auto"/>
        </w:rPr>
      </w:pPr>
    </w:p>
    <w:p>
      <w:pPr>
        <w:ind w:right="20" w:firstLine="89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debt being the lower of the outstanding amount of such debt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13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171"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w:t>
      </w:r>
      <w:r>
        <w:rPr>
          <w:rFonts w:ascii="Arial" w:cs="Arial" w:eastAsia="Arial" w:hAnsi="Arial"/>
          <w:sz w:val="18"/>
          <w:szCs w:val="18"/>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43" w:lineRule="exact"/>
        <w:rPr>
          <w:sz w:val="20"/>
          <w:szCs w:val="20"/>
          <w:color w:val="auto"/>
        </w:rPr>
      </w:pPr>
    </w:p>
    <w:p>
      <w:pPr>
        <w:ind w:right="92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Industry Classification Group</w:t>
      </w:r>
      <w:r>
        <w:rPr>
          <w:rFonts w:ascii="Arial" w:cs="Arial" w:eastAsia="Arial" w:hAnsi="Arial"/>
          <w:sz w:val="18"/>
          <w:szCs w:val="18"/>
          <w:color w:val="auto"/>
        </w:rPr>
        <w:t xml:space="preserve">” means (a) any of the classification groups set forth in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hereto, together with any such classification groups that may be</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15</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62" w:name="page63"/>
    <w:bookmarkEnd w:id="62"/>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subsequently established by Moody’s and provided by the Borrower to the Lenders, and (b) up to three additional industry group classifications established by the Borrower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Election Request</w:t>
      </w:r>
      <w:r>
        <w:rPr>
          <w:rFonts w:ascii="Arial" w:cs="Arial" w:eastAsia="Arial" w:hAnsi="Arial"/>
          <w:sz w:val="16"/>
          <w:szCs w:val="16"/>
          <w:color w:val="auto"/>
        </w:rPr>
        <w:t xml:space="preserve">” means a request by the Borrower to convert or continue a Syndicated Borrowing in accordance with </w:t>
      </w:r>
      <w:r>
        <w:rPr>
          <w:rFonts w:ascii="Arial" w:cs="Arial" w:eastAsia="Arial" w:hAnsi="Arial"/>
          <w:sz w:val="16"/>
          <w:szCs w:val="16"/>
          <w:u w:val="single" w:color="auto"/>
          <w:color w:val="auto"/>
        </w:rPr>
        <w:t>Section 2.07</w:t>
      </w:r>
      <w:r>
        <w:rPr>
          <w:rFonts w:ascii="Arial" w:cs="Arial" w:eastAsia="Arial" w:hAnsi="Arial"/>
          <w:sz w:val="16"/>
          <w:szCs w:val="16"/>
          <w:color w:val="auto"/>
        </w:rPr>
        <w:t>.</w:t>
      </w:r>
    </w:p>
    <w:p>
      <w:pPr>
        <w:spacing w:after="0" w:line="194"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Syndicated ABR Loan, each Quarterly Date, (b) with respect to any Eurocurrency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43" w:lineRule="exact"/>
        <w:rPr>
          <w:sz w:val="20"/>
          <w:szCs w:val="20"/>
          <w:color w:val="auto"/>
        </w:rPr>
      </w:pPr>
    </w:p>
    <w:p>
      <w:pPr>
        <w:ind w:right="20" w:firstLine="89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any Eurocurrency Loan or Borrowing, the period commencing on the date of such Loan or Borrowing and ending on the numerically corresponding day in the calendar month that is one, two, three or six months thereafter or, with respect to such portion of any Eurocurrency Loan or Borrowing denominated in a Foreign Currency that is scheduled to be repaid on the Final Maturity Date, a period of less than one month’s duration commencing on the date of such Loan or Borrowing and ending on the Final Maturity Date, as specified in the applicable Borrowing Request or Interest Election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denominated in a Foreign Currency that ends on the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23" w:lineRule="exact"/>
        <w:rPr>
          <w:sz w:val="20"/>
          <w:szCs w:val="20"/>
          <w:color w:val="auto"/>
        </w:rPr>
      </w:pPr>
    </w:p>
    <w:p>
      <w:pPr>
        <w:ind w:right="120" w:firstLine="89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for any Person: (a) Equity Interests, bonds, notes, debentures or other securities of any other Person or any agreement to acquire any Equity Interests, bonds, notes, debentures or other securities of any other Person (including any “short sale” or any sale of any securities at a time when such securities are not owned by the Person entering into such sale);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4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from time to time.</w:t>
      </w:r>
    </w:p>
    <w:p>
      <w:pPr>
        <w:spacing w:after="0" w:line="15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16</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63" w:name="page64"/>
    <w:bookmarkEnd w:id="63"/>
    <w:p>
      <w:pPr>
        <w:ind w:right="860" w:firstLine="898"/>
        <w:spacing w:after="0" w:line="33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Investment Policies</w:t>
      </w:r>
      <w:r>
        <w:rPr>
          <w:rFonts w:ascii="Arial" w:cs="Arial" w:eastAsia="Arial" w:hAnsi="Arial"/>
          <w:sz w:val="16"/>
          <w:szCs w:val="16"/>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71" w:lineRule="exact"/>
        <w:rPr>
          <w:sz w:val="20"/>
          <w:szCs w:val="20"/>
          <w:color w:val="auto"/>
        </w:rPr>
      </w:pPr>
    </w:p>
    <w:p>
      <w:pPr>
        <w:jc w:val="both"/>
        <w:ind w:right="42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SunTrust, in its capacity as the issuer of Letters of Credit hereunder, and its successors in such capacity as provided in </w:t>
      </w:r>
      <w:r>
        <w:rPr>
          <w:rFonts w:ascii="Arial" w:cs="Arial" w:eastAsia="Arial" w:hAnsi="Arial"/>
          <w:sz w:val="18"/>
          <w:szCs w:val="18"/>
          <w:u w:val="single" w:color="auto"/>
          <w:color w:val="auto"/>
        </w:rPr>
        <w:t>Section 2.05(j)</w:t>
      </w:r>
      <w:r>
        <w:rPr>
          <w:rFonts w:ascii="Arial" w:cs="Arial" w:eastAsia="Arial" w:hAnsi="Arial"/>
          <w:sz w:val="18"/>
          <w:szCs w:val="18"/>
          <w:color w:val="auto"/>
        </w:rPr>
        <w:t>. In the case of any Letter of Credit to be issued in an Agreed Foreign Currency, SunTrust may designate any of its affiliates as the “Issuing Bank” for purposes of such Letter of Credit.</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the Issuing Bank pursuant to a Letter of Credit.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the Dollar LC Exposure and the Multicurrency LC Exposure.</w:t>
      </w:r>
    </w:p>
    <w:p>
      <w:pPr>
        <w:spacing w:after="0" w:line="171" w:lineRule="exact"/>
        <w:rPr>
          <w:sz w:val="20"/>
          <w:szCs w:val="20"/>
          <w:color w:val="auto"/>
        </w:rPr>
      </w:pPr>
    </w:p>
    <w:p>
      <w:pPr>
        <w:ind w:right="46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collectively, the Dollar Lenders and the Multicurrency Lenders. Unless the context otherwise requires, the term “Lenders” includes the Swingline Lender.</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Collateral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2.05(k)</w:t>
      </w:r>
      <w:r>
        <w:rPr>
          <w:rFonts w:ascii="Arial" w:cs="Arial" w:eastAsia="Arial" w:hAnsi="Arial"/>
          <w:sz w:val="18"/>
          <w:szCs w:val="18"/>
          <w:color w:val="auto"/>
        </w:rPr>
        <w:t>.</w:t>
      </w:r>
    </w:p>
    <w:p>
      <w:pPr>
        <w:spacing w:after="0" w:line="171" w:lineRule="exact"/>
        <w:rPr>
          <w:sz w:val="20"/>
          <w:szCs w:val="20"/>
          <w:color w:val="auto"/>
        </w:rPr>
      </w:pPr>
    </w:p>
    <w:p>
      <w:pPr>
        <w:ind w:right="40" w:firstLine="89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Documents</w:t>
      </w:r>
      <w:r>
        <w:rPr>
          <w:rFonts w:ascii="Arial" w:cs="Arial" w:eastAsia="Arial" w:hAnsi="Arial"/>
          <w:sz w:val="18"/>
          <w:szCs w:val="18"/>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43" w:lineRule="exact"/>
        <w:rPr>
          <w:sz w:val="20"/>
          <w:szCs w:val="20"/>
          <w:color w:val="auto"/>
        </w:rPr>
      </w:pPr>
    </w:p>
    <w:p>
      <w:pPr>
        <w:ind w:right="40" w:firstLine="89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xml:space="preserve">” means, for any Interest Period, the British Bankers’ Association Interest Settlement Rate per annum for deposits in U.S. dollars for a period equal to the Interest Period appearing on the display designated as Reuters Screen LIBOR01 Page (or such other page on that service or such other service designated by the British Bankers’ Association for the display of such Association’s Interest Settlement Rates for Dollar deposits) as of 11:00 a.m., London time on the day that is two Business Days prior to the first day of the Interest Period (or if such Reuters Screen LIBOR01 Page is unavailable for any reason at such time, the rate which appears on the Reuters Screen ISDA Page as of such date and such time);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Administrative Agent determines that the relevant foregoing sources are unavailable for the relevant Interest Period, LIBO Rate shall mean the rate of interest determined by the Administrative Agent to be the average (rounded upward, if necessary, to the nearest 1/100</w:t>
      </w:r>
      <w:r>
        <w:rPr>
          <w:rFonts w:ascii="Arial" w:cs="Arial" w:eastAsia="Arial" w:hAnsi="Arial"/>
          <w:sz w:val="10"/>
          <w:szCs w:val="10"/>
          <w:color w:val="auto"/>
        </w:rPr>
        <w:t>th</w:t>
      </w:r>
      <w:r>
        <w:rPr>
          <w:rFonts w:ascii="Arial" w:cs="Arial" w:eastAsia="Arial" w:hAnsi="Arial"/>
          <w:sz w:val="16"/>
          <w:szCs w:val="16"/>
          <w:color w:val="auto"/>
        </w:rPr>
        <w:t xml:space="preserve"> of 1%) of the rates per annum at which deposits in U.S. dollars are offered to the Administrative Agent two (2) business days preceding the first day of such Interest Period by leading banks in the London interbank market as of 11:00 a.m. for delivery on the first day of such Interest Period, for the number of days comprised therein and in an amount comparable to the amount of the Administrative Agent’s portion of the relevant Eurocurrency Borrowing.</w:t>
      </w:r>
    </w:p>
    <w:p>
      <w:pPr>
        <w:spacing w:after="0" w:line="10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64" w:name="page65"/>
    <w:bookmarkEnd w:id="64"/>
    <w:p>
      <w:pPr>
        <w:ind w:right="120" w:firstLine="898"/>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the Letter of Credit Documents and the Security Documents.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within the meaning of Regulations T, U and X.</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3.04(b)</w:t>
      </w:r>
      <w:r>
        <w:rPr>
          <w:rFonts w:ascii="Arial" w:cs="Arial" w:eastAsia="Arial" w:hAnsi="Arial"/>
          <w:sz w:val="18"/>
          <w:szCs w:val="18"/>
          <w:color w:val="auto"/>
        </w:rPr>
        <w:t>.</w:t>
      </w:r>
    </w:p>
    <w:p>
      <w:pPr>
        <w:spacing w:after="0" w:line="171" w:lineRule="exact"/>
        <w:rPr>
          <w:sz w:val="20"/>
          <w:szCs w:val="20"/>
          <w:color w:val="auto"/>
        </w:rPr>
      </w:pPr>
    </w:p>
    <w:p>
      <w:pPr>
        <w:ind w:right="120" w:firstLine="89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12" w:lineRule="exact"/>
        <w:rPr>
          <w:sz w:val="20"/>
          <w:szCs w:val="20"/>
          <w:color w:val="auto"/>
        </w:rPr>
      </w:pPr>
    </w:p>
    <w:p>
      <w:pPr>
        <w:ind w:right="140" w:firstLine="89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 Indebtedness (other than the Loans, Letters of Credit and Hedging Agreements), of any one or more of the Borrower and its Subsidiaries in an aggregate principal amount exceeding $10,000,000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$10,000,000.</w:t>
      </w:r>
    </w:p>
    <w:p>
      <w:pPr>
        <w:spacing w:after="0" w:line="143" w:lineRule="exact"/>
        <w:rPr>
          <w:sz w:val="20"/>
          <w:szCs w:val="20"/>
          <w:color w:val="auto"/>
        </w:rPr>
      </w:pPr>
    </w:p>
    <w:p>
      <w:pPr>
        <w:ind w:right="360" w:firstLine="898"/>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means, at any time, with respect to Cash Collateral consisting of Cash or deposit account balances, an amount equal to 100% of the Fronting Exposure of Issuing Bank with respect to Letters of Credit issued and outstanding at such time.</w:t>
      </w:r>
    </w:p>
    <w:p>
      <w:pPr>
        <w:spacing w:after="0" w:line="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thereto.</w:t>
      </w:r>
    </w:p>
    <w:p>
      <w:pPr>
        <w:spacing w:after="0" w:line="171" w:lineRule="exact"/>
        <w:rPr>
          <w:sz w:val="20"/>
          <w:szCs w:val="20"/>
          <w:color w:val="auto"/>
        </w:rPr>
      </w:pPr>
    </w:p>
    <w:p>
      <w:pPr>
        <w:ind w:right="66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Commitment</w:t>
      </w:r>
      <w:r>
        <w:rPr>
          <w:rFonts w:ascii="Arial" w:cs="Arial" w:eastAsia="Arial" w:hAnsi="Arial"/>
          <w:sz w:val="18"/>
          <w:szCs w:val="18"/>
          <w:color w:val="auto"/>
        </w:rPr>
        <w:t>” means, with respect to each Multicurrency Lender, the commitment of such Multicurrency Lender to make Syndicated Loans, and to acquire</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18</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65" w:name="page66"/>
    <w:bookmarkEnd w:id="65"/>
    <w:p>
      <w:pPr>
        <w:ind w:right="1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participations in Letters of Credit and Swingline Loans, denominated in Dollars and in Agreed Foreign Currencies hereunder, expressed as an amount representing the maximum aggregate amount of such Lender’s Revolving Multicurrency Credit Exposure hereunder, as such commitment may be (a) reduced from time to time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(b) reduced or increased from time to time pursuant to assignments by or to such Lender pursuant to</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The initial amount of each Lender’s Multicurrency Commitment is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 or in the Assignment and Assumption pursuant to which such Lender shall have assumed its Multicurrency commitment, as applicable. The initial aggregate amount of the Lenders’ Multicurrency Commitments is $340,000,000.</w:t>
      </w:r>
    </w:p>
    <w:p>
      <w:pPr>
        <w:spacing w:after="0" w:line="144" w:lineRule="exact"/>
        <w:rPr>
          <w:sz w:val="20"/>
          <w:szCs w:val="20"/>
          <w:color w:val="auto"/>
        </w:rPr>
      </w:pPr>
    </w:p>
    <w:p>
      <w:pPr>
        <w:jc w:val="both"/>
        <w:ind w:right="20" w:firstLine="89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LC Exposure</w:t>
      </w:r>
      <w:r>
        <w:rPr>
          <w:rFonts w:ascii="Arial" w:cs="Arial" w:eastAsia="Arial" w:hAnsi="Arial"/>
          <w:sz w:val="18"/>
          <w:szCs w:val="18"/>
          <w:color w:val="auto"/>
        </w:rPr>
        <w:t xml:space="preserve">” means, at any time, the sum of (a) the aggregate undrawn amount of all outstanding Multicurrency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43" w:lineRule="exact"/>
        <w:rPr>
          <w:sz w:val="20"/>
          <w:szCs w:val="20"/>
          <w:color w:val="auto"/>
        </w:rPr>
      </w:pPr>
    </w:p>
    <w:p>
      <w:pPr>
        <w:ind w:right="40" w:firstLine="89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Lender</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0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Letters of Credit</w:t>
      </w:r>
      <w:r>
        <w:rPr>
          <w:rFonts w:ascii="Arial" w:cs="Arial" w:eastAsia="Arial" w:hAnsi="Arial"/>
          <w:sz w:val="18"/>
          <w:szCs w:val="18"/>
          <w:color w:val="auto"/>
        </w:rPr>
        <w:t>” means Letters of Credit that utilize the Multicurrency Commitments.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w:t>
      </w:r>
      <w:r>
        <w:rPr>
          <w:rFonts w:ascii="Arial" w:cs="Arial" w:eastAsia="Arial" w:hAnsi="Arial"/>
          <w:sz w:val="18"/>
          <w:szCs w:val="18"/>
          <w:color w:val="auto"/>
        </w:rPr>
        <w:t>” means a Loan denominated in an Agreed Foreign Currency.</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National Currency</w:t>
      </w:r>
      <w:r>
        <w:rPr>
          <w:rFonts w:ascii="Arial" w:cs="Arial" w:eastAsia="Arial" w:hAnsi="Arial"/>
          <w:sz w:val="18"/>
          <w:szCs w:val="18"/>
          <w:color w:val="auto"/>
        </w:rPr>
        <w:t>” means the currency, other than the Euro, of a Participating Member State.</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171" w:lineRule="exact"/>
        <w:rPr>
          <w:sz w:val="20"/>
          <w:szCs w:val="20"/>
          <w:color w:val="auto"/>
        </w:rPr>
      </w:pPr>
    </w:p>
    <w:p>
      <w:pPr>
        <w:ind w:right="40" w:firstLine="906"/>
        <w:spacing w:after="0" w:line="290" w:lineRule="auto"/>
        <w:tabs>
          <w:tab w:leader="none" w:pos="1137"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w:t>
      </w:r>
    </w:p>
    <w:p>
      <w:pPr>
        <w:spacing w:after="0" w:line="104"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19</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66" w:name="page67"/>
    <w:bookmarkEnd w:id="66"/>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actually payable within two years of the date of the relevant transaction in connection with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112" w:lineRule="exact"/>
        <w:rPr>
          <w:sz w:val="20"/>
          <w:szCs w:val="20"/>
          <w:color w:val="auto"/>
        </w:rPr>
      </w:pPr>
    </w:p>
    <w:p>
      <w:pPr>
        <w:ind w:right="80" w:firstLine="906"/>
        <w:spacing w:after="0" w:line="288" w:lineRule="auto"/>
        <w:tabs>
          <w:tab w:leader="none" w:pos="1147"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an amount equal to (i) the sum of the cash and Cash Equivalents received in connection with such transaction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(1) reasonable out-of-pocket fees, costs and expenses, incurred by the Borrower or such Subsidiary in connection therewith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any reasonable costs, fees, commissions, premiums, expenses, or underwriting discounts or commissions incurred by the Borrower or any of its Subsidiaries in connection with such sale or issuance.</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a Lender that is not a Defaulting Lender at such time.</w:t>
      </w:r>
    </w:p>
    <w:p>
      <w:pPr>
        <w:spacing w:after="0" w:line="171" w:lineRule="exact"/>
        <w:rPr>
          <w:sz w:val="20"/>
          <w:szCs w:val="20"/>
          <w:color w:val="auto"/>
        </w:rPr>
      </w:pPr>
    </w:p>
    <w:p>
      <w:pPr>
        <w:ind w:right="6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means material non-public information (within the meaning of United States federal, state or other applicable securities laws) with respect to Borrower or its Affiliates or their Securities.</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means, collectively, the Borrower and the Subsidiary Guarantors.</w:t>
      </w:r>
    </w:p>
    <w:p>
      <w:pPr>
        <w:spacing w:after="0" w:line="171" w:lineRule="exact"/>
        <w:rPr>
          <w:sz w:val="20"/>
          <w:szCs w:val="20"/>
          <w:color w:val="auto"/>
        </w:rPr>
      </w:pPr>
    </w:p>
    <w:p>
      <w:pPr>
        <w:ind w:right="52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Covered Indebtedness</w:t>
      </w:r>
      <w:r>
        <w:rPr>
          <w:rFonts w:ascii="Arial" w:cs="Arial" w:eastAsia="Arial" w:hAnsi="Arial"/>
          <w:sz w:val="18"/>
          <w:szCs w:val="18"/>
          <w:color w:val="auto"/>
        </w:rPr>
        <w:t>” means, collectively, Secured Longer-Term Indebtedness, Secured Shorter-Term Indebtedness and Unsecured Shorter-Term Indebtedness.</w:t>
      </w:r>
    </w:p>
    <w:p>
      <w:pPr>
        <w:spacing w:after="0" w:line="132" w:lineRule="exact"/>
        <w:rPr>
          <w:sz w:val="20"/>
          <w:szCs w:val="20"/>
          <w:color w:val="auto"/>
        </w:rPr>
      </w:pPr>
    </w:p>
    <w:p>
      <w:pPr>
        <w:ind w:right="120" w:firstLine="898"/>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Permitted Indebtedness</w:t>
      </w:r>
      <w:r>
        <w:rPr>
          <w:rFonts w:ascii="Arial" w:cs="Arial" w:eastAsia="Arial" w:hAnsi="Arial"/>
          <w:sz w:val="15"/>
          <w:szCs w:val="15"/>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purchasing of securities, derivatives transactions, reverse repurchase agreements or dollar rolls to the extent such transactions are permitted under the Investment Company Act and the Borrower’s Investment Policies,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Arial" w:cs="Arial" w:eastAsia="Arial" w:hAnsi="Arial"/>
          <w:sz w:val="15"/>
          <w:szCs w:val="15"/>
          <w:u w:val="single" w:color="auto"/>
          <w:color w:val="auto"/>
        </w:rPr>
        <w:t>clause (l)</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Article VII</w:t>
      </w:r>
      <w:r>
        <w:rPr>
          <w:rFonts w:ascii="Arial" w:cs="Arial" w:eastAsia="Arial" w:hAnsi="Arial"/>
          <w:sz w:val="15"/>
          <w:szCs w:val="15"/>
          <w:color w:val="auto"/>
        </w:rPr>
        <w:t>.</w:t>
      </w:r>
    </w:p>
    <w:p>
      <w:pPr>
        <w:spacing w:after="0" w:line="91"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67" w:name="page68"/>
    <w:bookmarkEnd w:id="67"/>
    <w:p>
      <w:pPr>
        <w:ind w:right="20" w:firstLine="89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any such taxes, charges or similar levies resulting from an assignment by any Lender in accordance with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hereof (unless such assignment is made pursuant to </w:t>
      </w:r>
      <w:r>
        <w:rPr>
          <w:rFonts w:ascii="Arial" w:cs="Arial" w:eastAsia="Arial" w:hAnsi="Arial"/>
          <w:sz w:val="18"/>
          <w:szCs w:val="18"/>
          <w:u w:val="single" w:color="auto"/>
          <w:color w:val="auto"/>
        </w:rPr>
        <w:t>Section 2.18(b)</w:t>
      </w:r>
      <w:r>
        <w:rPr>
          <w:rFonts w:ascii="Arial" w:cs="Arial" w:eastAsia="Arial" w:hAnsi="Arial"/>
          <w:sz w:val="18"/>
          <w:szCs w:val="18"/>
          <w:color w:val="auto"/>
        </w:rPr>
        <w:t>)</w:t>
      </w:r>
    </w:p>
    <w:p>
      <w:pPr>
        <w:spacing w:after="0" w:line="143" w:lineRule="exact"/>
        <w:rPr>
          <w:sz w:val="20"/>
          <w:szCs w:val="20"/>
          <w:color w:val="auto"/>
        </w:rPr>
      </w:pPr>
    </w:p>
    <w:p>
      <w:pPr>
        <w:ind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Company</w:t>
      </w:r>
      <w:r>
        <w:rPr>
          <w:rFonts w:ascii="Arial" w:cs="Arial" w:eastAsia="Arial" w:hAnsi="Arial"/>
          <w:sz w:val="18"/>
          <w:szCs w:val="18"/>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sz w:val="20"/>
          <w:szCs w:val="20"/>
          <w:color w:val="auto"/>
        </w:rPr>
      </w:pPr>
    </w:p>
    <w:p>
      <w:pPr>
        <w:ind w:right="18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Community that adopts or has adopted the Euro as its lawful currency in accordance with the legislation of the European Union relating to the European Monetary Union.</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165" w:lineRule="exact"/>
        <w:rPr>
          <w:sz w:val="20"/>
          <w:szCs w:val="20"/>
          <w:color w:val="auto"/>
        </w:rPr>
      </w:pPr>
    </w:p>
    <w:p>
      <w:pPr>
        <w:ind w:right="100" w:firstLine="89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xml:space="preserve">”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Arial" w:cs="Arial" w:eastAsia="Arial" w:hAnsi="Arial"/>
          <w:sz w:val="16"/>
          <w:szCs w:val="16"/>
          <w:u w:val="single" w:color="auto"/>
          <w:color w:val="auto"/>
        </w:rPr>
        <w:t>clause (l)</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w:t>
      </w:r>
    </w:p>
    <w:p>
      <w:pPr>
        <w:spacing w:after="0" w:line="111"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68" w:name="page69"/>
    <w:bookmarkEnd w:id="68"/>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and (i) deposits of money securing leases to which Borrower is a party as lessee made in the ordinary course of business.</w:t>
      </w:r>
    </w:p>
    <w:p>
      <w:pPr>
        <w:spacing w:after="0" w:line="112" w:lineRule="exact"/>
        <w:rPr>
          <w:sz w:val="20"/>
          <w:szCs w:val="20"/>
          <w:color w:val="auto"/>
        </w:rPr>
      </w:pPr>
    </w:p>
    <w:p>
      <w:pPr>
        <w:ind w:right="100" w:firstLine="89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Policy Amendment</w:t>
      </w:r>
      <w:r>
        <w:rPr>
          <w:rFonts w:ascii="Arial" w:cs="Arial" w:eastAsia="Arial" w:hAnsi="Arial"/>
          <w:sz w:val="16"/>
          <w:szCs w:val="16"/>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 (for the avoidance of doubt, no change, alteration, expansion, amendment, modification, termination or restatement of the Investment Policies shall be deemed “material” if (i) investment size proportionately increases as the size of the Borrower’s capital base changes or (ii) the Borrower and its Subsidiaries, taken as a whole, invest up to 30% of their assets in non-U.S. companies).</w:t>
      </w:r>
    </w:p>
    <w:p>
      <w:pPr>
        <w:spacing w:after="0" w:line="115"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SBIC Guarantee</w:t>
      </w:r>
      <w:r>
        <w:rPr>
          <w:rFonts w:ascii="Arial" w:cs="Arial" w:eastAsia="Arial" w:hAnsi="Arial"/>
          <w:sz w:val="18"/>
          <w:szCs w:val="18"/>
          <w:color w:val="auto"/>
        </w:rPr>
        <w:t>” means a guarantee by the Borrower of Indebtedness of an SBIC Subsidiary on SBA’s then applicable form, provided that the recourse to the Borrower thereunder is expressly limited only to periods after the occurrence of an event or condition that is an impermissible change in the control of such SBIC Subsidiary (it being understood that, as provided in clause (s) of Article VII, it shall be an event of Default hereunder if any such event or condition giving rise to such recourse occurs).</w:t>
      </w:r>
    </w:p>
    <w:p>
      <w:pPr>
        <w:spacing w:after="0" w:line="143" w:lineRule="exact"/>
        <w:rPr>
          <w:sz w:val="20"/>
          <w:szCs w:val="20"/>
          <w:color w:val="auto"/>
        </w:rPr>
      </w:pPr>
    </w:p>
    <w:p>
      <w:pPr>
        <w:ind w:right="18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PFPC</w:t>
      </w:r>
      <w:r>
        <w:rPr>
          <w:rFonts w:ascii="Arial" w:cs="Arial" w:eastAsia="Arial" w:hAnsi="Arial"/>
          <w:sz w:val="18"/>
          <w:szCs w:val="18"/>
          <w:color w:val="auto"/>
        </w:rPr>
        <w:t>” means PFPC Trust Company.</w:t>
      </w:r>
    </w:p>
    <w:p>
      <w:pPr>
        <w:spacing w:after="0" w:line="171" w:lineRule="exact"/>
        <w:rPr>
          <w:sz w:val="20"/>
          <w:szCs w:val="20"/>
          <w:color w:val="auto"/>
        </w:rPr>
      </w:pPr>
    </w:p>
    <w:p>
      <w:pPr>
        <w:ind w:right="8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means has the meaning set forth in </w:t>
      </w:r>
      <w:r>
        <w:rPr>
          <w:rFonts w:ascii="Arial" w:cs="Arial" w:eastAsia="Arial" w:hAnsi="Arial"/>
          <w:sz w:val="18"/>
          <w:szCs w:val="18"/>
          <w:u w:val="single" w:color="auto"/>
          <w:color w:val="auto"/>
        </w:rPr>
        <w:t>Section 5.01(i)</w:t>
      </w:r>
      <w:r>
        <w:rPr>
          <w:rFonts w:ascii="Arial" w:cs="Arial" w:eastAsia="Arial" w:hAnsi="Arial"/>
          <w:sz w:val="18"/>
          <w:szCs w:val="18"/>
          <w:color w:val="auto"/>
        </w:rPr>
        <w: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Portfolio Investment</w:t>
      </w:r>
      <w:r>
        <w:rPr>
          <w:rFonts w:ascii="Arial" w:cs="Arial" w:eastAsia="Arial" w:hAnsi="Arial"/>
          <w:sz w:val="16"/>
          <w:szCs w:val="16"/>
          <w:color w:val="auto"/>
        </w:rPr>
        <w:t>” means any Investment held by the Obligors in their asset portfolio (and solely for purposes of determining the Borrowing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Base, Cash).</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which SunTrust announces from time to time as its prime lending rate, as in effect from time to time.</w:t>
      </w:r>
    </w:p>
    <w:p>
      <w:pPr>
        <w:spacing w:after="0" w:line="171" w:lineRule="exact"/>
        <w:rPr>
          <w:sz w:val="20"/>
          <w:szCs w:val="20"/>
          <w:color w:val="auto"/>
        </w:rPr>
      </w:pPr>
    </w:p>
    <w:p>
      <w:pPr>
        <w:ind w:right="46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Financial Center</w:t>
      </w:r>
      <w:r>
        <w:rPr>
          <w:rFonts w:ascii="Arial" w:cs="Arial" w:eastAsia="Arial" w:hAnsi="Arial"/>
          <w:sz w:val="18"/>
          <w:szCs w:val="18"/>
          <w:color w:val="auto"/>
        </w:rPr>
        <w:t>” means, in the case of any Currency, the principal financial center where such Currency is cleared and settled, as determined by the Administrative Agent.</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22</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69" w:name="page70"/>
    <w:bookmarkEnd w:id="69"/>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Public Lender</w:t>
      </w:r>
      <w:r>
        <w:rPr>
          <w:rFonts w:ascii="Arial" w:cs="Arial" w:eastAsia="Arial" w:hAnsi="Arial"/>
          <w:sz w:val="16"/>
          <w:szCs w:val="16"/>
          <w:color w:val="auto"/>
        </w:rPr>
        <w:t>” means Lenders that do not wish to receive Non-Public Information with respect to the Borrower or any of its Subsidiaries or their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Quarterly Dates</w:t>
      </w:r>
      <w:r>
        <w:rPr>
          <w:rFonts w:ascii="Arial" w:cs="Arial" w:eastAsia="Arial" w:hAnsi="Arial"/>
          <w:sz w:val="16"/>
          <w:szCs w:val="16"/>
          <w:color w:val="auto"/>
        </w:rPr>
        <w:t>” means the last Business Day of March, June, September and December in each year, commencing on March 31, 2012.</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Quoted Investments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5.12(b)(ii)(E)(x)</w:t>
      </w:r>
      <w:r>
        <w:rPr>
          <w:rFonts w:ascii="Arial" w:cs="Arial" w:eastAsia="Arial" w:hAnsi="Arial"/>
          <w:sz w:val="18"/>
          <w:szCs w:val="18"/>
          <w:color w:val="auto"/>
        </w:rPr>
        <w: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Registration Statement filed by the Borrower with the Securities and Exchange Commission on April 19,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165" w:lineRule="exact"/>
        <w:rPr>
          <w:sz w:val="20"/>
          <w:szCs w:val="20"/>
          <w:color w:val="auto"/>
        </w:rPr>
      </w:pPr>
    </w:p>
    <w:p>
      <w:pPr>
        <w:ind w:right="30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Regulations D, T, U and X</w:t>
      </w:r>
      <w:r>
        <w:rPr>
          <w:rFonts w:ascii="Arial" w:cs="Arial" w:eastAsia="Arial" w:hAnsi="Arial"/>
          <w:sz w:val="18"/>
          <w:szCs w:val="18"/>
          <w:color w:val="auto"/>
        </w:rPr>
        <w:t>” means, respectively, Regulations D, T, U and X of the Board of Governors of the Federal Reserve System (or any successor), as the same may be modified and supplemented and in effect from time to time.</w:t>
      </w:r>
    </w:p>
    <w:p>
      <w:pPr>
        <w:spacing w:after="0" w:line="132" w:lineRule="exact"/>
        <w:rPr>
          <w:sz w:val="20"/>
          <w:szCs w:val="20"/>
          <w:color w:val="auto"/>
        </w:rPr>
      </w:pPr>
    </w:p>
    <w:p>
      <w:pPr>
        <w:ind w:right="14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partners, directors, officers, employees, agents and advisors of such Person and such Person’s Affiliates.</w:t>
      </w:r>
    </w:p>
    <w:p>
      <w:pPr>
        <w:spacing w:after="0" w:line="132" w:lineRule="exact"/>
        <w:rPr>
          <w:sz w:val="20"/>
          <w:szCs w:val="20"/>
          <w:color w:val="auto"/>
        </w:rPr>
      </w:pPr>
    </w:p>
    <w:p>
      <w:pPr>
        <w:ind w:firstLine="89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w:t>
      </w:r>
    </w:p>
    <w:p>
      <w:pPr>
        <w:spacing w:after="0" w:line="115" w:lineRule="exact"/>
        <w:rPr>
          <w:sz w:val="20"/>
          <w:szCs w:val="20"/>
          <w:color w:val="auto"/>
        </w:rPr>
      </w:pPr>
    </w:p>
    <w:p>
      <w:pPr>
        <w:ind w:right="80" w:firstLine="89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 shall constitute a Restricted Payment hereunder).</w:t>
      </w:r>
    </w:p>
    <w:p>
      <w:pPr>
        <w:spacing w:after="0" w:line="144" w:lineRule="exact"/>
        <w:rPr>
          <w:sz w:val="20"/>
          <w:szCs w:val="20"/>
          <w:color w:val="auto"/>
        </w:rPr>
      </w:pPr>
    </w:p>
    <w:p>
      <w:pPr>
        <w:ind w:right="100" w:firstLine="89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Return of Capital</w:t>
      </w:r>
      <w:r>
        <w:rPr>
          <w:rFonts w:ascii="Arial" w:cs="Arial" w:eastAsia="Arial" w:hAnsi="Arial"/>
          <w:sz w:val="16"/>
          <w:szCs w:val="16"/>
          <w:color w:val="auto"/>
        </w:rPr>
        <w:t xml:space="preserve">” means (a) any cash amount (and net cash proceeds of any noncash amount) received by any Obligor in respect of the outstanding principal of any Portfolio Investment (whether at stated maturity, by acceleration or otherwise), (b) without duplication of amounts received under </w:t>
      </w:r>
      <w:r>
        <w:rPr>
          <w:rFonts w:ascii="Arial" w:cs="Arial" w:eastAsia="Arial" w:hAnsi="Arial"/>
          <w:sz w:val="16"/>
          <w:szCs w:val="16"/>
          <w:u w:val="single" w:color="auto"/>
          <w:color w:val="auto"/>
        </w:rPr>
        <w:t>clause (a)</w:t>
      </w:r>
      <w:r>
        <w:rPr>
          <w:rFonts w:ascii="Arial" w:cs="Arial" w:eastAsia="Arial" w:hAnsi="Arial"/>
          <w:sz w:val="16"/>
          <w:szCs w:val="16"/>
          <w:color w:val="auto"/>
        </w:rPr>
        <w:t>, any net cash proceeds (including net cash proceeds of any noncash consideration) received by any Obligor from the sale of any property or assets pledged as collateral in respect of any Portfolio Investment to the extent such net cash proceeds are less</w:t>
      </w:r>
    </w:p>
    <w:p>
      <w:pPr>
        <w:spacing w:after="0" w:line="99"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23</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70" w:name="page71"/>
    <w:bookmarkEnd w:id="70"/>
    <w:p>
      <w:pPr>
        <w:ind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than or equal to the outstanding principal balance of such Portfolio Investment, (c) any net cash amount (and net cash proceeds of any noncash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(net of any fees, costs and expenses) received by any Obligor in cash (and net cash proceeds of any noncash amount) in respect of any Portfolio Investment.</w:t>
      </w:r>
    </w:p>
    <w:p>
      <w:pPr>
        <w:spacing w:after="0" w:line="115" w:lineRule="exact"/>
        <w:rPr>
          <w:sz w:val="20"/>
          <w:szCs w:val="20"/>
          <w:color w:val="auto"/>
        </w:rPr>
      </w:pPr>
    </w:p>
    <w:p>
      <w:pPr>
        <w:ind w:right="58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Dollar Credit Exposure and Revolving Multicurrency Credit Exposure at such time.</w:t>
      </w:r>
    </w:p>
    <w:p>
      <w:pPr>
        <w:spacing w:after="0" w:line="132" w:lineRule="exact"/>
        <w:rPr>
          <w:sz w:val="20"/>
          <w:szCs w:val="20"/>
          <w:color w:val="auto"/>
        </w:rPr>
      </w:pPr>
    </w:p>
    <w:p>
      <w:pPr>
        <w:ind w:right="80" w:firstLine="898"/>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Dollar Credit Exposure</w:t>
      </w:r>
      <w:r>
        <w:rPr>
          <w:rFonts w:ascii="Arial" w:cs="Arial" w:eastAsia="Arial" w:hAnsi="Arial"/>
          <w:sz w:val="16"/>
          <w:szCs w:val="16"/>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87" w:lineRule="exact"/>
        <w:rPr>
          <w:sz w:val="20"/>
          <w:szCs w:val="20"/>
          <w:color w:val="auto"/>
        </w:rPr>
      </w:pPr>
    </w:p>
    <w:p>
      <w:pPr>
        <w:ind w:right="200" w:firstLine="898"/>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Multicurrency Credit Exposure</w:t>
      </w:r>
      <w:r>
        <w:rPr>
          <w:rFonts w:ascii="Arial" w:cs="Arial" w:eastAsia="Arial" w:hAnsi="Arial"/>
          <w:sz w:val="16"/>
          <w:szCs w:val="16"/>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87" w:lineRule="exact"/>
        <w:rPr>
          <w:sz w:val="20"/>
          <w:szCs w:val="20"/>
          <w:color w:val="auto"/>
        </w:rPr>
      </w:pPr>
    </w:p>
    <w:p>
      <w:pPr>
        <w:ind w:right="20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Percentage</w:t>
      </w:r>
      <w:r>
        <w:rPr>
          <w:rFonts w:ascii="Arial" w:cs="Arial" w:eastAsia="Arial" w:hAnsi="Arial"/>
          <w:sz w:val="18"/>
          <w:szCs w:val="18"/>
          <w:color w:val="auto"/>
        </w:rPr>
        <w:t>” means, as of any date of determination, the result, expressed as a percentage, of the Revolving Credit Exposure on such date divided by the aggregate outstanding Covered Debt Amount on such date.</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RIC</w:t>
      </w:r>
      <w:r>
        <w:rPr>
          <w:rFonts w:ascii="Arial" w:cs="Arial" w:eastAsia="Arial" w:hAnsi="Arial"/>
          <w:sz w:val="18"/>
          <w:szCs w:val="18"/>
          <w:color w:val="auto"/>
        </w:rPr>
        <w:t>” means a person qualifying for treatment as a “regulated investment company” under the Code.</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S&amp;P</w:t>
      </w:r>
      <w:r>
        <w:rPr>
          <w:rFonts w:ascii="Arial" w:cs="Arial" w:eastAsia="Arial" w:hAnsi="Arial"/>
          <w:sz w:val="16"/>
          <w:szCs w:val="16"/>
          <w:color w:val="auto"/>
        </w:rPr>
        <w:t>” means Standard &amp; Poor’s Ratings Services, a division of The McGraw Hill Companies, Inc., a New York corporation, or any successor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SBA</w:t>
      </w:r>
      <w:r>
        <w:rPr>
          <w:rFonts w:ascii="Arial" w:cs="Arial" w:eastAsia="Arial" w:hAnsi="Arial"/>
          <w:sz w:val="18"/>
          <w:szCs w:val="18"/>
          <w:color w:val="auto"/>
        </w:rPr>
        <w:t>” means the United States Small Business Administration.</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SBIC Equity Commitment</w:t>
      </w:r>
      <w:r>
        <w:rPr>
          <w:rFonts w:ascii="Arial" w:cs="Arial" w:eastAsia="Arial" w:hAnsi="Arial"/>
          <w:sz w:val="16"/>
          <w:szCs w:val="16"/>
          <w:color w:val="auto"/>
        </w:rPr>
        <w:t>” means a commitment by the Borrower to make one or more capital contributions to an SBIC Subsidiary.</w:t>
      </w:r>
    </w:p>
    <w:p>
      <w:pPr>
        <w:spacing w:after="0" w:line="194" w:lineRule="exact"/>
        <w:rPr>
          <w:sz w:val="20"/>
          <w:szCs w:val="20"/>
          <w:color w:val="auto"/>
        </w:rPr>
      </w:pPr>
    </w:p>
    <w:p>
      <w:pPr>
        <w:ind w:right="20" w:firstLine="898"/>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SBIC Subsidiary</w:t>
      </w:r>
      <w:r>
        <w:rPr>
          <w:rFonts w:ascii="Arial" w:cs="Arial" w:eastAsia="Arial" w:hAnsi="Arial"/>
          <w:sz w:val="15"/>
          <w:szCs w:val="15"/>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and (b) no</w:t>
      </w:r>
    </w:p>
    <w:p>
      <w:pPr>
        <w:spacing w:after="0" w:line="91"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24</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71" w:name="page72"/>
    <w:bookmarkEnd w:id="71"/>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06" w:lineRule="exact"/>
        <w:rPr>
          <w:sz w:val="20"/>
          <w:szCs w:val="20"/>
          <w:color w:val="auto"/>
        </w:rPr>
      </w:pPr>
    </w:p>
    <w:p>
      <w:pPr>
        <w:ind w:right="780" w:firstLine="898"/>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Debt Amount</w:t>
      </w:r>
      <w:r>
        <w:rPr>
          <w:rFonts w:ascii="Arial" w:cs="Arial" w:eastAsia="Arial" w:hAnsi="Arial"/>
          <w:sz w:val="16"/>
          <w:szCs w:val="16"/>
          <w:color w:val="auto"/>
        </w:rPr>
        <w:t>” means, on any date, the aggregate amount of all Secured Longer-Term Indebtedness and Secured Shorter-Term Indebtedness on such date (other than the obligations owed under the Loan Documents, including the Revolving Credit Exposure).</w:t>
      </w:r>
    </w:p>
    <w:p>
      <w:pPr>
        <w:spacing w:after="0" w:line="87" w:lineRule="exact"/>
        <w:rPr>
          <w:sz w:val="20"/>
          <w:szCs w:val="20"/>
          <w:color w:val="auto"/>
        </w:rPr>
      </w:pPr>
    </w:p>
    <w:p>
      <w:pPr>
        <w:ind w:firstLine="89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Longer-Term Indebtedness</w:t>
      </w:r>
      <w:r>
        <w:rPr>
          <w:rFonts w:ascii="Arial" w:cs="Arial" w:eastAsia="Arial" w:hAnsi="Arial"/>
          <w:sz w:val="16"/>
          <w:szCs w:val="16"/>
          <w:color w:val="auto"/>
        </w:rPr>
        <w:t xml:space="preserve">” means, as at any date, Indebtedness (other than Indebtedness hereunder) of the Borrower (which may be Guaranteed by Subsidiary Guarantors) that (a) has no scheduled amortization prior to, and a final maturity date not earlier than, six months after February 21, 2016 (it being understood that none of: (w) the conversion features under convertible notes; (x) the triggering and/or settlement thereof; or (y) any cash payment made in respect thereof , shall constitute “amortization” for purposes of this </w:t>
      </w:r>
      <w:r>
        <w:rPr>
          <w:rFonts w:ascii="Arial" w:cs="Arial" w:eastAsia="Arial" w:hAnsi="Arial"/>
          <w:sz w:val="16"/>
          <w:szCs w:val="16"/>
          <w:u w:val="single" w:color="auto"/>
          <w:color w:val="auto"/>
        </w:rPr>
        <w:t>clause (a)</w:t>
      </w:r>
      <w:r>
        <w:rPr>
          <w:rFonts w:ascii="Arial" w:cs="Arial" w:eastAsia="Arial" w:hAnsi="Arial"/>
          <w:sz w:val="16"/>
          <w:szCs w:val="16"/>
          <w:color w:val="auto"/>
        </w:rPr>
        <w:t>), (b) is incurred pursuant to documentation that is substantially comparable to market terms for substantially similar debt of other similarly situated borrowers as reasonably determined in good faith by the Borrower (other than financial covenants, covenants regarding the borrowing base, if any, and portfolio valuations, and events of default which shall be no more restrictive upon the Borrower and its Subsidiaries than those set forth in this Agreement) and (c) is not secured by any assets of any Obligor other than pursuant to this Agreement or the Security Documents and the holders of which have either executed (i) a joinder agreement to the Guarantee and Security Agreement or</w:t>
      </w:r>
    </w:p>
    <w:p>
      <w:pPr>
        <w:spacing w:after="0" w:line="5" w:lineRule="exact"/>
        <w:rPr>
          <w:sz w:val="20"/>
          <w:szCs w:val="20"/>
          <w:color w:val="auto"/>
        </w:rPr>
      </w:pPr>
    </w:p>
    <w:p>
      <w:pPr>
        <w:ind w:right="40" w:firstLine="8"/>
        <w:spacing w:after="0" w:line="302" w:lineRule="auto"/>
        <w:tabs>
          <w:tab w:leader="none" w:pos="258"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such other document or agreement, in a form reasonably satisfactory to the Administrative Agent and the Collateral Agent, pursuant to which the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109" w:lineRule="exact"/>
        <w:rPr>
          <w:sz w:val="20"/>
          <w:szCs w:val="20"/>
          <w:color w:val="auto"/>
        </w:rPr>
      </w:pPr>
    </w:p>
    <w:p>
      <w:pPr>
        <w:jc w:val="both"/>
        <w:ind w:right="54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Shorter-Term Indebtedness</w:t>
      </w:r>
      <w:r>
        <w:rPr>
          <w:rFonts w:ascii="Arial" w:cs="Arial" w:eastAsia="Arial" w:hAnsi="Arial"/>
          <w:sz w:val="18"/>
          <w:szCs w:val="18"/>
          <w:color w:val="auto"/>
        </w:rPr>
        <w:t xml:space="preserve">” means, collectively, (a) any Indebtedness of the Borrower or any Subsidiary (other than a Financing Subsidiary) that is secured by any assets of any Obligor and that does not constitute Secured Longer-Term Indebtedness and (b) any Indebtedness that is designated as “Secured Shorter-Term Indebtedness” pursuant to </w:t>
      </w:r>
      <w:r>
        <w:rPr>
          <w:rFonts w:ascii="Arial" w:cs="Arial" w:eastAsia="Arial" w:hAnsi="Arial"/>
          <w:sz w:val="18"/>
          <w:szCs w:val="18"/>
          <w:u w:val="single" w:color="auto"/>
          <w:color w:val="auto"/>
        </w:rPr>
        <w:t>Section 6.11(a)</w:t>
      </w:r>
      <w:r>
        <w:rPr>
          <w:rFonts w:ascii="Arial" w:cs="Arial" w:eastAsia="Arial" w:hAnsi="Arial"/>
          <w:sz w:val="18"/>
          <w:szCs w:val="18"/>
          <w:color w:val="auto"/>
        </w:rPr>
        <w:t>.</w:t>
      </w:r>
    </w:p>
    <w:p>
      <w:pPr>
        <w:spacing w:after="0" w:line="140" w:lineRule="exact"/>
        <w:rPr>
          <w:sz w:val="20"/>
          <w:szCs w:val="20"/>
          <w:color w:val="auto"/>
        </w:rPr>
      </w:pPr>
    </w:p>
    <w:p>
      <w:pPr>
        <w:ind w:right="100" w:firstLine="89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47" w:lineRule="exact"/>
        <w:rPr>
          <w:sz w:val="20"/>
          <w:szCs w:val="20"/>
          <w:color w:val="auto"/>
        </w:rPr>
      </w:pPr>
    </w:p>
    <w:p>
      <w:pPr>
        <w:ind w:right="38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at any date, the amount determined on a consolidated basis, without duplication, in accordance with GAAP, of shareholders equity for the Borrower and its Subsidiaries at such date.</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25</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72" w:name="page73"/>
    <w:bookmarkEnd w:id="72"/>
    <w:p>
      <w:pPr>
        <w:ind w:right="12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SPE Subsidiary</w:t>
      </w:r>
      <w:r>
        <w:rPr>
          <w:rFonts w:ascii="Arial" w:cs="Arial" w:eastAsia="Arial" w:hAnsi="Arial"/>
          <w:sz w:val="18"/>
          <w:szCs w:val="18"/>
          <w:color w:val="auto"/>
        </w:rPr>
        <w:t>” means a direct or indirect Subsidiary of the Borrower to which any Obligor sells, conveys or otherwise transfers (whether directly or indirectly) Portfolio Investments, which engages in no material activities other than in connection with the purchase or financing of such assets and which is designated by the Borrower (as provided below) as an SPE Subsidiary:</w:t>
      </w:r>
    </w:p>
    <w:p>
      <w:pPr>
        <w:spacing w:after="0" w:line="140" w:lineRule="exact"/>
        <w:rPr>
          <w:sz w:val="20"/>
          <w:szCs w:val="20"/>
          <w:color w:val="auto"/>
        </w:rPr>
      </w:pPr>
    </w:p>
    <w:p>
      <w:pPr>
        <w:ind w:right="100" w:firstLine="906"/>
        <w:spacing w:after="0" w:line="256" w:lineRule="auto"/>
        <w:tabs>
          <w:tab w:leader="none" w:pos="11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42" w:lineRule="exact"/>
        <w:rPr>
          <w:rFonts w:ascii="Arial" w:cs="Arial" w:eastAsia="Arial" w:hAnsi="Arial"/>
          <w:sz w:val="18"/>
          <w:szCs w:val="18"/>
          <w:color w:val="auto"/>
        </w:rPr>
      </w:pPr>
    </w:p>
    <w:p>
      <w:pPr>
        <w:jc w:val="both"/>
        <w:ind w:right="460" w:firstLine="906"/>
        <w:spacing w:after="0" w:line="259" w:lineRule="auto"/>
        <w:tabs>
          <w:tab w:leader="none" w:pos="11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which no Obligor has any material contract, agreement, arrangement or understanding other than on terms no less favorable to such Obligor than those that might be obtained at the time from Persons that are not Affiliates of any Obligor, other than fees payable in the ordinary course of business in connection with servicing receivables, and</w:t>
      </w:r>
    </w:p>
    <w:p>
      <w:pPr>
        <w:spacing w:after="0" w:line="139" w:lineRule="exact"/>
        <w:rPr>
          <w:rFonts w:ascii="Arial" w:cs="Arial" w:eastAsia="Arial" w:hAnsi="Arial"/>
          <w:sz w:val="18"/>
          <w:szCs w:val="18"/>
          <w:color w:val="auto"/>
        </w:rPr>
      </w:pPr>
    </w:p>
    <w:p>
      <w:pPr>
        <w:ind w:right="40" w:firstLine="906"/>
        <w:spacing w:after="0" w:line="268" w:lineRule="auto"/>
        <w:tabs>
          <w:tab w:leader="none" w:pos="11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which no Obligor has any obligation to maintain or preserve such entity’s financial condition or cause such entity to achieve certain levels of operating results.</w:t>
      </w:r>
    </w:p>
    <w:p>
      <w:pPr>
        <w:spacing w:after="0" w:line="132" w:lineRule="exact"/>
        <w:rPr>
          <w:sz w:val="20"/>
          <w:szCs w:val="20"/>
          <w:color w:val="auto"/>
        </w:rPr>
      </w:pPr>
    </w:p>
    <w:p>
      <w:pPr>
        <w:ind w:right="160" w:firstLine="898"/>
        <w:spacing w:after="0" w:line="306" w:lineRule="auto"/>
        <w:rPr>
          <w:sz w:val="20"/>
          <w:szCs w:val="20"/>
          <w:color w:val="auto"/>
        </w:rPr>
      </w:pPr>
      <w:r>
        <w:rPr>
          <w:rFonts w:ascii="Arial" w:cs="Arial" w:eastAsia="Arial" w:hAnsi="Arial"/>
          <w:sz w:val="16"/>
          <w:szCs w:val="16"/>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0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Equity Interest</w:t>
      </w:r>
      <w:r>
        <w:rPr>
          <w:rFonts w:ascii="Arial" w:cs="Arial" w:eastAsia="Arial" w:hAnsi="Arial"/>
          <w:sz w:val="16"/>
          <w:szCs w:val="16"/>
          <w:color w:val="auto"/>
        </w:rPr>
        <w:t xml:space="preserve">” means any Equity Interest that is subject to a Lien in favor of creditors of the issuer of such Equity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8" w:lineRule="exact"/>
        <w:rPr>
          <w:sz w:val="20"/>
          <w:szCs w:val="20"/>
          <w:color w:val="auto"/>
        </w:rPr>
      </w:pPr>
    </w:p>
    <w:p>
      <w:pPr>
        <w:ind w:right="60" w:firstLine="8"/>
        <w:spacing w:after="0" w:line="253" w:lineRule="auto"/>
        <w:tabs>
          <w:tab w:leader="none" w:pos="2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47" w:lineRule="exact"/>
        <w:rPr>
          <w:sz w:val="20"/>
          <w:szCs w:val="20"/>
          <w:color w:val="auto"/>
        </w:rPr>
      </w:pPr>
    </w:p>
    <w:p>
      <w:pPr>
        <w:ind w:right="20" w:firstLine="898"/>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Standard Securitization Undertakings</w:t>
      </w:r>
      <w:r>
        <w:rPr>
          <w:rFonts w:ascii="Arial" w:cs="Arial" w:eastAsia="Arial" w:hAnsi="Arial"/>
          <w:sz w:val="15"/>
          <w:szCs w:val="15"/>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w:t>
      </w:r>
    </w:p>
    <w:p>
      <w:pPr>
        <w:spacing w:after="0" w:line="1" w:lineRule="exact"/>
        <w:rPr>
          <w:sz w:val="20"/>
          <w:szCs w:val="20"/>
          <w:color w:val="auto"/>
        </w:rPr>
      </w:pPr>
    </w:p>
    <w:p>
      <w:pPr>
        <w:ind w:right="540" w:firstLine="8"/>
        <w:spacing w:after="0" w:line="260" w:lineRule="auto"/>
        <w:tabs>
          <w:tab w:leader="none" w:pos="239"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representations, warranties, covenants and indemnities (together with any related performance guarantees) of a type that are reasonably customary in accounts receivable securitizations.</w:t>
      </w:r>
    </w:p>
    <w:p>
      <w:pPr>
        <w:spacing w:after="0" w:line="139" w:lineRule="exact"/>
        <w:rPr>
          <w:sz w:val="20"/>
          <w:szCs w:val="20"/>
          <w:color w:val="auto"/>
        </w:rPr>
      </w:pPr>
    </w:p>
    <w:p>
      <w:pPr>
        <w:ind w:right="32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Reserve Rate</w:t>
      </w:r>
      <w:r>
        <w:rPr>
          <w:rFonts w:ascii="Arial" w:cs="Arial" w:eastAsia="Arial" w:hAnsi="Arial"/>
          <w:sz w:val="18"/>
          <w:szCs w:val="18"/>
          <w:color w:val="auto"/>
        </w:rPr>
        <w:t>” means, for the Interest Period for any Eurocurrency Borrowing, a fraction (expressed as a decimal), the numerator of which is the number one and</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26</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73" w:name="page74"/>
    <w:bookmarkEnd w:id="73"/>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denominator of which is the number one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20" w:lineRule="exact"/>
        <w:rPr>
          <w:sz w:val="20"/>
          <w:szCs w:val="20"/>
          <w:color w:val="auto"/>
        </w:rPr>
      </w:pPr>
    </w:p>
    <w:p>
      <w:pPr>
        <w:jc w:val="both"/>
        <w:ind w:right="160" w:firstLine="898"/>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with respect to any Person (the “</w:t>
      </w:r>
      <w:r>
        <w:rPr>
          <w:rFonts w:ascii="Arial" w:cs="Arial" w:eastAsia="Arial" w:hAnsi="Arial"/>
          <w:sz w:val="15"/>
          <w:szCs w:val="15"/>
          <w:u w:val="single" w:color="auto"/>
          <w:color w:val="auto"/>
        </w:rPr>
        <w:t>parent</w:t>
      </w:r>
      <w:r>
        <w:rPr>
          <w:rFonts w:ascii="Arial" w:cs="Arial" w:eastAsia="Arial" w:hAnsi="Arial"/>
          <w:sz w:val="15"/>
          <w:szCs w:val="15"/>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w:t>
      </w:r>
    </w:p>
    <w:p>
      <w:pPr>
        <w:spacing w:after="0" w:line="1" w:lineRule="exact"/>
        <w:rPr>
          <w:sz w:val="20"/>
          <w:szCs w:val="20"/>
          <w:color w:val="auto"/>
        </w:rPr>
      </w:pPr>
    </w:p>
    <w:p>
      <w:pPr>
        <w:ind w:right="20" w:firstLine="8"/>
        <w:spacing w:after="0" w:line="252" w:lineRule="auto"/>
        <w:tabs>
          <w:tab w:leader="none" w:pos="239" w:val="left"/>
        </w:tabs>
        <w:numPr>
          <w:ilvl w:val="0"/>
          <w:numId w:val="33"/>
        </w:numPr>
        <w:rPr>
          <w:rFonts w:ascii="Arial" w:cs="Arial" w:eastAsia="Arial" w:hAnsi="Arial"/>
          <w:sz w:val="18"/>
          <w:szCs w:val="18"/>
          <w:color w:val="auto"/>
        </w:rPr>
      </w:pPr>
      <w:r>
        <w:rPr>
          <w:rFonts w:ascii="Arial" w:cs="Arial" w:eastAsia="Arial" w:hAnsi="Arial"/>
          <w:sz w:val="18"/>
          <w:szCs w:val="18"/>
          <w:color w:val="auto"/>
        </w:rPr>
        <w:t>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48" w:lineRule="exact"/>
        <w:rPr>
          <w:sz w:val="20"/>
          <w:szCs w:val="20"/>
          <w:color w:val="auto"/>
        </w:rPr>
      </w:pPr>
    </w:p>
    <w:p>
      <w:pPr>
        <w:ind w:right="2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any Subsidiary that is a Guarantor under the Guarantee and Security Agreement. It is understood and agreed that no Financing Subsidiary or Foreign Subsidiary shall be a Subsidiary Guarantor.</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SunTrust</w:t>
      </w:r>
      <w:r>
        <w:rPr>
          <w:rFonts w:ascii="Arial" w:cs="Arial" w:eastAsia="Arial" w:hAnsi="Arial"/>
          <w:sz w:val="18"/>
          <w:szCs w:val="18"/>
          <w:color w:val="auto"/>
        </w:rPr>
        <w:t>” means SunTrust Bank.</w:t>
      </w:r>
    </w:p>
    <w:p>
      <w:pPr>
        <w:spacing w:after="0" w:line="171" w:lineRule="exact"/>
        <w:rPr>
          <w:sz w:val="20"/>
          <w:szCs w:val="20"/>
          <w:color w:val="auto"/>
        </w:rPr>
      </w:pPr>
    </w:p>
    <w:p>
      <w:pPr>
        <w:ind w:right="180" w:firstLine="89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Exposure</w:t>
      </w:r>
      <w:r>
        <w:rPr>
          <w:rFonts w:ascii="Arial" w:cs="Arial" w:eastAsia="Arial" w:hAnsi="Arial"/>
          <w:sz w:val="16"/>
          <w:szCs w:val="16"/>
          <w:color w:val="auto"/>
        </w:rPr>
        <w:t>” means, at any time, the aggregate principal amount of all Swingline Loans outstanding at such time. The Swingline Exposure of any Lender at any time shall be the sum of (i) its Applicable Dollar Percentage of the total Swingline Exposure incurred under the Dollar Commitments and (ii) its Applicable Multicurrency Percentage of the total Swingline Exposure at such time incurred under the Multicurrency Commitments.</w:t>
      </w:r>
    </w:p>
    <w:p>
      <w:pPr>
        <w:spacing w:after="0" w:line="106" w:lineRule="exact"/>
        <w:rPr>
          <w:sz w:val="20"/>
          <w:szCs w:val="20"/>
          <w:color w:val="auto"/>
        </w:rPr>
      </w:pPr>
    </w:p>
    <w:p>
      <w:pPr>
        <w:ind w:right="32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xml:space="preserve">” means SunTrust, in its capacity as lender of Swingline Loans hereunder, and its successors in such capacity as provided in </w:t>
      </w:r>
      <w:r>
        <w:rPr>
          <w:rFonts w:ascii="Arial" w:cs="Arial" w:eastAsia="Arial" w:hAnsi="Arial"/>
          <w:sz w:val="18"/>
          <w:szCs w:val="18"/>
          <w:u w:val="single" w:color="auto"/>
          <w:color w:val="auto"/>
        </w:rPr>
        <w:t>Section 2.04(d)</w:t>
      </w:r>
      <w:r>
        <w:rPr>
          <w:rFonts w:ascii="Arial" w:cs="Arial" w:eastAsia="Arial" w:hAnsi="Arial"/>
          <w:sz w:val="18"/>
          <w:szCs w:val="18"/>
          <w:color w:val="auto"/>
        </w:rPr>
        <w:t>.</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71" w:lineRule="exact"/>
        <w:rPr>
          <w:sz w:val="20"/>
          <w:szCs w:val="20"/>
          <w:color w:val="auto"/>
        </w:rPr>
      </w:pPr>
    </w:p>
    <w:p>
      <w:pPr>
        <w:ind w:right="4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Syndicated</w:t>
      </w:r>
      <w:r>
        <w:rPr>
          <w:rFonts w:ascii="Arial" w:cs="Arial" w:eastAsia="Arial" w:hAnsi="Arial"/>
          <w:sz w:val="18"/>
          <w:szCs w:val="18"/>
          <w:color w:val="auto"/>
        </w:rPr>
        <w:t xml:space="preserve">”, when used in reference to any Loan or Borrowing, refers to whether such Loan, or the Loans constituting such Borrowing, are made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27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74" w:name="page75"/>
    <w:bookmarkEnd w:id="74"/>
    <w:p>
      <w:pPr>
        <w:ind w:right="280" w:firstLine="898"/>
        <w:spacing w:after="0" w:line="33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87" w:lineRule="exact"/>
        <w:rPr>
          <w:sz w:val="20"/>
          <w:szCs w:val="20"/>
          <w:color w:val="auto"/>
        </w:rPr>
      </w:pPr>
    </w:p>
    <w:p>
      <w:pPr>
        <w:ind w:right="14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the earliest to occur of (i) the Final Maturity Date, (ii) the date of the termination of the Commitments in full pursuant to Section 2.08(c), or (iii) the date on which the Commitments are terminated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 Quarter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5.12(b)(ii)(E)(x)</w:t>
      </w:r>
      <w:r>
        <w:rPr>
          <w:rFonts w:ascii="Arial" w:cs="Arial" w:eastAsia="Arial" w:hAnsi="Arial"/>
          <w:sz w:val="18"/>
          <w:szCs w:val="18"/>
          <w:color w:val="auto"/>
        </w:rPr>
        <w:t>.</w:t>
      </w:r>
    </w:p>
    <w:p>
      <w:pPr>
        <w:spacing w:after="0" w:line="171" w:lineRule="exact"/>
        <w:rPr>
          <w:sz w:val="20"/>
          <w:szCs w:val="20"/>
          <w:color w:val="auto"/>
        </w:rPr>
      </w:pPr>
    </w:p>
    <w:p>
      <w:pPr>
        <w:ind w:right="12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Borrower of this Agreement and the other Loan Documents, the borrowing of Loans, the use of the proceeds thereof and the issuance of Letters of Credit hereunder.</w:t>
      </w:r>
    </w:p>
    <w:p>
      <w:pPr>
        <w:spacing w:after="0" w:line="132" w:lineRule="exact"/>
        <w:rPr>
          <w:sz w:val="20"/>
          <w:szCs w:val="20"/>
          <w:color w:val="auto"/>
        </w:rPr>
      </w:pPr>
    </w:p>
    <w:p>
      <w:pPr>
        <w:ind w:right="24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constituting such Borrowing, is determined by reference to the Adjusted LIBO Rate or the Alternate Base Rate.</w:t>
      </w:r>
    </w:p>
    <w:p>
      <w:pPr>
        <w:spacing w:after="0" w:line="132" w:lineRule="exact"/>
        <w:rPr>
          <w:sz w:val="20"/>
          <w:szCs w:val="20"/>
          <w:color w:val="auto"/>
        </w:rPr>
      </w:pPr>
    </w:p>
    <w:p>
      <w:pPr>
        <w:ind w:right="20" w:firstLine="89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Undisclosed Administration</w:t>
      </w:r>
      <w:r>
        <w:rPr>
          <w:rFonts w:ascii="Arial" w:cs="Arial" w:eastAsia="Arial" w:hAnsi="Arial"/>
          <w:sz w:val="16"/>
          <w:szCs w:val="16"/>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0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means the Uniform Commercial Code as in effect from time to time in the State of New York.</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Unsecured Longer-Term Indebtedness</w:t>
      </w:r>
      <w:r>
        <w:rPr>
          <w:rFonts w:ascii="Arial" w:cs="Arial" w:eastAsia="Arial" w:hAnsi="Arial"/>
          <w:sz w:val="16"/>
          <w:szCs w:val="16"/>
          <w:color w:val="auto"/>
        </w:rPr>
        <w:t>” means any Indebtedness of the Borrower (which may be Guaranteed by Subsidiary Guarantors) that</w:t>
      </w:r>
    </w:p>
    <w:p>
      <w:pPr>
        <w:spacing w:after="0" w:line="38" w:lineRule="exact"/>
        <w:rPr>
          <w:sz w:val="20"/>
          <w:szCs w:val="20"/>
          <w:color w:val="auto"/>
        </w:rPr>
      </w:pPr>
    </w:p>
    <w:p>
      <w:pPr>
        <w:ind w:right="100" w:firstLine="8"/>
        <w:spacing w:after="0" w:line="290" w:lineRule="auto"/>
        <w:tabs>
          <w:tab w:leader="none" w:pos="239"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has no amortization prior to, and a final maturity date not earlier than, six months after February 21, 2016 (it being understood that none of : (w) the conversion features under convertible notes; (x) the triggering and/or settlement thereof or (y) any cash payment made in respect thereof, shall constitute “amortization” for purposes of this </w:t>
      </w:r>
      <w:r>
        <w:rPr>
          <w:rFonts w:ascii="Arial" w:cs="Arial" w:eastAsia="Arial" w:hAnsi="Arial"/>
          <w:sz w:val="16"/>
          <w:szCs w:val="16"/>
          <w:u w:val="single" w:color="auto"/>
          <w:color w:val="auto"/>
        </w:rPr>
        <w:t>clause (a)</w:t>
      </w:r>
      <w:r>
        <w:rPr>
          <w:rFonts w:ascii="Arial" w:cs="Arial" w:eastAsia="Arial" w:hAnsi="Arial"/>
          <w:sz w:val="16"/>
          <w:szCs w:val="16"/>
          <w:color w:val="auto"/>
        </w:rPr>
        <w:t>), (b) is incurred pursuant to documentation that is substantially comparable to market terms for substantially similar debt of other similarly situated borrowers as reasonably determined in good faith by the Borrower (other than financial covenants, covenants regarding the borrowing base, if any, and portfolio valuations, and events of default which shall be no more restrictive upon the Borrower and its Subsidiaries than those set forth in this Agreement) and (c) is not secured by any assets of any Obligor.</w:t>
      </w:r>
    </w:p>
    <w:p>
      <w:pPr>
        <w:spacing w:after="0" w:line="118" w:lineRule="exact"/>
        <w:rPr>
          <w:sz w:val="20"/>
          <w:szCs w:val="20"/>
          <w:color w:val="auto"/>
        </w:rPr>
      </w:pPr>
    </w:p>
    <w:p>
      <w:pPr>
        <w:ind w:right="460" w:firstLine="86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Shorter-Term Indebtedness</w:t>
      </w:r>
      <w:r>
        <w:rPr>
          <w:rFonts w:ascii="Arial" w:cs="Arial" w:eastAsia="Arial" w:hAnsi="Arial"/>
          <w:sz w:val="18"/>
          <w:szCs w:val="18"/>
          <w:color w:val="auto"/>
        </w:rPr>
        <w:t xml:space="preserve">” means, collectively, (a) any Indebtedness of the Borrower or any Subsidiary (other than a Financing Subsidiary) that is not secured by any assets of any Obligor and that does not constitute Unsecured Longer-Term Indebtedness and (b) any Indebtedness that is designated as “Unsecured Shorter-Term Indebtedness” pursuant to </w:t>
      </w:r>
      <w:r>
        <w:rPr>
          <w:rFonts w:ascii="Arial" w:cs="Arial" w:eastAsia="Arial" w:hAnsi="Arial"/>
          <w:sz w:val="18"/>
          <w:szCs w:val="18"/>
          <w:u w:val="single" w:color="auto"/>
          <w:color w:val="auto"/>
        </w:rPr>
        <w:t>Section 6.11(a)</w:t>
      </w:r>
      <w:r>
        <w:rPr>
          <w:rFonts w:ascii="Arial" w:cs="Arial" w:eastAsia="Arial" w:hAnsi="Arial"/>
          <w:sz w:val="18"/>
          <w:szCs w:val="18"/>
          <w:color w:val="auto"/>
        </w:rPr>
        <w:t>.</w:t>
      </w:r>
    </w:p>
    <w:p>
      <w:pPr>
        <w:spacing w:after="0" w:line="126"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28</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75" w:name="page76"/>
    <w:bookmarkEnd w:id="7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Unquoted Investments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5.12(b)(ii)(E)(x)</w:t>
      </w:r>
      <w:r>
        <w:rPr>
          <w:rFonts w:ascii="Arial" w:cs="Arial" w:eastAsia="Arial" w:hAnsi="Arial"/>
          <w:sz w:val="18"/>
          <w:szCs w:val="18"/>
          <w:color w:val="auto"/>
        </w:rPr>
        <w:t>.</w:t>
      </w:r>
    </w:p>
    <w:p>
      <w:pPr>
        <w:spacing w:after="0" w:line="171" w:lineRule="exact"/>
        <w:rPr>
          <w:sz w:val="20"/>
          <w:szCs w:val="20"/>
          <w:color w:val="auto"/>
        </w:rPr>
      </w:pPr>
    </w:p>
    <w:p>
      <w:pPr>
        <w:jc w:val="both"/>
        <w:ind w:right="2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71" w:lineRule="exact"/>
        <w:rPr>
          <w:sz w:val="20"/>
          <w:szCs w:val="20"/>
          <w:color w:val="auto"/>
        </w:rPr>
      </w:pPr>
    </w:p>
    <w:p>
      <w:pPr>
        <w:ind w:right="18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32"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(e.g., a “Syndicated Dollar Loan” or “Syndicated Multicurrency Loan”), by Type (e.g., an “ABR Loan”) or by Class and Type (e.g., a “Syndicated Multicurrency LIBOR Loan”). Borrowings also may be classified and referred to by Class (e.g., a “Dollar Borrowing”, “Multicurrency Borrowing” or “Syndicated Borrowing”), by Type (e.g., an “ABR Borrowing”) or by Class and Type (e.g., a “Syndicated ABR Borrowing” or “Syndicated Multicurrency LIBOR Borrowing”). Loans and Borrowings may also be identified by Currency.</w:t>
      </w:r>
    </w:p>
    <w:p>
      <w:pPr>
        <w:spacing w:after="0" w:line="147" w:lineRule="exact"/>
        <w:rPr>
          <w:sz w:val="20"/>
          <w:szCs w:val="20"/>
          <w:color w:val="auto"/>
        </w:rPr>
      </w:pPr>
    </w:p>
    <w:p>
      <w:pPr>
        <w:ind w:right="20" w:firstLine="898"/>
        <w:spacing w:after="0" w:line="287"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22" w:lineRule="exact"/>
        <w:rPr>
          <w:sz w:val="20"/>
          <w:szCs w:val="20"/>
          <w:color w:val="auto"/>
        </w:rPr>
      </w:pPr>
    </w:p>
    <w:p>
      <w:pPr>
        <w:ind w:right="120" w:firstLine="898"/>
        <w:spacing w:after="0" w:line="268"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Accounting Terms; GAAP</w:t>
      </w:r>
      <w:r>
        <w:rPr>
          <w:rFonts w:ascii="Arial" w:cs="Arial" w:eastAsia="Arial" w:hAnsi="Arial"/>
          <w:sz w:val="18"/>
          <w:szCs w:val="18"/>
          <w:color w:val="auto"/>
        </w:rPr>
        <w:t>. Except as otherwise expressly provided herein, all terms of an accounting or financial nature shall be construed in accordance</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76" w:name="page77"/>
    <w:bookmarkEnd w:id="76"/>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Currencies; Currency Equivalents</w:t>
      </w:r>
      <w:r>
        <w:rPr>
          <w:rFonts w:ascii="Arial" w:cs="Arial" w:eastAsia="Arial" w:hAnsi="Arial"/>
          <w:sz w:val="18"/>
          <w:szCs w:val="18"/>
          <w:color w:val="auto"/>
        </w:rPr>
        <w:t>.</w:t>
      </w:r>
    </w:p>
    <w:p>
      <w:pPr>
        <w:spacing w:after="0" w:line="90" w:lineRule="exact"/>
        <w:rPr>
          <w:sz w:val="20"/>
          <w:szCs w:val="20"/>
          <w:color w:val="auto"/>
        </w:rPr>
      </w:pPr>
    </w:p>
    <w:p>
      <w:pPr>
        <w:ind w:firstLine="906"/>
        <w:spacing w:after="0" w:line="285" w:lineRule="auto"/>
        <w:tabs>
          <w:tab w:leader="none" w:pos="1137"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Currencies Generally</w:t>
      </w:r>
      <w:r>
        <w:rPr>
          <w:rFonts w:ascii="Arial" w:cs="Arial" w:eastAsia="Arial" w:hAnsi="Arial"/>
          <w:sz w:val="16"/>
          <w:szCs w:val="16"/>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and the last sentence of </w:t>
      </w:r>
      <w:r>
        <w:rPr>
          <w:rFonts w:ascii="Arial" w:cs="Arial" w:eastAsia="Arial" w:hAnsi="Arial"/>
          <w:sz w:val="16"/>
          <w:szCs w:val="16"/>
          <w:u w:val="single" w:color="auto"/>
          <w:color w:val="auto"/>
        </w:rPr>
        <w:t>Section 2.17(a)</w:t>
      </w:r>
      <w:r>
        <w:rPr>
          <w:rFonts w:ascii="Arial" w:cs="Arial" w:eastAsia="Arial" w:hAnsi="Arial"/>
          <w:sz w:val="16"/>
          <w:szCs w:val="16"/>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w:t>
      </w:r>
    </w:p>
    <w:p>
      <w:pPr>
        <w:spacing w:after="0" w:line="127" w:lineRule="exact"/>
        <w:rPr>
          <w:rFonts w:ascii="Arial" w:cs="Arial" w:eastAsia="Arial" w:hAnsi="Arial"/>
          <w:sz w:val="16"/>
          <w:szCs w:val="16"/>
          <w:color w:val="auto"/>
        </w:rPr>
      </w:pPr>
    </w:p>
    <w:p>
      <w:pPr>
        <w:ind w:right="80" w:firstLine="906"/>
        <w:spacing w:after="0" w:line="268" w:lineRule="auto"/>
        <w:tabs>
          <w:tab w:leader="none" w:pos="114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Special Provisions Relating to Euro</w:t>
      </w:r>
      <w:r>
        <w:rPr>
          <w:rFonts w:ascii="Arial" w:cs="Arial" w:eastAsia="Arial" w:hAnsi="Arial"/>
          <w:sz w:val="18"/>
          <w:szCs w:val="18"/>
          <w:color w:val="auto"/>
        </w:rPr>
        <w:t>. Each obligation hereunder of any party hereto that is denominated in the National Currency of a state that is not a Participating Member State on the date hereof shall, effective from the date on which such state becomes a</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30</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77" w:name="page78"/>
    <w:bookmarkEnd w:id="77"/>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Participating Member State, be redenominated in Euro in accordance with the legislation of the European Union applicable to the European Monetary Union;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Borrowing denominated in such currency that is outstanding immediately prior to such date, such replacement shall take effect at the end of the Interest Period therefor.</w:t>
      </w:r>
    </w:p>
    <w:p>
      <w:pPr>
        <w:spacing w:after="0" w:line="119"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30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8"/>
          <w:szCs w:val="18"/>
          <w:u w:val="single" w:color="auto"/>
          <w:color w:val="auto"/>
        </w:rPr>
        <w:t>THE CREDITS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Commitments</w:t>
      </w:r>
      <w:r>
        <w:rPr>
          <w:rFonts w:ascii="Arial" w:cs="Arial" w:eastAsia="Arial" w:hAnsi="Arial"/>
          <w:sz w:val="18"/>
          <w:szCs w:val="18"/>
          <w:color w:val="auto"/>
        </w:rPr>
        <w:t>. Subject to the terms and conditions set forth herein:</w:t>
      </w:r>
    </w:p>
    <w:p>
      <w:pPr>
        <w:spacing w:after="0" w:line="171" w:lineRule="exact"/>
        <w:rPr>
          <w:sz w:val="20"/>
          <w:szCs w:val="20"/>
          <w:color w:val="auto"/>
        </w:rPr>
      </w:pPr>
    </w:p>
    <w:p>
      <w:pPr>
        <w:ind w:right="100" w:firstLine="906"/>
        <w:spacing w:after="0" w:line="256" w:lineRule="auto"/>
        <w:tabs>
          <w:tab w:leader="none" w:pos="1137"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Dollar Lender agrees to make Syndicated Loans in Dollars to the Borrower from time to time during the Availability Period in an aggregate principal amount that will not result in (i) such Lender’s Revolving Dollar Credit Exposure exceeding such Lender’s Dollar Commitment, (ii) the aggregate Revolving Dollar Credit Exposure of all of the Dollar Lenders exceeding the aggregate Dollar Commitments or (iii) the total Covered Debt Amount exceeding the Borrowing Base then in effect; and</w:t>
      </w:r>
    </w:p>
    <w:p>
      <w:pPr>
        <w:spacing w:after="0" w:line="142" w:lineRule="exact"/>
        <w:rPr>
          <w:rFonts w:ascii="Arial" w:cs="Arial" w:eastAsia="Arial" w:hAnsi="Arial"/>
          <w:sz w:val="18"/>
          <w:szCs w:val="18"/>
          <w:color w:val="auto"/>
        </w:rPr>
      </w:pPr>
    </w:p>
    <w:p>
      <w:pPr>
        <w:ind w:right="180" w:firstLine="906"/>
        <w:spacing w:after="0" w:line="298" w:lineRule="auto"/>
        <w:tabs>
          <w:tab w:leader="none" w:pos="1147"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Multicurrency Lender agrees to make Syndicated Loans in Dollars and in Agreed Foreign Currencies to the Borrower from time to time during the Availability Period in an aggregate principal amount that will not result in (i) such Lender’s Revolving Multicurrency Credit Exposure exceeding such Lender’s Multicurrency Commitment, (ii) the aggregate Revolving Multicurrency Credit Exposure of all of the Multicurrency Lenders exceeding the aggregate Multicurrency Commitments or (iii) the total Covered Debt Amount exceeding the Borrowing Base then in effect.</w:t>
      </w:r>
    </w:p>
    <w:p>
      <w:pPr>
        <w:spacing w:after="0" w:line="99"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78" w:name="page79"/>
    <w:bookmarkEnd w:id="78"/>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Within the foregoing limits and subject to the terms and conditions set forth herein, the Borrower may borrow, prepay and reborrow Syndicated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90" w:lineRule="exact"/>
        <w:rPr>
          <w:sz w:val="20"/>
          <w:szCs w:val="20"/>
          <w:color w:val="auto"/>
        </w:rPr>
      </w:pPr>
    </w:p>
    <w:p>
      <w:pPr>
        <w:jc w:val="both"/>
        <w:ind w:right="60" w:firstLine="906"/>
        <w:spacing w:after="0" w:line="298" w:lineRule="auto"/>
        <w:tabs>
          <w:tab w:leader="none" w:pos="1137"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Obligations of Lenders</w:t>
      </w:r>
      <w:r>
        <w:rPr>
          <w:rFonts w:ascii="Arial" w:cs="Arial" w:eastAsia="Arial" w:hAnsi="Arial"/>
          <w:sz w:val="16"/>
          <w:szCs w:val="16"/>
          <w:color w:val="auto"/>
        </w:rPr>
        <w:t xml:space="preserve">. Each Syndicated Loan shall be made as part of a Borrowing consisting of Loans of the same Class,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the Lenders are several and no Lender shall be responsible for any other Lender’s failure to make Loans as required.</w:t>
      </w:r>
    </w:p>
    <w:p>
      <w:pPr>
        <w:spacing w:after="0" w:line="112" w:lineRule="exact"/>
        <w:rPr>
          <w:rFonts w:ascii="Arial" w:cs="Arial" w:eastAsia="Arial" w:hAnsi="Arial"/>
          <w:sz w:val="16"/>
          <w:szCs w:val="16"/>
          <w:color w:val="auto"/>
        </w:rPr>
      </w:pPr>
    </w:p>
    <w:p>
      <w:pPr>
        <w:ind w:right="100" w:firstLine="906"/>
        <w:spacing w:after="0" w:line="323" w:lineRule="auto"/>
        <w:tabs>
          <w:tab w:leader="none" w:pos="1147"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Type of Loans</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each Syndicated Borrowing of a Class shall be constituted entirely of ABR Loans or of Eurocurrency Loans of such Class denominated in a single Currency as the Borrower may request in accordance herewith. Each ABR Loan shall be denominated in Dollars. Each Lender at its option may make any Eurocurrency Loan by causing any domestic or foreign branch or Affiliate of such Lender to make such Loan; </w:t>
      </w:r>
      <w:r>
        <w:rPr>
          <w:rFonts w:ascii="Arial" w:cs="Arial" w:eastAsia="Arial" w:hAnsi="Arial"/>
          <w:sz w:val="15"/>
          <w:szCs w:val="15"/>
          <w:u w:val="single" w:color="auto"/>
          <w:color w:val="auto"/>
        </w:rPr>
        <w:t>provide</w:t>
      </w:r>
      <w:r>
        <w:rPr>
          <w:rFonts w:ascii="Arial" w:cs="Arial" w:eastAsia="Arial" w:hAnsi="Arial"/>
          <w:sz w:val="15"/>
          <w:szCs w:val="15"/>
          <w:color w:val="auto"/>
        </w:rPr>
        <w:t>d that any exercise of such option shall not affect the obligation of the Borrower to repay such Loan in accordance with the terms of this Agreement.</w:t>
      </w:r>
    </w:p>
    <w:p>
      <w:pPr>
        <w:spacing w:after="0" w:line="97" w:lineRule="exact"/>
        <w:rPr>
          <w:rFonts w:ascii="Arial" w:cs="Arial" w:eastAsia="Arial" w:hAnsi="Arial"/>
          <w:sz w:val="15"/>
          <w:szCs w:val="15"/>
          <w:color w:val="auto"/>
        </w:rPr>
      </w:pPr>
    </w:p>
    <w:p>
      <w:pPr>
        <w:ind w:right="20" w:firstLine="906"/>
        <w:spacing w:after="0" w:line="254" w:lineRule="auto"/>
        <w:tabs>
          <w:tab w:leader="none" w:pos="113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 xml:space="preserve">. Each Eurocurrency Borrowing shall be in an aggregate amount of $1,000,000 or a larger multiple of $1,000,000, and each ABR Borrowing (whether Syndicated or Swingline) shall be in an aggregate amount of $1,000,000 or a larger multiple of $100,000;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Arial" w:cs="Arial" w:eastAsia="Arial" w:hAnsi="Arial"/>
          <w:sz w:val="18"/>
          <w:szCs w:val="18"/>
          <w:u w:val="single" w:color="auto"/>
          <w:color w:val="auto"/>
        </w:rPr>
        <w:t>Section 2.05(f)</w:t>
      </w:r>
      <w:r>
        <w:rPr>
          <w:rFonts w:ascii="Arial" w:cs="Arial" w:eastAsia="Arial" w:hAnsi="Arial"/>
          <w:sz w:val="18"/>
          <w:szCs w:val="18"/>
          <w:color w:val="auto"/>
        </w:rPr>
        <w:t>. Borrowings of more than one Class, Currency and Type may be outstanding at the same time.</w:t>
      </w:r>
    </w:p>
    <w:p>
      <w:pPr>
        <w:spacing w:after="0" w:line="146" w:lineRule="exact"/>
        <w:rPr>
          <w:rFonts w:ascii="Arial" w:cs="Arial" w:eastAsia="Arial" w:hAnsi="Arial"/>
          <w:sz w:val="18"/>
          <w:szCs w:val="18"/>
          <w:color w:val="auto"/>
        </w:rPr>
      </w:pPr>
    </w:p>
    <w:p>
      <w:pPr>
        <w:ind w:right="180" w:firstLine="906"/>
        <w:spacing w:after="0" w:line="331" w:lineRule="auto"/>
        <w:tabs>
          <w:tab w:leader="none" w:pos="1147"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Limitations on Interest Periods</w:t>
      </w:r>
      <w:r>
        <w:rPr>
          <w:rFonts w:ascii="Arial" w:cs="Arial" w:eastAsia="Arial" w:hAnsi="Arial"/>
          <w:sz w:val="16"/>
          <w:szCs w:val="16"/>
          <w:color w:val="auto"/>
        </w:rPr>
        <w:t>. Notwithstanding any other provision of this Agreement, the Borrower shall not be entitled to request (or to elect to convert to or continue as a Eurocurrency Borrowing) any Borrowing if the Interest Period requested therefor would end after the Final Maturity Date.</w:t>
      </w:r>
    </w:p>
    <w:p>
      <w:pPr>
        <w:spacing w:after="0" w:line="86" w:lineRule="exact"/>
        <w:rPr>
          <w:rFonts w:ascii="Arial" w:cs="Arial" w:eastAsia="Arial" w:hAnsi="Arial"/>
          <w:sz w:val="16"/>
          <w:szCs w:val="16"/>
          <w:color w:val="auto"/>
        </w:rPr>
      </w:pPr>
    </w:p>
    <w:p>
      <w:pPr>
        <w:ind w:right="320" w:firstLine="906"/>
        <w:spacing w:after="0" w:line="298" w:lineRule="auto"/>
        <w:tabs>
          <w:tab w:leader="none" w:pos="1137"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Treatment of Classes</w:t>
      </w:r>
      <w:r>
        <w:rPr>
          <w:rFonts w:ascii="Arial" w:cs="Arial" w:eastAsia="Arial" w:hAnsi="Arial"/>
          <w:sz w:val="16"/>
          <w:szCs w:val="16"/>
          <w:color w:val="auto"/>
        </w:rPr>
        <w:t>. Notwithstanding anything to the contrary contained herein, with respect to each Syndicated Loan, Swingline Loan or Letter of Credit designated in Dollars,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Syndicated Borrowings</w:t>
      </w:r>
      <w:r>
        <w:rPr>
          <w:rFonts w:ascii="Arial" w:cs="Arial" w:eastAsia="Arial" w:hAnsi="Arial"/>
          <w:sz w:val="18"/>
          <w:szCs w:val="18"/>
          <w:color w:val="auto"/>
        </w:rPr>
        <w:t>.</w:t>
      </w:r>
    </w:p>
    <w:p>
      <w:pPr>
        <w:spacing w:after="0" w:line="90" w:lineRule="exact"/>
        <w:rPr>
          <w:sz w:val="20"/>
          <w:szCs w:val="20"/>
          <w:color w:val="auto"/>
        </w:rPr>
      </w:pPr>
    </w:p>
    <w:p>
      <w:pPr>
        <w:ind w:left="1140" w:hanging="234"/>
        <w:spacing w:after="0"/>
        <w:tabs>
          <w:tab w:leader="none" w:pos="1140"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Notice by the Borrower</w:t>
      </w:r>
      <w:r>
        <w:rPr>
          <w:rFonts w:ascii="Arial" w:cs="Arial" w:eastAsia="Arial" w:hAnsi="Arial"/>
          <w:sz w:val="16"/>
          <w:szCs w:val="16"/>
          <w:color w:val="auto"/>
        </w:rPr>
        <w:t>. To request a Syndicated Borrowing, the Borrower shall notify the Administrative Agent of such request by telephone</w:t>
      </w:r>
    </w:p>
    <w:p>
      <w:pPr>
        <w:spacing w:after="0" w:line="38" w:lineRule="exact"/>
        <w:rPr>
          <w:rFonts w:ascii="Arial" w:cs="Arial" w:eastAsia="Arial" w:hAnsi="Arial"/>
          <w:sz w:val="16"/>
          <w:szCs w:val="16"/>
          <w:color w:val="auto"/>
        </w:rPr>
      </w:pPr>
    </w:p>
    <w:p>
      <w:pPr>
        <w:ind w:right="20" w:firstLine="8"/>
        <w:spacing w:after="0" w:line="260" w:lineRule="auto"/>
        <w:tabs>
          <w:tab w:leader="none" w:pos="2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a Eurocurrency Borrowing denominated in Dollars, not later than 11:00 a.m., Atlanta, Georgia time, three Business Days before the date of the proposed Borrowing, (ii) in the case of a</w:t>
      </w:r>
    </w:p>
    <w:p>
      <w:pPr>
        <w:spacing w:after="0" w:line="126"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32</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79" w:name="page80"/>
    <w:bookmarkEnd w:id="79"/>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Eurocurrency Borrowing denominated in a Foreign Currency, not later than 11:00 a.m., Atlanta, Georgia time, four Business Days before the date of the proposed Borrowing or (iii) in the case of a Syndicated ABR Borrowing, not later than 11:00 a.m., Atlanta, Georgia time, one Business Day before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12" w:lineRule="exact"/>
        <w:rPr>
          <w:sz w:val="20"/>
          <w:szCs w:val="20"/>
          <w:color w:val="auto"/>
        </w:rPr>
      </w:pPr>
    </w:p>
    <w:p>
      <w:pPr>
        <w:ind w:left="1160" w:hanging="254"/>
        <w:spacing w:after="0"/>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Content of Borrowing Requests</w:t>
      </w:r>
      <w:r>
        <w:rPr>
          <w:rFonts w:ascii="Arial" w:cs="Arial" w:eastAsia="Arial" w:hAnsi="Arial"/>
          <w:sz w:val="16"/>
          <w:szCs w:val="16"/>
          <w:color w:val="auto"/>
        </w:rPr>
        <w:t>. Each telephonic and written Borrowing Request shall specify the following information in compliance with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83" w:lineRule="exact"/>
        <w:rPr>
          <w:rFonts w:ascii="Arial" w:cs="Arial" w:eastAsia="Arial" w:hAnsi="Arial"/>
          <w:sz w:val="16"/>
          <w:szCs w:val="16"/>
          <w:color w:val="auto"/>
        </w:rPr>
      </w:pPr>
    </w:p>
    <w:p>
      <w:pPr>
        <w:ind w:left="1100" w:hanging="212"/>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such Borrowing is to be made under the Dollar Commitments or the Multicurrency Commitments;</w:t>
      </w:r>
    </w:p>
    <w:p>
      <w:pPr>
        <w:spacing w:after="0" w:line="90" w:lineRule="exact"/>
        <w:rPr>
          <w:rFonts w:ascii="Arial" w:cs="Arial" w:eastAsia="Arial" w:hAnsi="Arial"/>
          <w:sz w:val="18"/>
          <w:szCs w:val="18"/>
          <w:color w:val="auto"/>
        </w:rPr>
      </w:pPr>
    </w:p>
    <w:p>
      <w:pPr>
        <w:ind w:left="1140" w:hanging="252"/>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aggregate amount and Currency of the requested Borrowing;</w:t>
      </w:r>
    </w:p>
    <w:p>
      <w:pPr>
        <w:spacing w:after="0" w:line="90" w:lineRule="exact"/>
        <w:rPr>
          <w:rFonts w:ascii="Arial" w:cs="Arial" w:eastAsia="Arial" w:hAnsi="Arial"/>
          <w:sz w:val="18"/>
          <w:szCs w:val="18"/>
          <w:color w:val="auto"/>
        </w:rPr>
      </w:pPr>
    </w:p>
    <w:p>
      <w:pPr>
        <w:ind w:left="1200" w:hanging="312"/>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90" w:lineRule="exact"/>
        <w:rPr>
          <w:rFonts w:ascii="Arial" w:cs="Arial" w:eastAsia="Arial" w:hAnsi="Arial"/>
          <w:sz w:val="18"/>
          <w:szCs w:val="18"/>
          <w:color w:val="auto"/>
        </w:rPr>
      </w:pPr>
    </w:p>
    <w:p>
      <w:pPr>
        <w:ind w:left="460" w:right="580" w:firstLine="428"/>
        <w:spacing w:after="0" w:line="268" w:lineRule="auto"/>
        <w:tabs>
          <w:tab w:leader="none" w:pos="11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a Syndicated Borrowing denominated in Dollars, whether such Borrowing is to be an ABR Borrowing or a Eurocurrency Borrowing;</w:t>
      </w:r>
    </w:p>
    <w:p>
      <w:pPr>
        <w:spacing w:after="0" w:line="50" w:lineRule="exact"/>
        <w:rPr>
          <w:rFonts w:ascii="Arial" w:cs="Arial" w:eastAsia="Arial" w:hAnsi="Arial"/>
          <w:sz w:val="18"/>
          <w:szCs w:val="18"/>
          <w:color w:val="auto"/>
        </w:rPr>
      </w:pPr>
    </w:p>
    <w:p>
      <w:pPr>
        <w:ind w:left="460" w:right="560" w:firstLine="428"/>
        <w:spacing w:after="0" w:line="268"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in the case of a Eurocurrency Borrowing, the Interest Period therefor,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460" w:right="800" w:firstLine="428"/>
        <w:spacing w:after="0" w:line="268" w:lineRule="auto"/>
        <w:tabs>
          <w:tab w:leader="none" w:pos="11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location and number of the Borrower’s account to which funds are to be disbursed, which shall comply with the requirements of </w:t>
      </w:r>
      <w:r>
        <w:rPr>
          <w:rFonts w:ascii="Arial" w:cs="Arial" w:eastAsia="Arial" w:hAnsi="Arial"/>
          <w:sz w:val="18"/>
          <w:szCs w:val="18"/>
          <w:u w:val="single" w:color="auto"/>
          <w:color w:val="auto"/>
        </w:rPr>
        <w:t>Section 2.06</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180" w:firstLine="906"/>
        <w:spacing w:after="0" w:line="259" w:lineRule="auto"/>
        <w:tabs>
          <w:tab w:leader="none" w:pos="1137"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Notice by the Administrative Agent to the Lenders</w:t>
      </w:r>
      <w:r>
        <w:rPr>
          <w:rFonts w:ascii="Arial" w:cs="Arial" w:eastAsia="Arial" w:hAnsi="Arial"/>
          <w:sz w:val="18"/>
          <w:szCs w:val="18"/>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39" w:lineRule="exact"/>
        <w:rPr>
          <w:rFonts w:ascii="Arial" w:cs="Arial" w:eastAsia="Arial" w:hAnsi="Arial"/>
          <w:sz w:val="18"/>
          <w:szCs w:val="18"/>
          <w:color w:val="auto"/>
        </w:rPr>
      </w:pPr>
    </w:p>
    <w:p>
      <w:pPr>
        <w:ind w:right="60" w:firstLine="906"/>
        <w:spacing w:after="0" w:line="288" w:lineRule="auto"/>
        <w:tabs>
          <w:tab w:leader="none" w:pos="1147"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Failure to Elect</w:t>
      </w:r>
      <w:r>
        <w:rPr>
          <w:rFonts w:ascii="Arial" w:cs="Arial" w:eastAsia="Arial" w:hAnsi="Arial"/>
          <w:sz w:val="16"/>
          <w:szCs w:val="16"/>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Eurocurrency Borrowing having an Interest Period of one month and, if an Agreed Foreign Currency has been specified, the requested Syndicated Borrowing shall be a Eurocurrency Borrowing denominated in such Agreed Foreign Currency and having an Interest Period of one month. If a Eurocurrency Borrowing is requested but no Interest Period is specified, (i) if the Currency specified for such Borrowing is Dollars (or if no Currency has been so specified), the requested Borrowing shall be a Eurocurrency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10"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33</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80" w:name="page81"/>
    <w:bookmarkEnd w:id="80"/>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2.04. </w:t>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90" w:lineRule="exact"/>
        <w:rPr>
          <w:sz w:val="20"/>
          <w:szCs w:val="20"/>
          <w:color w:val="auto"/>
        </w:rPr>
      </w:pPr>
    </w:p>
    <w:p>
      <w:pPr>
        <w:ind w:right="260" w:firstLine="906"/>
        <w:spacing w:after="0" w:line="290" w:lineRule="auto"/>
        <w:tabs>
          <w:tab w:leader="none" w:pos="1137"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Agreement to Make Swingline Loans</w:t>
      </w:r>
      <w:r>
        <w:rPr>
          <w:rFonts w:ascii="Arial" w:cs="Arial" w:eastAsia="Arial" w:hAnsi="Arial"/>
          <w:sz w:val="16"/>
          <w:szCs w:val="16"/>
          <w:color w:val="auto"/>
        </w:rPr>
        <w:t xml:space="preserve">. Subject to the terms and conditions set forth herein, the Swingline Lender agrees to make Swingline Loans under each Commitment to the Borrower from time to time during the Availability Period in Dollars, in an aggregate principal amount at any time outstanding that will not result in (i) the aggregate principal amount of outstanding Swingline Loans of both Classes exceeding $40,000,000, (ii) the total Revolving Dollar Credit Exposures exceeding the aggregate Dollar Commitments, (iii) the total Revolving Multicurrency Credit Exposures exceeding the aggregate Multicurrency Commitments or (iv) the total Covered Debt Amount exceeding the Borrowing Base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17" w:lineRule="exact"/>
        <w:rPr>
          <w:rFonts w:ascii="Arial" w:cs="Arial" w:eastAsia="Arial" w:hAnsi="Arial"/>
          <w:sz w:val="16"/>
          <w:szCs w:val="16"/>
          <w:color w:val="auto"/>
        </w:rPr>
      </w:pPr>
    </w:p>
    <w:p>
      <w:pPr>
        <w:ind w:right="120" w:firstLine="906"/>
        <w:spacing w:after="0" w:line="288" w:lineRule="auto"/>
        <w:tabs>
          <w:tab w:leader="none" w:pos="1147"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Notice of Swingline Loans by the Borrower</w:t>
      </w:r>
      <w:r>
        <w:rPr>
          <w:rFonts w:ascii="Arial" w:cs="Arial" w:eastAsia="Arial" w:hAnsi="Arial"/>
          <w:sz w:val="16"/>
          <w:szCs w:val="16"/>
          <w:color w:val="auto"/>
        </w:rPr>
        <w:t xml:space="preserve">. To request a Swingline Loan, the Borrower shall notify the Administrative Agent of such request by telephone (confirmed by telecopy) not later than 2:00 p.m., Atlanta, Georgia time, on the day of such proposed Swingline Loan. Each such notice shall be irrevocable and shall specify the requested date (which shall be a Business Day), the amount of the requested Swingline Loan and whether such Swingline Loan is to be made under the Dollar Commitments or the Multicurrency Commitments.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w:t>
      </w:r>
      <w:r>
        <w:rPr>
          <w:rFonts w:ascii="Arial" w:cs="Arial" w:eastAsia="Arial" w:hAnsi="Arial"/>
          <w:sz w:val="16"/>
          <w:szCs w:val="16"/>
          <w:u w:val="single" w:color="auto"/>
          <w:color w:val="auto"/>
        </w:rPr>
        <w:t>Section 2.05(f)</w:t>
      </w:r>
      <w:r>
        <w:rPr>
          <w:rFonts w:ascii="Arial" w:cs="Arial" w:eastAsia="Arial" w:hAnsi="Arial"/>
          <w:sz w:val="16"/>
          <w:szCs w:val="16"/>
          <w:color w:val="auto"/>
        </w:rPr>
        <w:t>, by remittance to the Issuing Bank) by 3:00 p.m., Atlanta, Georgia time, on the requested date of such Swingline Loan.</w:t>
      </w:r>
    </w:p>
    <w:p>
      <w:pPr>
        <w:spacing w:after="0" w:line="123" w:lineRule="exact"/>
        <w:rPr>
          <w:rFonts w:ascii="Arial" w:cs="Arial" w:eastAsia="Arial" w:hAnsi="Arial"/>
          <w:sz w:val="16"/>
          <w:szCs w:val="16"/>
          <w:color w:val="auto"/>
        </w:rPr>
      </w:pPr>
    </w:p>
    <w:p>
      <w:pPr>
        <w:ind w:left="1140" w:hanging="234"/>
        <w:spacing w:after="0"/>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Participations by Lenders in Swingline Loans</w:t>
      </w:r>
      <w:r>
        <w:rPr>
          <w:rFonts w:ascii="Arial" w:cs="Arial" w:eastAsia="Arial" w:hAnsi="Arial"/>
          <w:sz w:val="16"/>
          <w:szCs w:val="16"/>
          <w:color w:val="auto"/>
        </w:rPr>
        <w:t>. The Swingline Lender may by written notice given to the Administrative Agent not later than</w:t>
      </w:r>
    </w:p>
    <w:p>
      <w:pPr>
        <w:spacing w:after="0" w:line="38" w:lineRule="exact"/>
        <w:rPr>
          <w:rFonts w:ascii="Arial" w:cs="Arial" w:eastAsia="Arial" w:hAnsi="Arial"/>
          <w:sz w:val="16"/>
          <w:szCs w:val="16"/>
          <w:color w:val="auto"/>
        </w:rPr>
      </w:pPr>
    </w:p>
    <w:p>
      <w:pPr>
        <w:ind w:right="8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10:00 a.m., Atlanta, Georgia time on any Business Day, require the Lenders of the applicable Class to acquire participations on such Business Day in all or a portion of the Swingline Loans of such Class outstanding.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Dollar Percentage or Applicable Multicurrency Percentage of such Swingline Loan or Loans. Each Lender hereby absolutely and unconditionally agrees, upon receipt of notice as provided above in this paragraph, to pay to the Administrative Agent, for account of the Swingline Lender, such Lender’s Applicable Dollar Percentage or Applicable Multicurrency Percentage, as the case may be, of such Swingline Loan or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required to purchase a participation in a Swingline Loan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if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would not be satisfied in respect of a Borrowing at the time such Swingline Loan was made and (y) the Required Lenders of the respective Class shall have so notified the Swingline Lender in writing and shall not have subsequently determined that the circumstances giving rise to such conditions not being satisfied no longer exist.</w:t>
      </w:r>
    </w:p>
    <w:p>
      <w:pPr>
        <w:spacing w:after="0" w:line="110"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34</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81" w:name="page82"/>
    <w:bookmarkEnd w:id="81"/>
    <w:p>
      <w:pPr>
        <w:ind w:firstLine="898"/>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the foregoing, each Lender acknowledges and agrees that its obligation to acquire participations in Swingline Loans pursuant to this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The purchase of participations in a Swingline Loan pursuant to this paragraph shall not relieve the Borrower of any default in the payment thereof.</w:t>
      </w:r>
    </w:p>
    <w:p>
      <w:pPr>
        <w:spacing w:after="0" w:line="123" w:lineRule="exact"/>
        <w:rPr>
          <w:sz w:val="20"/>
          <w:szCs w:val="20"/>
          <w:color w:val="auto"/>
        </w:rPr>
      </w:pPr>
    </w:p>
    <w:p>
      <w:pPr>
        <w:ind w:firstLine="906"/>
        <w:spacing w:after="0" w:line="285" w:lineRule="auto"/>
        <w:tabs>
          <w:tab w:leader="none" w:pos="1147"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Resignation and Replacement of Swingline Lender</w:t>
      </w:r>
      <w:r>
        <w:rPr>
          <w:rFonts w:ascii="Arial" w:cs="Arial" w:eastAsia="Arial" w:hAnsi="Arial"/>
          <w:sz w:val="16"/>
          <w:szCs w:val="16"/>
          <w:color w:val="auto"/>
        </w:rPr>
        <w:t xml:space="preserve">. The Swingline Lender may resign and be replaced at any time by written agreement among the Borrower, the Administrative Agent, the resigning Swingline Lender and the successor Swingline Lender. The Administrative Agent shall notify the Lenders of any such resignation and replacement of the Swingline Lender. In addition to the foregoing, if a Lender becomes, and during the period it remains, a Defaulting Lender, and if any Default has arisen from a failure of the Borrower to comply with </w:t>
      </w:r>
      <w:r>
        <w:rPr>
          <w:rFonts w:ascii="Arial" w:cs="Arial" w:eastAsia="Arial" w:hAnsi="Arial"/>
          <w:sz w:val="16"/>
          <w:szCs w:val="16"/>
          <w:u w:val="single" w:color="auto"/>
          <w:color w:val="auto"/>
        </w:rPr>
        <w:t>Section 2.19(a)</w:t>
      </w:r>
      <w:r>
        <w:rPr>
          <w:rFonts w:ascii="Arial" w:cs="Arial" w:eastAsia="Arial" w:hAnsi="Arial"/>
          <w:sz w:val="16"/>
          <w:szCs w:val="16"/>
          <w:color w:val="auto"/>
        </w:rPr>
        <w:t>, then the Swingline Lender may, upon prior written notice to the Borrower and the Administrative Agent, resign as Swingline Lender, effective at the close of business Atlanta, Georgia time on a date specified in such notice (which date may not be less than five (5) Business Days after the date of such notice). On or after the effective date of any such resignation, the Borrower and the Administrative Agent may, by written agreement, appoint a successor Swingline Lender. The Administrative Agent shall notify the Lenders of any such appointment of a successor Swingline Lender. Upon the effectiveness of any resignation of the Swingline Lender, the Borrower shall repay in full all outstanding Swingline Loans together with all accrued interest thereon. From and after the effective date of the appointment of a successor Swingline Lender, (i) the successor Swingline Lender shall have all the rights and obligations of the replaced Swingline Lender under this Agreement with respect to Swingline Loans to be made thereafter and (ii)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have no obligation to make additional Swingline Loans.</w:t>
      </w:r>
    </w:p>
    <w:p>
      <w:pPr>
        <w:spacing w:after="0" w:line="116"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35</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82" w:name="page83"/>
    <w:bookmarkEnd w:id="82"/>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90" w:lineRule="exact"/>
        <w:rPr>
          <w:sz w:val="20"/>
          <w:szCs w:val="20"/>
          <w:color w:val="auto"/>
        </w:rPr>
      </w:pPr>
    </w:p>
    <w:p>
      <w:pPr>
        <w:ind w:right="180" w:firstLine="906"/>
        <w:spacing w:after="0" w:line="294" w:lineRule="auto"/>
        <w:tabs>
          <w:tab w:leader="none" w:pos="113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in addition to the Loans provided for in </w:t>
      </w:r>
      <w:r>
        <w:rPr>
          <w:rFonts w:ascii="Arial" w:cs="Arial" w:eastAsia="Arial" w:hAnsi="Arial"/>
          <w:sz w:val="16"/>
          <w:szCs w:val="16"/>
          <w:u w:val="single" w:color="auto"/>
          <w:color w:val="auto"/>
        </w:rPr>
        <w:t>Section 2.01</w:t>
      </w:r>
      <w:r>
        <w:rPr>
          <w:rFonts w:ascii="Arial" w:cs="Arial" w:eastAsia="Arial" w:hAnsi="Arial"/>
          <w:sz w:val="16"/>
          <w:szCs w:val="16"/>
          <w:color w:val="auto"/>
        </w:rPr>
        <w:t>, the Borrower may request the Issuing Bank to issue, at any time and from time to time during the Availability Period and under either the Dollar Commitments or Multicurrency Commitments, Letters of Credit denominated in Dollars or (in the case of Letters of Credit under the Multicurrency Commitments) in any Agreed Foreign Currency for its own account in such form as is acceptable to the Issuing Bank in its reasonable determination. Letters of Credit issued hereunder shall constitute utilization of the Commitments up to the aggregate amount available to be drawn thereunder.</w:t>
      </w:r>
    </w:p>
    <w:p>
      <w:pPr>
        <w:spacing w:after="0" w:line="115" w:lineRule="exact"/>
        <w:rPr>
          <w:rFonts w:ascii="Arial" w:cs="Arial" w:eastAsia="Arial" w:hAnsi="Arial"/>
          <w:sz w:val="16"/>
          <w:szCs w:val="16"/>
          <w:color w:val="auto"/>
        </w:rPr>
      </w:pPr>
    </w:p>
    <w:p>
      <w:pPr>
        <w:ind w:right="100" w:firstLine="906"/>
        <w:spacing w:after="0" w:line="286" w:lineRule="auto"/>
        <w:tabs>
          <w:tab w:leader="none" w:pos="114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or Extension</w:t>
      </w:r>
      <w:r>
        <w:rPr>
          <w:rFonts w:ascii="Arial" w:cs="Arial" w:eastAsia="Arial" w:hAnsi="Arial"/>
          <w:sz w:val="16"/>
          <w:szCs w:val="16"/>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Issuing Bank, the Borrower also shall submit a letter of credit application on the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w:t>
      </w:r>
    </w:p>
    <w:p>
      <w:pPr>
        <w:spacing w:after="0" w:line="126" w:lineRule="exact"/>
        <w:rPr>
          <w:rFonts w:ascii="Arial" w:cs="Arial" w:eastAsia="Arial" w:hAnsi="Arial"/>
          <w:sz w:val="16"/>
          <w:szCs w:val="16"/>
          <w:color w:val="auto"/>
        </w:rPr>
      </w:pPr>
    </w:p>
    <w:p>
      <w:pPr>
        <w:ind w:right="60" w:firstLine="906"/>
        <w:spacing w:after="0" w:line="291" w:lineRule="auto"/>
        <w:tabs>
          <w:tab w:leader="none" w:pos="113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Limitations on Amounts</w:t>
      </w:r>
      <w:r>
        <w:rPr>
          <w:rFonts w:ascii="Arial" w:cs="Arial" w:eastAsia="Arial" w:hAnsi="Arial"/>
          <w:sz w:val="16"/>
          <w:szCs w:val="16"/>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Issuing Bank (determined for these purposes without giving effect to the participations therein of the Lenders pursuant to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shall not exceed $40,000,000, (ii) the total Revolving Dollar Credit Exposures shall not exceed the aggregate Dollar Commitments, (iii) the total Revolving Multicurrency Credit Exposures shall not exceed the aggregate Multicurrency Commitments and (iv) the total Covered Debt Amount shall not exceed the Borrowing Base then in effect.</w:t>
      </w:r>
    </w:p>
    <w:p>
      <w:pPr>
        <w:spacing w:after="0" w:line="119" w:lineRule="exact"/>
        <w:rPr>
          <w:rFonts w:ascii="Arial" w:cs="Arial" w:eastAsia="Arial" w:hAnsi="Arial"/>
          <w:sz w:val="16"/>
          <w:szCs w:val="16"/>
          <w:color w:val="auto"/>
        </w:rPr>
      </w:pPr>
    </w:p>
    <w:p>
      <w:pPr>
        <w:ind w:right="180" w:firstLine="906"/>
        <w:spacing w:after="0" w:line="254" w:lineRule="auto"/>
        <w:tabs>
          <w:tab w:leader="none" w:pos="114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with a one-year term may provide for the renewal thereof for additional one-year periods. No Letter of Credit may be renewed following the earlier to occur of the Commitment Termination Date and the Termination Date.</w:t>
      </w:r>
    </w:p>
    <w:p>
      <w:pPr>
        <w:spacing w:after="0" w:line="133"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36</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83" w:name="page84"/>
    <w:bookmarkEnd w:id="83"/>
    <w:p>
      <w:pPr>
        <w:ind w:right="60" w:firstLine="906"/>
        <w:spacing w:after="0" w:line="287" w:lineRule="auto"/>
        <w:tabs>
          <w:tab w:leader="none" w:pos="113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Participations</w:t>
      </w:r>
      <w:r>
        <w:rPr>
          <w:rFonts w:ascii="Arial" w:cs="Arial" w:eastAsia="Arial" w:hAnsi="Arial"/>
          <w:sz w:val="16"/>
          <w:szCs w:val="16"/>
          <w:color w:val="auto"/>
        </w:rPr>
        <w:t xml:space="preserve">. By the issuance of a Letter of Credit of a Class (or an amendment to a Letter of Credit increasing the amount thereof) by the Issuing Bank, and without any further action on the part of the Issuing Bank or the Lenders, the Issuing Bank hereby grants to each Lender of such Class, and each Lender of such Class hereby acquires from the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required to purchase a participation in a Letter of Credit pursuant to this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if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would not be satisfied in respect of a Borrowing at the time such Letter of Credit was issued and (y) the Required Lenders of the respective Class shall have so notified the Issuing Bank in writing and shall not have subsequently determined that the circumstances giving rise to such conditions not being satisfied no longer exist.</w:t>
      </w:r>
    </w:p>
    <w:p>
      <w:pPr>
        <w:spacing w:after="0" w:line="122" w:lineRule="exact"/>
        <w:rPr>
          <w:sz w:val="20"/>
          <w:szCs w:val="20"/>
          <w:color w:val="auto"/>
        </w:rPr>
      </w:pPr>
    </w:p>
    <w:p>
      <w:pPr>
        <w:ind w:right="20" w:firstLine="898"/>
        <w:spacing w:after="0" w:line="286" w:lineRule="auto"/>
        <w:rPr>
          <w:sz w:val="20"/>
          <w:szCs w:val="20"/>
          <w:color w:val="auto"/>
        </w:rPr>
      </w:pPr>
      <w:r>
        <w:rPr>
          <w:rFonts w:ascii="Arial" w:cs="Arial" w:eastAsia="Arial" w:hAnsi="Arial"/>
          <w:sz w:val="16"/>
          <w:szCs w:val="16"/>
          <w:color w:val="auto"/>
        </w:rPr>
        <w:t xml:space="preserve">In consideration and in furtherance of the foregoing, each Lender of a Class hereby absolutely and unconditionally agrees to pay to the Administrative Agent, for account of the Issuing Bank, such Lender’s Applicable Dollar Percentage or Applicable Multicurrency Percentage, as the case may be, of each LC Disbursement made by the Issuing Bank in respect of Letters of Credit of such Class promptly upon the request of the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mutatis</w:t>
      </w:r>
      <w:r>
        <w:rPr>
          <w:rFonts w:ascii="Arial" w:cs="Arial" w:eastAsia="Arial" w:hAnsi="Arial"/>
          <w:sz w:val="16"/>
          <w:szCs w:val="16"/>
          <w:color w:val="auto"/>
        </w:rPr>
        <w:t xml:space="preserve"> </w:t>
      </w:r>
      <w:r>
        <w:rPr>
          <w:rFonts w:ascii="Arial" w:cs="Arial" w:eastAsia="Arial" w:hAnsi="Arial"/>
          <w:sz w:val="16"/>
          <w:szCs w:val="16"/>
          <w:u w:val="single" w:color="auto"/>
          <w:color w:val="auto"/>
        </w:rPr>
        <w:t>mutandis</w:t>
      </w:r>
      <w:r>
        <w:rPr>
          <w:rFonts w:ascii="Arial" w:cs="Arial" w:eastAsia="Arial" w:hAnsi="Arial"/>
          <w:sz w:val="16"/>
          <w:szCs w:val="16"/>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the next following paragraph, the Administrative Agent shall distribute such payment to the Issuing Bank or, to the extent that the Lenders have made payments pursuant to this paragraph to reimburse the Issuing Bank, then to such Lenders and the Issuing Bank as their interests may appear. Any payment made by a Lender pursuant to this paragraph to reimburse the Issuing Bank for any LC Disbursement shall not constitute a Loan and shall not relieve the Borrower of its obligation to reimburse such LC Disbursement.</w:t>
      </w:r>
    </w:p>
    <w:p>
      <w:pPr>
        <w:spacing w:after="0" w:line="123" w:lineRule="exact"/>
        <w:rPr>
          <w:sz w:val="20"/>
          <w:szCs w:val="20"/>
          <w:color w:val="auto"/>
        </w:rPr>
      </w:pPr>
    </w:p>
    <w:p>
      <w:pPr>
        <w:ind w:right="80" w:firstLine="906"/>
        <w:spacing w:after="0" w:line="254" w:lineRule="auto"/>
        <w:tabs>
          <w:tab w:leader="none" w:pos="111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xml:space="preserve">. If the Issuing Bank shall make any LC Disbursement in respect of a Letter of Credit, the Borrower shall reimburse the Issuing Bank in respect of such LC Disbursement by paying to the Administrative Agent an amount equal to such LC Disbursement not later than 11:00 a.m., Atlanta, Georgia time, on (i) the Business Day that the Borrower receives notice of such LC Disbursement, if such notice is received prior to 10:00 a.m., Atlanta, Georgia time, or (ii) the Business Day immediately following the day that the Borrower receives such notice, if such notice is not received prior to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LC</w:t>
      </w:r>
    </w:p>
    <w:p>
      <w:pPr>
        <w:spacing w:after="0" w:line="133"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37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84" w:name="page85"/>
    <w:bookmarkEnd w:id="84"/>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Disbursement is not less than $1,000,000 and is denominated in Dollars, the Borrower may, subject to the conditions to borrowing set forth herein, request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43" w:lineRule="exact"/>
        <w:rPr>
          <w:sz w:val="20"/>
          <w:szCs w:val="20"/>
          <w:color w:val="auto"/>
        </w:rPr>
      </w:pPr>
    </w:p>
    <w:p>
      <w:pPr>
        <w:ind w:right="560" w:firstLine="898"/>
        <w:spacing w:after="0" w:line="259" w:lineRule="auto"/>
        <w:rPr>
          <w:sz w:val="20"/>
          <w:szCs w:val="20"/>
          <w:color w:val="auto"/>
        </w:rPr>
      </w:pPr>
      <w:r>
        <w:rPr>
          <w:rFonts w:ascii="Arial" w:cs="Arial" w:eastAsia="Arial" w:hAnsi="Arial"/>
          <w:sz w:val="18"/>
          <w:szCs w:val="18"/>
          <w:color w:val="auto"/>
        </w:rPr>
        <w:t>If the Borrower fails to make such payment when due, the Administrative Agent shall notify each applicable Lender of the applicable LC Disbursement, the payment then due from the Borrower in respect thereof and such Lender’s Applicable Dollar Percentage or Applicable Multicurrency Percentage, as the case may be, thereof.</w:t>
      </w:r>
    </w:p>
    <w:p>
      <w:pPr>
        <w:spacing w:after="0" w:line="140" w:lineRule="exact"/>
        <w:rPr>
          <w:sz w:val="20"/>
          <w:szCs w:val="20"/>
          <w:color w:val="auto"/>
        </w:rPr>
      </w:pPr>
    </w:p>
    <w:p>
      <w:pPr>
        <w:ind w:right="40" w:firstLine="906"/>
        <w:spacing w:after="0" w:line="283" w:lineRule="auto"/>
        <w:tabs>
          <w:tab w:leader="none" w:pos="1147"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Borrower’s obligation to reimburse LC Disbursements as provided in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w:t>
      </w:r>
    </w:p>
    <w:p>
      <w:pPr>
        <w:spacing w:after="0" w:line="2" w:lineRule="exact"/>
        <w:rPr>
          <w:rFonts w:ascii="Arial" w:cs="Arial" w:eastAsia="Arial" w:hAnsi="Arial"/>
          <w:sz w:val="16"/>
          <w:szCs w:val="16"/>
          <w:color w:val="auto"/>
        </w:rPr>
      </w:pPr>
    </w:p>
    <w:p>
      <w:pPr>
        <w:ind w:right="60" w:firstLine="8"/>
        <w:spacing w:after="0" w:line="255" w:lineRule="auto"/>
        <w:tabs>
          <w:tab w:leader="none" w:pos="3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 by the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44"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 xml:space="preserve">Neither the Administrative Agent, the Lenders nor the Issuing Bank, nor any of their Related Parties, shall have any liability or responsibility by reason of or in connection with the issuance or transfer of any Letter of Credit by the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gross negligence or willful misconduct when determining whether drafts and other documents presented under a Letter of Credit comply with the terms thereof. The parties hereto expressly agree that:</w:t>
      </w:r>
    </w:p>
    <w:p>
      <w:pPr>
        <w:spacing w:after="0" w:line="38" w:lineRule="exact"/>
        <w:rPr>
          <w:sz w:val="20"/>
          <w:szCs w:val="20"/>
          <w:color w:val="auto"/>
        </w:rPr>
      </w:pPr>
    </w:p>
    <w:p>
      <w:pPr>
        <w:ind w:left="460" w:right="180" w:firstLine="428"/>
        <w:spacing w:after="0" w:line="306" w:lineRule="auto"/>
        <w:tabs>
          <w:tab w:leader="none" w:pos="1101"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Issuing 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93"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38</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85" w:name="page86"/>
    <w:bookmarkEnd w:id="85"/>
    <w:p>
      <w:pPr>
        <w:ind w:left="460" w:right="180" w:firstLine="428"/>
        <w:spacing w:after="0" w:line="268" w:lineRule="auto"/>
        <w:tabs>
          <w:tab w:leader="none" w:pos="115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Issuing Bank shall have the right, in its sole discretion, to decline to accept such documents and to make such payment if such documents are not in strict compliance with the terms of such Letter of Credit and</w:t>
      </w:r>
    </w:p>
    <w:p>
      <w:pPr>
        <w:spacing w:after="0" w:line="50" w:lineRule="exact"/>
        <w:rPr>
          <w:rFonts w:ascii="Arial" w:cs="Arial" w:eastAsia="Arial" w:hAnsi="Arial"/>
          <w:sz w:val="18"/>
          <w:szCs w:val="18"/>
          <w:color w:val="auto"/>
        </w:rPr>
      </w:pPr>
    </w:p>
    <w:p>
      <w:pPr>
        <w:ind w:left="460" w:right="280" w:firstLine="428"/>
        <w:spacing w:after="0" w:line="259" w:lineRule="auto"/>
        <w:tabs>
          <w:tab w:leader="none" w:pos="119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sentence shall establish the standard of care to be exercised by the Issuing Bank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39" w:lineRule="exact"/>
        <w:rPr>
          <w:rFonts w:ascii="Arial" w:cs="Arial" w:eastAsia="Arial" w:hAnsi="Arial"/>
          <w:sz w:val="18"/>
          <w:szCs w:val="18"/>
          <w:color w:val="auto"/>
        </w:rPr>
      </w:pPr>
    </w:p>
    <w:p>
      <w:pPr>
        <w:ind w:firstLine="906"/>
        <w:spacing w:after="0" w:line="254" w:lineRule="auto"/>
        <w:tabs>
          <w:tab w:leader="none" w:pos="1147"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Issuing Bank shall, within a reasonable time following its receipt thereof examine all documents purporting to represent a demand for payment under a Letter of Credit. The Issuing Bank shall promptly after such examination notify the Administrative Agent and the Borrower by telephone (confirmed by telecopy) of such demand for payment and whether the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the Issuing Bank and the applicable Lenders with respect to any such LC Disbursement.</w:t>
      </w:r>
    </w:p>
    <w:p>
      <w:pPr>
        <w:spacing w:after="0" w:line="146" w:lineRule="exact"/>
        <w:rPr>
          <w:rFonts w:ascii="Arial" w:cs="Arial" w:eastAsia="Arial" w:hAnsi="Arial"/>
          <w:sz w:val="18"/>
          <w:szCs w:val="18"/>
          <w:color w:val="auto"/>
        </w:rPr>
      </w:pPr>
    </w:p>
    <w:p>
      <w:pPr>
        <w:ind w:right="40" w:firstLine="906"/>
        <w:spacing w:after="0" w:line="290" w:lineRule="auto"/>
        <w:tabs>
          <w:tab w:leader="none" w:pos="1108"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fails to reimburse such LC Disbursement within two Business Days following the date when due pursuant to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this Section, then the provisions of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shall apply. Interest accrued pursuant to this paragraph shall be for account of the Issuing Bank, except that interest accrued on and after the date of payment by any Lender pursuant to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this Section to reimburse the Issuing Bank shall be for account of such Lender to the extent of such payment.</w:t>
      </w:r>
    </w:p>
    <w:p>
      <w:pPr>
        <w:spacing w:after="0" w:line="117" w:lineRule="exact"/>
        <w:rPr>
          <w:rFonts w:ascii="Arial" w:cs="Arial" w:eastAsia="Arial" w:hAnsi="Arial"/>
          <w:sz w:val="16"/>
          <w:szCs w:val="16"/>
          <w:color w:val="auto"/>
        </w:rPr>
      </w:pPr>
    </w:p>
    <w:p>
      <w:pPr>
        <w:ind w:firstLine="906"/>
        <w:spacing w:after="0" w:line="288" w:lineRule="auto"/>
        <w:tabs>
          <w:tab w:leader="none" w:pos="1108"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Resignation and/or Replacement of Issuing Bank</w:t>
      </w:r>
      <w:r>
        <w:rPr>
          <w:rFonts w:ascii="Arial" w:cs="Arial" w:eastAsia="Arial" w:hAnsi="Arial"/>
          <w:sz w:val="16"/>
          <w:szCs w:val="16"/>
          <w:color w:val="auto"/>
        </w:rPr>
        <w:t xml:space="preserve">. The Issuing Bank may resign and be replaced at any time by written agreement among the Borrower, the Administrative Agent, the resigning Issuing Bank and the successor Issuing Bank. The Administrative Agent shall notify the Lenders of any such resignation and replacement of the Issuing Bank. Upon the effectiveness of any resignation of the Issuing Bank, the Borrower shall pay all unpaid fees accrued for account of the resigning Issuing Bank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effective resignation of the Issuing Bank hereunder, the resigning Issuing Bank, as the case may be, shall remain a party hereto and shall continue to have all the rights and obligations of the Issuing Bank under this Agreement with respect to Letters of Credit issued by it prior to such resignation, but shall not be required to issue additional Letters of Credit.</w:t>
      </w:r>
    </w:p>
    <w:p>
      <w:pPr>
        <w:spacing w:after="0" w:line="105"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39</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86" w:name="page87"/>
    <w:bookmarkEnd w:id="86"/>
    <w:p>
      <w:pPr>
        <w:ind w:right="180" w:firstLine="898"/>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(k) </w:t>
      </w:r>
      <w:r>
        <w:rPr>
          <w:rFonts w:ascii="Arial" w:cs="Arial" w:eastAsia="Arial" w:hAnsi="Arial"/>
          <w:sz w:val="16"/>
          <w:szCs w:val="16"/>
          <w:u w:val="single" w:color="auto"/>
          <w:color w:val="auto"/>
        </w:rPr>
        <w:t>Cash Collateralization</w:t>
      </w:r>
      <w:r>
        <w:rPr>
          <w:rFonts w:ascii="Arial" w:cs="Arial" w:eastAsia="Arial" w:hAnsi="Arial"/>
          <w:sz w:val="16"/>
          <w:szCs w:val="16"/>
          <w:color w:val="auto"/>
        </w:rPr>
        <w:t xml:space="preserve">. If the Borrower shall be required to provide Cash Collateral for LC Exposure pursuant to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the last paragraph of </w:t>
      </w:r>
      <w:r>
        <w:rPr>
          <w:rFonts w:ascii="Arial" w:cs="Arial" w:eastAsia="Arial" w:hAnsi="Arial"/>
          <w:sz w:val="16"/>
          <w:szCs w:val="16"/>
          <w:u w:val="single" w:color="auto"/>
          <w:color w:val="auto"/>
        </w:rPr>
        <w:t>Article VII</w:t>
      </w:r>
      <w:r>
        <w:rPr>
          <w:rFonts w:ascii="Arial" w:cs="Arial" w:eastAsia="Arial" w:hAnsi="Arial"/>
          <w:sz w:val="16"/>
          <w:szCs w:val="16"/>
          <w:color w:val="auto"/>
        </w:rPr>
        <w:t>, the Borrower shall immediately deposit into a segregated collateral account or accounts (herein, collectively, the “</w:t>
      </w:r>
      <w:r>
        <w:rPr>
          <w:rFonts w:ascii="Arial" w:cs="Arial" w:eastAsia="Arial" w:hAnsi="Arial"/>
          <w:sz w:val="16"/>
          <w:szCs w:val="16"/>
          <w:u w:val="single" w:color="auto"/>
          <w:color w:val="auto"/>
        </w:rPr>
        <w:t>Letter of Credit Collateral Account</w:t>
      </w:r>
      <w:r>
        <w:rPr>
          <w:rFonts w:ascii="Arial" w:cs="Arial" w:eastAsia="Arial" w:hAnsi="Arial"/>
          <w:sz w:val="16"/>
          <w:szCs w:val="16"/>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or</w:t>
      </w:r>
    </w:p>
    <w:p>
      <w:pPr>
        <w:spacing w:after="0" w:line="3" w:lineRule="exact"/>
        <w:rPr>
          <w:sz w:val="20"/>
          <w:szCs w:val="20"/>
          <w:color w:val="auto"/>
        </w:rPr>
      </w:pPr>
    </w:p>
    <w:p>
      <w:pPr>
        <w:ind w:right="260" w:firstLine="8"/>
        <w:spacing w:after="0" w:line="295" w:lineRule="auto"/>
        <w:tabs>
          <w:tab w:leader="none" w:pos="239" w:val="left"/>
        </w:tabs>
        <w:numPr>
          <w:ilvl w:val="0"/>
          <w:numId w:val="51"/>
        </w:numPr>
        <w:rPr>
          <w:rFonts w:ascii="Arial" w:cs="Arial" w:eastAsia="Arial" w:hAnsi="Arial"/>
          <w:sz w:val="16"/>
          <w:szCs w:val="16"/>
          <w:u w:val="single" w:color="auto"/>
          <w:color w:val="auto"/>
        </w:rPr>
      </w:pPr>
      <w:r>
        <w:rPr>
          <w:rFonts w:ascii="Arial" w:cs="Arial" w:eastAsia="Arial" w:hAnsi="Arial"/>
          <w:sz w:val="16"/>
          <w:szCs w:val="16"/>
          <w:color w:val="auto"/>
        </w:rPr>
        <w:t xml:space="preserve">or the last paragraph of </w:t>
      </w:r>
      <w:r>
        <w:rPr>
          <w:rFonts w:ascii="Arial" w:cs="Arial" w:eastAsia="Arial" w:hAnsi="Arial"/>
          <w:sz w:val="16"/>
          <w:szCs w:val="16"/>
          <w:u w:val="single" w:color="auto"/>
          <w:color w:val="auto"/>
        </w:rPr>
        <w:t>Article VII</w:t>
      </w:r>
      <w:r>
        <w:rPr>
          <w:rFonts w:ascii="Arial" w:cs="Arial" w:eastAsia="Arial" w:hAnsi="Arial"/>
          <w:sz w:val="16"/>
          <w:szCs w:val="16"/>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90" w:lineRule="exact"/>
        <w:rPr>
          <w:sz w:val="20"/>
          <w:szCs w:val="20"/>
          <w:color w:val="auto"/>
        </w:rPr>
      </w:pPr>
    </w:p>
    <w:p>
      <w:pPr>
        <w:ind w:right="20" w:firstLine="906"/>
        <w:spacing w:after="0" w:line="291" w:lineRule="auto"/>
        <w:tabs>
          <w:tab w:leader="none" w:pos="113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Funding by Lenders</w:t>
      </w:r>
      <w:r>
        <w:rPr>
          <w:rFonts w:ascii="Arial" w:cs="Arial" w:eastAsia="Arial" w:hAnsi="Arial"/>
          <w:sz w:val="16"/>
          <w:szCs w:val="16"/>
          <w:color w:val="auto"/>
        </w:rPr>
        <w:t xml:space="preserve">. Each Lender shall make each Loan to be made by it hereunder on the proposed date thereof by wire transfer of immediately available funds by 11:00 a.m., Atlanta, Georgia time, to the account of the Administrative Agent most recently designated by it for such purpose by notice to the Lenders; provided that Swingline Loans shall be made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Syndicated ABR Borrowings made to finance the reimbursement of an LC Disbursement as provided in </w:t>
      </w:r>
      <w:r>
        <w:rPr>
          <w:rFonts w:ascii="Arial" w:cs="Arial" w:eastAsia="Arial" w:hAnsi="Arial"/>
          <w:sz w:val="16"/>
          <w:szCs w:val="16"/>
          <w:u w:val="single" w:color="auto"/>
          <w:color w:val="auto"/>
        </w:rPr>
        <w:t>Section 2.05(f)</w:t>
      </w:r>
      <w:r>
        <w:rPr>
          <w:rFonts w:ascii="Arial" w:cs="Arial" w:eastAsia="Arial" w:hAnsi="Arial"/>
          <w:sz w:val="16"/>
          <w:szCs w:val="16"/>
          <w:color w:val="auto"/>
        </w:rPr>
        <w:t xml:space="preserve"> shall be remitted by the Administrative Agent to the Issuing Bank.</w:t>
      </w:r>
    </w:p>
    <w:p>
      <w:pPr>
        <w:spacing w:after="0" w:line="119" w:lineRule="exact"/>
        <w:rPr>
          <w:rFonts w:ascii="Arial" w:cs="Arial" w:eastAsia="Arial" w:hAnsi="Arial"/>
          <w:sz w:val="16"/>
          <w:szCs w:val="16"/>
          <w:color w:val="auto"/>
        </w:rPr>
      </w:pPr>
    </w:p>
    <w:p>
      <w:pPr>
        <w:ind w:firstLine="906"/>
        <w:spacing w:after="0" w:line="288" w:lineRule="auto"/>
        <w:tabs>
          <w:tab w:leader="none" w:pos="114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Presumption by the Administrative Agent</w:t>
      </w:r>
      <w:r>
        <w:rPr>
          <w:rFonts w:ascii="Arial" w:cs="Arial" w:eastAsia="Arial" w:hAnsi="Arial"/>
          <w:sz w:val="16"/>
          <w:szCs w:val="16"/>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90" w:lineRule="exact"/>
        <w:rPr>
          <w:sz w:val="20"/>
          <w:szCs w:val="20"/>
          <w:color w:val="auto"/>
        </w:rPr>
      </w:pPr>
    </w:p>
    <w:p>
      <w:pPr>
        <w:ind w:right="160" w:firstLine="906"/>
        <w:spacing w:after="0" w:line="259" w:lineRule="auto"/>
        <w:tabs>
          <w:tab w:leader="none" w:pos="113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Elections by the Borrower for Syndicated Borrowings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2.03(d)</w:t>
      </w:r>
      <w:r>
        <w:rPr>
          <w:rFonts w:ascii="Arial" w:cs="Arial" w:eastAsia="Arial" w:hAnsi="Arial"/>
          <w:sz w:val="18"/>
          <w:szCs w:val="18"/>
          <w:color w:val="auto"/>
        </w:rPr>
        <w:t>, the Loans constituting each Syndicated Borrowing initially shall be of the Type specified in the applicable Borrowing Request and, in the case of a Eurocurrency Borrowing, shall have the Interest Period specified in such Borrowing Request. Thereafter, the Borrower</w:t>
      </w:r>
    </w:p>
    <w:p>
      <w:pPr>
        <w:spacing w:after="0" w:line="126"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40</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87" w:name="page88"/>
    <w:bookmarkEnd w:id="87"/>
    <w:p>
      <w:pPr>
        <w:ind w:right="1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may elect to convert such Borrowing to a Borrowing of a different Type or to continue such Borrowing as a Borrowing of the same Type and, in the case of a Eurocurrency Borrowing, may elect the Interest Period therefor, all as provided in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no Eurocurrency Borrowing denominated in a Foreign Currency may be continued if, after giving effect thereto, the aggregate Revolving Multicurrency Credit Exposures would exceed the aggregate Multicurrency Commitments, and (iv) a Eurocurrency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119" w:lineRule="exact"/>
        <w:rPr>
          <w:sz w:val="20"/>
          <w:szCs w:val="20"/>
          <w:color w:val="auto"/>
        </w:rPr>
      </w:pPr>
    </w:p>
    <w:p>
      <w:pPr>
        <w:ind w:right="140" w:firstLine="906"/>
        <w:spacing w:after="0" w:line="294" w:lineRule="auto"/>
        <w:tabs>
          <w:tab w:leader="none" w:pos="1147"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Notice of Elections</w:t>
      </w:r>
      <w:r>
        <w:rPr>
          <w:rFonts w:ascii="Arial" w:cs="Arial" w:eastAsia="Arial" w:hAnsi="Arial"/>
          <w:sz w:val="16"/>
          <w:szCs w:val="16"/>
          <w:color w:val="auto"/>
        </w:rPr>
        <w:t xml:space="preserve">. To make an election pursuant to this Section, the Borrower shall notify the Administrative Agent of such election by telephone by the time that a Borrowing Request would be required under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15" w:lineRule="exact"/>
        <w:rPr>
          <w:rFonts w:ascii="Arial" w:cs="Arial" w:eastAsia="Arial" w:hAnsi="Arial"/>
          <w:sz w:val="16"/>
          <w:szCs w:val="16"/>
          <w:color w:val="auto"/>
        </w:rPr>
      </w:pPr>
    </w:p>
    <w:p>
      <w:pPr>
        <w:ind w:right="640" w:firstLine="906"/>
        <w:spacing w:after="0" w:line="268" w:lineRule="auto"/>
        <w:tabs>
          <w:tab w:leader="none" w:pos="1137"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Content of Interest Election Requests</w:t>
      </w:r>
      <w:r>
        <w:rPr>
          <w:rFonts w:ascii="Arial" w:cs="Arial" w:eastAsia="Arial" w:hAnsi="Arial"/>
          <w:sz w:val="18"/>
          <w:szCs w:val="18"/>
          <w:color w:val="auto"/>
        </w:rPr>
        <w:t xml:space="preserve">. Each telephonic and written Interest Election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240" w:firstLine="428"/>
        <w:spacing w:after="0" w:line="259" w:lineRule="auto"/>
        <w:tabs>
          <w:tab w:leader="none" w:pos="1101"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Borrowing (including the Class)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this paragraph shall be specified for each resulting Borrowing);</w:t>
      </w:r>
    </w:p>
    <w:p>
      <w:pPr>
        <w:spacing w:after="0" w:line="58" w:lineRule="exact"/>
        <w:rPr>
          <w:rFonts w:ascii="Arial" w:cs="Arial" w:eastAsia="Arial" w:hAnsi="Arial"/>
          <w:sz w:val="18"/>
          <w:szCs w:val="18"/>
          <w:color w:val="auto"/>
        </w:rPr>
      </w:pPr>
    </w:p>
    <w:p>
      <w:pPr>
        <w:ind w:left="1140" w:hanging="252"/>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90" w:lineRule="exact"/>
        <w:rPr>
          <w:rFonts w:ascii="Arial" w:cs="Arial" w:eastAsia="Arial" w:hAnsi="Arial"/>
          <w:sz w:val="18"/>
          <w:szCs w:val="18"/>
          <w:color w:val="auto"/>
        </w:rPr>
      </w:pPr>
    </w:p>
    <w:p>
      <w:pPr>
        <w:ind w:left="460" w:right="800" w:firstLine="428"/>
        <w:spacing w:after="0" w:line="268" w:lineRule="auto"/>
        <w:tabs>
          <w:tab w:leader="none" w:pos="11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in the case of a Borrowing denominated in Dollars, the resulting Borrowing is to be an ABR Borrowing or a Eurocurrency Borrowing; and</w:t>
      </w:r>
    </w:p>
    <w:p>
      <w:pPr>
        <w:spacing w:after="0" w:line="50" w:lineRule="exact"/>
        <w:rPr>
          <w:rFonts w:ascii="Arial" w:cs="Arial" w:eastAsia="Arial" w:hAnsi="Arial"/>
          <w:sz w:val="18"/>
          <w:szCs w:val="18"/>
          <w:color w:val="auto"/>
        </w:rPr>
      </w:pPr>
    </w:p>
    <w:p>
      <w:pPr>
        <w:ind w:left="460" w:firstLine="428"/>
        <w:spacing w:after="0" w:line="268" w:lineRule="auto"/>
        <w:tabs>
          <w:tab w:leader="none" w:pos="1189"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if the resulting Borrowing is a Eurocurrency Borrowing, the Interest Period therefor after giving effect to such election,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88" w:name="page89"/>
    <w:bookmarkEnd w:id="88"/>
    <w:p>
      <w:pPr>
        <w:ind w:right="80" w:firstLine="906"/>
        <w:spacing w:after="0" w:line="268" w:lineRule="auto"/>
        <w:tabs>
          <w:tab w:leader="none" w:pos="114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by the Administrative Agent to the Lenders</w:t>
      </w:r>
      <w:r>
        <w:rPr>
          <w:rFonts w:ascii="Arial" w:cs="Arial" w:eastAsia="Arial" w:hAnsi="Arial"/>
          <w:sz w:val="18"/>
          <w:szCs w:val="18"/>
          <w:color w:val="auto"/>
        </w:rPr>
        <w:t>. Promptly following receipt of an Interest Election Request, the Administrative Agent shall advise each applicable Lender of the details thereof and of such Lender’s portion of each resulting Borrowing.</w:t>
      </w:r>
    </w:p>
    <w:p>
      <w:pPr>
        <w:spacing w:after="0" w:line="131" w:lineRule="exact"/>
        <w:rPr>
          <w:rFonts w:ascii="Arial" w:cs="Arial" w:eastAsia="Arial" w:hAnsi="Arial"/>
          <w:sz w:val="18"/>
          <w:szCs w:val="18"/>
          <w:color w:val="auto"/>
        </w:rPr>
      </w:pPr>
    </w:p>
    <w:p>
      <w:pPr>
        <w:ind w:right="40" w:firstLine="906"/>
        <w:spacing w:after="0" w:line="288" w:lineRule="auto"/>
        <w:tabs>
          <w:tab w:leader="none" w:pos="1137"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Failure to Elect; Events of Default</w:t>
      </w:r>
      <w:r>
        <w:rPr>
          <w:rFonts w:ascii="Arial" w:cs="Arial" w:eastAsia="Arial" w:hAnsi="Arial"/>
          <w:sz w:val="16"/>
          <w:szCs w:val="16"/>
          <w:color w:val="auto"/>
        </w:rPr>
        <w:t>. If the Borrower fails to deliver a timely and complete Interest Election Request with respect to a Eurocurrency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 for such Eurocurrency Borrowing, be automatically converted to an ABR Borrowing and (ii) any Eurocurrency Borrowing denominated in a Foreign Currency shall not have an Interest Period of more than one month’s duration.</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Reduction or Increase of the Commitments</w:t>
      </w:r>
      <w:r>
        <w:rPr>
          <w:rFonts w:ascii="Arial" w:cs="Arial" w:eastAsia="Arial" w:hAnsi="Arial"/>
          <w:sz w:val="18"/>
          <w:szCs w:val="18"/>
          <w:color w:val="auto"/>
        </w:rPr>
        <w:t>.</w:t>
      </w:r>
    </w:p>
    <w:p>
      <w:pPr>
        <w:spacing w:after="0" w:line="90" w:lineRule="exact"/>
        <w:rPr>
          <w:sz w:val="20"/>
          <w:szCs w:val="20"/>
          <w:color w:val="auto"/>
        </w:rPr>
      </w:pPr>
    </w:p>
    <w:p>
      <w:pPr>
        <w:ind w:left="1140" w:hanging="234"/>
        <w:spacing w:after="0"/>
        <w:tabs>
          <w:tab w:leader="none" w:pos="114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Scheduled Termination</w:t>
      </w:r>
      <w:r>
        <w:rPr>
          <w:rFonts w:ascii="Arial" w:cs="Arial" w:eastAsia="Arial" w:hAnsi="Arial"/>
          <w:sz w:val="16"/>
          <w:szCs w:val="16"/>
          <w:color w:val="auto"/>
        </w:rPr>
        <w:t>. Unless previously terminated, the Commitments of each Class shall terminate on the Commitment Termination Date.</w:t>
      </w:r>
    </w:p>
    <w:p>
      <w:pPr>
        <w:spacing w:after="0" w:line="194" w:lineRule="exact"/>
        <w:rPr>
          <w:rFonts w:ascii="Arial" w:cs="Arial" w:eastAsia="Arial" w:hAnsi="Arial"/>
          <w:sz w:val="16"/>
          <w:szCs w:val="16"/>
          <w:color w:val="auto"/>
        </w:rPr>
      </w:pPr>
    </w:p>
    <w:p>
      <w:pPr>
        <w:ind w:right="120" w:firstLine="906"/>
        <w:spacing w:after="0" w:line="291" w:lineRule="auto"/>
        <w:tabs>
          <w:tab w:leader="none" w:pos="114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Voluntary Termination or Reduction</w:t>
      </w:r>
      <w:r>
        <w:rPr>
          <w:rFonts w:ascii="Arial" w:cs="Arial" w:eastAsia="Arial" w:hAnsi="Arial"/>
          <w:sz w:val="16"/>
          <w:szCs w:val="16"/>
          <w:color w:val="auto"/>
        </w:rPr>
        <w:t xml:space="preserve">. The Borrower may at any time terminate, or from time to time reduce, the Commitments of either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Commitments of a Class shall be in an amount that is $25,000,000 or a larger multiple of $5,000,000 in excess thereof and (ii) the Borrower shall not terminate or reduce the Commitments of either Class if, after giving effect to any concurrent prepayment of the Syndicated Loans of such Class in accordance with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the total Revolving Credit Exposures of such Class would exceed the total Commitments of such Class. Any such reduction of the Commitments below the principal amount of the Swingline Loans permitted under </w:t>
      </w:r>
      <w:r>
        <w:rPr>
          <w:rFonts w:ascii="Arial" w:cs="Arial" w:eastAsia="Arial" w:hAnsi="Arial"/>
          <w:sz w:val="16"/>
          <w:szCs w:val="16"/>
          <w:u w:val="single" w:color="auto"/>
          <w:color w:val="auto"/>
        </w:rPr>
        <w:t>Section 2.04(a)(i)</w:t>
      </w:r>
      <w:r>
        <w:rPr>
          <w:rFonts w:ascii="Arial" w:cs="Arial" w:eastAsia="Arial" w:hAnsi="Arial"/>
          <w:sz w:val="16"/>
          <w:szCs w:val="16"/>
          <w:color w:val="auto"/>
        </w:rPr>
        <w:t xml:space="preserve"> and the Letters of Credit permitted under </w:t>
      </w:r>
      <w:r>
        <w:rPr>
          <w:rFonts w:ascii="Arial" w:cs="Arial" w:eastAsia="Arial" w:hAnsi="Arial"/>
          <w:sz w:val="16"/>
          <w:szCs w:val="16"/>
          <w:u w:val="single" w:color="auto"/>
          <w:color w:val="auto"/>
        </w:rPr>
        <w:t>Section 2.05(c)(i)</w:t>
      </w:r>
      <w:r>
        <w:rPr>
          <w:rFonts w:ascii="Arial" w:cs="Arial" w:eastAsia="Arial" w:hAnsi="Arial"/>
          <w:sz w:val="16"/>
          <w:szCs w:val="16"/>
          <w:color w:val="auto"/>
        </w:rPr>
        <w:t xml:space="preserve"> shall result in a dollar-for-dollar reduction of such amounts as applicable.</w:t>
      </w:r>
    </w:p>
    <w:p>
      <w:pPr>
        <w:spacing w:after="0" w:line="119" w:lineRule="exact"/>
        <w:rPr>
          <w:rFonts w:ascii="Arial" w:cs="Arial" w:eastAsia="Arial" w:hAnsi="Arial"/>
          <w:sz w:val="16"/>
          <w:szCs w:val="16"/>
          <w:color w:val="auto"/>
        </w:rPr>
      </w:pPr>
    </w:p>
    <w:p>
      <w:pPr>
        <w:ind w:right="180" w:firstLine="906"/>
        <w:spacing w:after="0" w:line="291" w:lineRule="auto"/>
        <w:tabs>
          <w:tab w:leader="none" w:pos="113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Notice of Voluntary Termination or Reduction</w:t>
      </w:r>
      <w:r>
        <w:rPr>
          <w:rFonts w:ascii="Arial" w:cs="Arial" w:eastAsia="Arial" w:hAnsi="Arial"/>
          <w:sz w:val="16"/>
          <w:szCs w:val="16"/>
          <w:color w:val="auto"/>
        </w:rPr>
        <w:t xml:space="preserve">. The Borrower shall notify the Administrative Agent of any election to terminate or reduce the Commitments under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19" w:lineRule="exact"/>
        <w:rPr>
          <w:rFonts w:ascii="Arial" w:cs="Arial" w:eastAsia="Arial" w:hAnsi="Arial"/>
          <w:sz w:val="16"/>
          <w:szCs w:val="16"/>
          <w:color w:val="auto"/>
        </w:rPr>
      </w:pPr>
    </w:p>
    <w:p>
      <w:pPr>
        <w:ind w:right="280" w:firstLine="906"/>
        <w:spacing w:after="0" w:line="331" w:lineRule="auto"/>
        <w:tabs>
          <w:tab w:leader="none" w:pos="114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Effect of Termination or Reduction</w:t>
      </w:r>
      <w:r>
        <w:rPr>
          <w:rFonts w:ascii="Arial" w:cs="Arial" w:eastAsia="Arial" w:hAnsi="Arial"/>
          <w:sz w:val="16"/>
          <w:szCs w:val="16"/>
          <w:color w:val="auto"/>
        </w:rPr>
        <w:t>. Any termination or reduction of the Commitments of a Class shall be permanent. Each reduction of the Commitments of a Class shall be made ratably among the Lenders of such Class in accordance with their respective Commitments.</w:t>
      </w:r>
    </w:p>
    <w:p>
      <w:pPr>
        <w:spacing w:after="0" w:line="73"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89" w:name="page90"/>
    <w:bookmarkEnd w:id="89"/>
    <w:p>
      <w:pPr>
        <w:ind w:left="1140" w:hanging="234"/>
        <w:spacing w:after="0"/>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Increase of the Commitments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28"/>
        <w:spacing w:after="0" w:line="288" w:lineRule="auto"/>
        <w:tabs>
          <w:tab w:leader="none" w:pos="1101"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Requests for Increase by Borrower</w:t>
      </w:r>
      <w:r>
        <w:rPr>
          <w:rFonts w:ascii="Arial" w:cs="Arial" w:eastAsia="Arial" w:hAnsi="Arial"/>
          <w:sz w:val="16"/>
          <w:szCs w:val="16"/>
          <w:color w:val="auto"/>
        </w:rPr>
        <w:t>. The Borrower may, at any time, request that the Commitments hereunder of a Class be increased (each such proposed increase being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upon notice to the Administrative Agent (who shall promptly notify the Lenders), which notice shall specify the time period within which each Lender is requested to respond (which shall in no event be less than ten Business Days from the date of delivery of such notice to the Lenders). Any Lender not responding within such time period shall be deemed to have declined to increase its Commitment. The Borrower shall provide notice to the Administrative Agent specifying each existing Lender (each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and/or each additional lender (each an “</w:t>
      </w:r>
      <w:r>
        <w:rPr>
          <w:rFonts w:ascii="Arial" w:cs="Arial" w:eastAsia="Arial" w:hAnsi="Arial"/>
          <w:sz w:val="16"/>
          <w:szCs w:val="16"/>
          <w:u w:val="single" w:color="auto"/>
          <w:color w:val="auto"/>
        </w:rPr>
        <w:t>Assuming Lender</w:t>
      </w:r>
      <w:r>
        <w:rPr>
          <w:rFonts w:ascii="Arial" w:cs="Arial" w:eastAsia="Arial" w:hAnsi="Arial"/>
          <w:sz w:val="16"/>
          <w:szCs w:val="16"/>
          <w:color w:val="auto"/>
        </w:rPr>
        <w:t>”) that shall have agreed to an additional Commitment and the date on which such increase is to be effective (the “</w:t>
      </w:r>
      <w:r>
        <w:rPr>
          <w:rFonts w:ascii="Arial" w:cs="Arial" w:eastAsia="Arial" w:hAnsi="Arial"/>
          <w:sz w:val="16"/>
          <w:szCs w:val="16"/>
          <w:u w:val="single" w:color="auto"/>
          <w:color w:val="auto"/>
        </w:rPr>
        <w:t>Commitment Increase Date</w:t>
      </w:r>
      <w:r>
        <w:rPr>
          <w:rFonts w:ascii="Arial" w:cs="Arial" w:eastAsia="Arial" w:hAnsi="Arial"/>
          <w:sz w:val="16"/>
          <w:szCs w:val="16"/>
          <w:color w:val="auto"/>
        </w:rPr>
        <w:t xml:space="preserve">”), which shall be a Business Day at least three Business Days after delivery of such notice and 30 days prior to the Commitment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2" w:lineRule="exact"/>
        <w:rPr>
          <w:rFonts w:ascii="Arial" w:cs="Arial" w:eastAsia="Arial" w:hAnsi="Arial"/>
          <w:sz w:val="16"/>
          <w:szCs w:val="16"/>
          <w:color w:val="auto"/>
        </w:rPr>
      </w:pPr>
    </w:p>
    <w:p>
      <w:pPr>
        <w:ind w:left="900" w:right="60" w:firstLine="420"/>
        <w:spacing w:after="0" w:line="331" w:lineRule="auto"/>
        <w:tabs>
          <w:tab w:leader="none" w:pos="1601" w:val="left"/>
        </w:tabs>
        <w:numPr>
          <w:ilvl w:val="2"/>
          <w:numId w:val="59"/>
        </w:numPr>
        <w:rPr>
          <w:rFonts w:ascii="Arial" w:cs="Arial" w:eastAsia="Arial" w:hAnsi="Arial"/>
          <w:sz w:val="16"/>
          <w:szCs w:val="16"/>
          <w:color w:val="auto"/>
        </w:rPr>
      </w:pPr>
      <w:r>
        <w:rPr>
          <w:rFonts w:ascii="Arial" w:cs="Arial" w:eastAsia="Arial" w:hAnsi="Arial"/>
          <w:sz w:val="16"/>
          <w:szCs w:val="16"/>
          <w:color w:val="auto"/>
        </w:rPr>
        <w:t>the minimum amount of the Commitment of any Assuming Lender, and the minimum amount of the increase of the Commitment of any Increasing Lender, as part of such commitment Increase shall be $10,000,000 or a larger multiple of $5,000,000 in excess thereof;</w:t>
      </w:r>
    </w:p>
    <w:p>
      <w:pPr>
        <w:spacing w:after="0" w:line="5" w:lineRule="exact"/>
        <w:rPr>
          <w:rFonts w:ascii="Arial" w:cs="Arial" w:eastAsia="Arial" w:hAnsi="Arial"/>
          <w:sz w:val="16"/>
          <w:szCs w:val="16"/>
          <w:color w:val="auto"/>
        </w:rPr>
      </w:pPr>
    </w:p>
    <w:p>
      <w:pPr>
        <w:ind w:left="1600" w:hanging="280"/>
        <w:spacing w:after="0"/>
        <w:tabs>
          <w:tab w:leader="none" w:pos="1600" w:val="left"/>
        </w:tabs>
        <w:numPr>
          <w:ilvl w:val="2"/>
          <w:numId w:val="59"/>
        </w:numPr>
        <w:rPr>
          <w:rFonts w:ascii="Arial" w:cs="Arial" w:eastAsia="Arial" w:hAnsi="Arial"/>
          <w:sz w:val="16"/>
          <w:szCs w:val="16"/>
          <w:color w:val="auto"/>
        </w:rPr>
      </w:pPr>
      <w:r>
        <w:rPr>
          <w:rFonts w:ascii="Arial" w:cs="Arial" w:eastAsia="Arial" w:hAnsi="Arial"/>
          <w:sz w:val="16"/>
          <w:szCs w:val="16"/>
          <w:color w:val="auto"/>
        </w:rPr>
        <w:t>immediately after giving effect to such Commitment Increase, the total Commitments of all of the Lenders hereunder shall not exceed</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$600,000,000;</w:t>
      </w:r>
    </w:p>
    <w:p>
      <w:pPr>
        <w:spacing w:after="0" w:line="84" w:lineRule="exact"/>
        <w:rPr>
          <w:sz w:val="20"/>
          <w:szCs w:val="20"/>
          <w:color w:val="auto"/>
        </w:rPr>
      </w:pPr>
    </w:p>
    <w:p>
      <w:pPr>
        <w:ind w:left="1600" w:hanging="280"/>
        <w:spacing w:after="0"/>
        <w:tabs>
          <w:tab w:leader="none" w:pos="16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Assuming Lender shall be consented to by the Administrative Agent and the Issuing Bank;</w:t>
      </w:r>
    </w:p>
    <w:p>
      <w:pPr>
        <w:spacing w:after="0" w:line="90" w:lineRule="exact"/>
        <w:rPr>
          <w:rFonts w:ascii="Arial" w:cs="Arial" w:eastAsia="Arial" w:hAnsi="Arial"/>
          <w:sz w:val="18"/>
          <w:szCs w:val="18"/>
          <w:color w:val="auto"/>
        </w:rPr>
      </w:pPr>
    </w:p>
    <w:p>
      <w:pPr>
        <w:ind w:left="900" w:right="320" w:firstLine="420"/>
        <w:spacing w:after="0" w:line="268" w:lineRule="auto"/>
        <w:tabs>
          <w:tab w:leader="none" w:pos="1601"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such Commitment Increase Date or shall result from the proposed Commitment Increase; and</w:t>
      </w:r>
    </w:p>
    <w:p>
      <w:pPr>
        <w:spacing w:after="0" w:line="50" w:lineRule="exact"/>
        <w:rPr>
          <w:rFonts w:ascii="Arial" w:cs="Arial" w:eastAsia="Arial" w:hAnsi="Arial"/>
          <w:sz w:val="18"/>
          <w:szCs w:val="18"/>
          <w:color w:val="auto"/>
        </w:rPr>
      </w:pPr>
    </w:p>
    <w:p>
      <w:pPr>
        <w:ind w:left="900" w:right="40" w:firstLine="420"/>
        <w:spacing w:after="0" w:line="259" w:lineRule="auto"/>
        <w:tabs>
          <w:tab w:leader="none" w:pos="1581"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Agreement shall be true and correct on and as of the Commitment Increase Date as if made on and as of such date (or, if any such representation or warranty is expressly stated to have been made as of a specific date, as of such specific date).</w:t>
      </w:r>
    </w:p>
    <w:p>
      <w:pPr>
        <w:spacing w:after="0" w:line="58" w:lineRule="exact"/>
        <w:rPr>
          <w:rFonts w:ascii="Arial" w:cs="Arial" w:eastAsia="Arial" w:hAnsi="Arial"/>
          <w:sz w:val="18"/>
          <w:szCs w:val="18"/>
          <w:color w:val="auto"/>
        </w:rPr>
      </w:pPr>
    </w:p>
    <w:p>
      <w:pPr>
        <w:ind w:left="460" w:right="220" w:firstLine="428"/>
        <w:spacing w:after="0" w:line="259" w:lineRule="auto"/>
        <w:tabs>
          <w:tab w:leader="none" w:pos="1149"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Effectiveness of Commitment Increase by Borrower</w:t>
      </w:r>
      <w:r>
        <w:rPr>
          <w:rFonts w:ascii="Arial" w:cs="Arial" w:eastAsia="Arial" w:hAnsi="Arial"/>
          <w:sz w:val="18"/>
          <w:szCs w:val="18"/>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5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(x) the Administrative Agent shall have received on or prior to 11:00 a.m., Atlanta, Georgia time, on such Commitment Increase Date (or on</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or</w:t>
      </w:r>
    </w:p>
    <w:p>
      <w:pPr>
        <w:spacing w:after="0" w:line="151"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90" w:name="page91"/>
    <w:bookmarkEnd w:id="90"/>
    <w:p>
      <w:pPr>
        <w:ind w:left="900" w:right="120"/>
        <w:spacing w:after="0" w:line="33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prior to a time on an earlier date specified by the Administrative Agent) a certificate of a duly authorized officer of the Borrower stating that each of the applicable conditions to such commitment Increase set forth in the foregoing </w:t>
      </w:r>
      <w:r>
        <w:rPr>
          <w:rFonts w:ascii="Arial" w:cs="Arial" w:eastAsia="Arial" w:hAnsi="Arial"/>
          <w:sz w:val="16"/>
          <w:szCs w:val="16"/>
          <w:u w:val="single" w:color="auto"/>
          <w:color w:val="auto"/>
        </w:rPr>
        <w:t>paragraph (i)</w:t>
      </w:r>
      <w:r>
        <w:rPr>
          <w:rFonts w:ascii="Arial" w:cs="Arial" w:eastAsia="Arial" w:hAnsi="Arial"/>
          <w:sz w:val="16"/>
          <w:szCs w:val="16"/>
          <w:color w:val="auto"/>
        </w:rPr>
        <w:t xml:space="preserve"> has been satisfied; and</w:t>
      </w:r>
    </w:p>
    <w:p>
      <w:pPr>
        <w:spacing w:after="0" w:line="6" w:lineRule="exact"/>
        <w:rPr>
          <w:sz w:val="20"/>
          <w:szCs w:val="20"/>
          <w:color w:val="auto"/>
        </w:rPr>
      </w:pPr>
    </w:p>
    <w:p>
      <w:pPr>
        <w:ind w:left="900" w:right="40" w:firstLine="420"/>
        <w:spacing w:after="0" w:line="294" w:lineRule="auto"/>
        <w:tabs>
          <w:tab w:leader="none" w:pos="1562" w:val="left"/>
        </w:tabs>
        <w:numPr>
          <w:ilvl w:val="0"/>
          <w:numId w:val="62"/>
        </w:numPr>
        <w:rPr>
          <w:rFonts w:ascii="Arial" w:cs="Arial" w:eastAsia="Arial" w:hAnsi="Arial"/>
          <w:sz w:val="16"/>
          <w:szCs w:val="16"/>
          <w:color w:val="auto"/>
        </w:rPr>
      </w:pPr>
      <w:r>
        <w:rPr>
          <w:rFonts w:ascii="Arial" w:cs="Arial" w:eastAsia="Arial" w:hAnsi="Arial"/>
          <w:sz w:val="16"/>
          <w:szCs w:val="16"/>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and the Borrower and acknowledged by the Administrative Agent.</w:t>
      </w:r>
    </w:p>
    <w:p>
      <w:pPr>
        <w:spacing w:after="0" w:line="34" w:lineRule="exact"/>
        <w:rPr>
          <w:sz w:val="20"/>
          <w:szCs w:val="20"/>
          <w:color w:val="auto"/>
        </w:rPr>
      </w:pPr>
    </w:p>
    <w:p>
      <w:pPr>
        <w:ind w:left="460" w:right="180"/>
        <w:spacing w:after="0" w:line="331" w:lineRule="auto"/>
        <w:rPr>
          <w:sz w:val="20"/>
          <w:szCs w:val="20"/>
          <w:color w:val="auto"/>
        </w:rPr>
      </w:pPr>
      <w:r>
        <w:rPr>
          <w:rFonts w:ascii="Arial" w:cs="Arial" w:eastAsia="Arial" w:hAnsi="Arial"/>
          <w:sz w:val="16"/>
          <w:szCs w:val="16"/>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6" w:lineRule="exact"/>
        <w:rPr>
          <w:sz w:val="20"/>
          <w:szCs w:val="20"/>
          <w:color w:val="auto"/>
        </w:rPr>
      </w:pPr>
    </w:p>
    <w:p>
      <w:pPr>
        <w:ind w:left="460" w:right="80" w:firstLine="428"/>
        <w:spacing w:after="0" w:line="304" w:lineRule="auto"/>
        <w:tabs>
          <w:tab w:leader="none" w:pos="1198" w:val="left"/>
        </w:tabs>
        <w:numPr>
          <w:ilvl w:val="1"/>
          <w:numId w:val="63"/>
        </w:numPr>
        <w:rPr>
          <w:rFonts w:ascii="Arial" w:cs="Arial" w:eastAsia="Arial" w:hAnsi="Arial"/>
          <w:sz w:val="15"/>
          <w:szCs w:val="15"/>
          <w:color w:val="auto"/>
        </w:rPr>
      </w:pPr>
      <w:r>
        <w:rPr>
          <w:rFonts w:ascii="Arial" w:cs="Arial" w:eastAsia="Arial" w:hAnsi="Arial"/>
          <w:sz w:val="15"/>
          <w:szCs w:val="15"/>
          <w:u w:val="single" w:color="auto"/>
          <w:color w:val="auto"/>
        </w:rPr>
        <w:t>Recordation into Register</w:t>
      </w:r>
      <w:r>
        <w:rPr>
          <w:rFonts w:ascii="Arial" w:cs="Arial" w:eastAsia="Arial" w:hAnsi="Arial"/>
          <w:sz w:val="15"/>
          <w:szCs w:val="15"/>
          <w:color w:val="auto"/>
        </w:rPr>
        <w:t xml:space="preserve">. Upon its receipt of an agreement referred to in </w:t>
      </w:r>
      <w:r>
        <w:rPr>
          <w:rFonts w:ascii="Arial" w:cs="Arial" w:eastAsia="Arial" w:hAnsi="Arial"/>
          <w:sz w:val="15"/>
          <w:szCs w:val="15"/>
          <w:u w:val="single" w:color="auto"/>
          <w:color w:val="auto"/>
        </w:rPr>
        <w:t>clause (ii)(y)</w:t>
      </w:r>
      <w:r>
        <w:rPr>
          <w:rFonts w:ascii="Arial" w:cs="Arial" w:eastAsia="Arial" w:hAnsi="Arial"/>
          <w:sz w:val="15"/>
          <w:szCs w:val="15"/>
          <w:color w:val="auto"/>
        </w:rPr>
        <w:t xml:space="preserve"> above executed by an Assuming Lender or any Increasing Lender, together with the certificate referred to in </w:t>
      </w:r>
      <w:r>
        <w:rPr>
          <w:rFonts w:ascii="Arial" w:cs="Arial" w:eastAsia="Arial" w:hAnsi="Arial"/>
          <w:sz w:val="15"/>
          <w:szCs w:val="15"/>
          <w:u w:val="single" w:color="auto"/>
          <w:color w:val="auto"/>
        </w:rPr>
        <w:t>clause (ii)(x)</w:t>
      </w:r>
      <w:r>
        <w:rPr>
          <w:rFonts w:ascii="Arial" w:cs="Arial" w:eastAsia="Arial" w:hAnsi="Arial"/>
          <w:sz w:val="15"/>
          <w:szCs w:val="15"/>
          <w:color w:val="auto"/>
        </w:rPr>
        <w:t xml:space="preserve"> above, the Administrative Agent shall, if such agreement has been completed,</w:t>
      </w:r>
    </w:p>
    <w:p>
      <w:pPr>
        <w:spacing w:after="0" w:line="1" w:lineRule="exact"/>
        <w:rPr>
          <w:rFonts w:ascii="Arial" w:cs="Arial" w:eastAsia="Arial" w:hAnsi="Arial"/>
          <w:sz w:val="15"/>
          <w:szCs w:val="15"/>
          <w:color w:val="auto"/>
        </w:rPr>
      </w:pPr>
    </w:p>
    <w:p>
      <w:pPr>
        <w:ind w:left="700" w:hanging="243"/>
        <w:spacing w:after="0"/>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accept such agreement, (y) record the information contained therein in the Register and (z) give prompt notice thereof to the Borrower.</w:t>
      </w:r>
    </w:p>
    <w:p>
      <w:pPr>
        <w:spacing w:after="0" w:line="106" w:lineRule="exact"/>
        <w:rPr>
          <w:rFonts w:ascii="Arial" w:cs="Arial" w:eastAsia="Arial" w:hAnsi="Arial"/>
          <w:sz w:val="16"/>
          <w:szCs w:val="16"/>
          <w:color w:val="auto"/>
        </w:rPr>
      </w:pPr>
    </w:p>
    <w:p>
      <w:pPr>
        <w:ind w:left="460" w:right="40" w:firstLine="428"/>
        <w:spacing w:after="0" w:line="287" w:lineRule="auto"/>
        <w:tabs>
          <w:tab w:leader="none" w:pos="1188"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Adjustments of Borrowings upon Effectiveness of Increase</w:t>
      </w:r>
      <w:r>
        <w:rPr>
          <w:rFonts w:ascii="Arial" w:cs="Arial" w:eastAsia="Arial" w:hAnsi="Arial"/>
          <w:sz w:val="16"/>
          <w:szCs w:val="16"/>
          <w:color w:val="auto"/>
        </w:rPr>
        <w:t xml:space="preserve">. On the Commitment Increase Date, the Borrower shall (A) prepay the outstanding Loans (if any) of the affected Class in full, (B) simultaneously borrow new Loans of such Class hereunder in an amount equal to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0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44</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91" w:name="page92"/>
    <w:bookmarkEnd w:id="9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2.09.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90" w:lineRule="exact"/>
        <w:rPr>
          <w:sz w:val="20"/>
          <w:szCs w:val="20"/>
          <w:color w:val="auto"/>
        </w:rPr>
      </w:pPr>
    </w:p>
    <w:p>
      <w:pPr>
        <w:ind w:left="1140" w:hanging="234"/>
        <w:spacing w:after="0"/>
        <w:tabs>
          <w:tab w:leader="none" w:pos="114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The Borrower hereby unconditionally promises to pay the Loans of each Class as follows:</w:t>
      </w:r>
    </w:p>
    <w:p>
      <w:pPr>
        <w:spacing w:after="0" w:line="90" w:lineRule="exact"/>
        <w:rPr>
          <w:rFonts w:ascii="Arial" w:cs="Arial" w:eastAsia="Arial" w:hAnsi="Arial"/>
          <w:sz w:val="18"/>
          <w:szCs w:val="18"/>
          <w:color w:val="auto"/>
        </w:rPr>
      </w:pPr>
    </w:p>
    <w:p>
      <w:pPr>
        <w:ind w:left="460" w:right="220" w:firstLine="428"/>
        <w:spacing w:after="0" w:line="268" w:lineRule="auto"/>
        <w:tabs>
          <w:tab w:leader="none" w:pos="110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the Administrative Agent for account of the Lenders of such Class the outstanding principal amount of the Syndicated Loans of such Class on the Final Maturity Date; and</w:t>
      </w:r>
    </w:p>
    <w:p>
      <w:pPr>
        <w:spacing w:after="0" w:line="50" w:lineRule="exact"/>
        <w:rPr>
          <w:rFonts w:ascii="Arial" w:cs="Arial" w:eastAsia="Arial" w:hAnsi="Arial"/>
          <w:sz w:val="18"/>
          <w:szCs w:val="18"/>
          <w:color w:val="auto"/>
        </w:rPr>
      </w:pPr>
    </w:p>
    <w:p>
      <w:pPr>
        <w:ind w:left="460" w:right="180" w:firstLine="428"/>
        <w:spacing w:after="0" w:line="256" w:lineRule="auto"/>
        <w:tabs>
          <w:tab w:leader="none" w:pos="115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to the Swingline Lender the then unpaid principal amount of each Swingline Loan of such Class denominated in Dollars, on the earlier of the Commitment Termination Date and the first date after such Swingline Loan is made that is the 15th or last day of a calendar month and is at least ten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Syndicated Borrowing of such Class is made, the Borrower shall repay all Swingline Loans of such Class then outstanding.</w:t>
      </w:r>
    </w:p>
    <w:p>
      <w:pPr>
        <w:spacing w:after="0" w:line="143" w:lineRule="exact"/>
        <w:rPr>
          <w:sz w:val="20"/>
          <w:szCs w:val="20"/>
          <w:color w:val="auto"/>
        </w:rPr>
      </w:pPr>
    </w:p>
    <w:p>
      <w:pPr>
        <w:ind w:right="180" w:firstLine="898"/>
        <w:spacing w:after="0" w:line="298" w:lineRule="auto"/>
        <w:rPr>
          <w:sz w:val="20"/>
          <w:szCs w:val="20"/>
          <w:color w:val="auto"/>
        </w:rPr>
      </w:pPr>
      <w:r>
        <w:rPr>
          <w:rFonts w:ascii="Arial" w:cs="Arial" w:eastAsia="Arial" w:hAnsi="Arial"/>
          <w:sz w:val="16"/>
          <w:szCs w:val="16"/>
          <w:color w:val="auto"/>
        </w:rPr>
        <w:t>In addition, on the Commitment Termination Date, the Borrower shall deposit into the Letter of Credit Collateral Account Cash (denominated in the Currency of the Letter of Credit under which such LC Exposure arises) in an amount equal to 100% of the undrawn face amount of all Letters of Credit outstanding on the close of business on the Commitment Termination Date, such deposit to be held by the Administrative Agent as collateral security for the LC Exposure under this Agreement in respect of the undrawn portion of such Letters of Credit.</w:t>
      </w:r>
    </w:p>
    <w:p>
      <w:pPr>
        <w:spacing w:after="0" w:line="112" w:lineRule="exact"/>
        <w:rPr>
          <w:sz w:val="20"/>
          <w:szCs w:val="20"/>
          <w:color w:val="auto"/>
        </w:rPr>
      </w:pPr>
    </w:p>
    <w:p>
      <w:pPr>
        <w:ind w:right="20" w:firstLine="906"/>
        <w:spacing w:after="0" w:line="290" w:lineRule="auto"/>
        <w:tabs>
          <w:tab w:leader="none" w:pos="1147"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xml:space="preserve">. Prior to any repayment or prepayment of any Borrowings of any Class hereunder, the Borrower shall select the Borrowing or Borrowings of such Class to be paid and shall notify the Administrative Agent by telephone (confirmed by telecopy) of such selection not later than the time set forth in </w:t>
      </w:r>
      <w:r>
        <w:rPr>
          <w:rFonts w:ascii="Arial" w:cs="Arial" w:eastAsia="Arial" w:hAnsi="Arial"/>
          <w:sz w:val="16"/>
          <w:szCs w:val="16"/>
          <w:u w:val="single" w:color="auto"/>
          <w:color w:val="auto"/>
        </w:rPr>
        <w:t>Section 2.10(f)</w:t>
      </w:r>
      <w:r>
        <w:rPr>
          <w:rFonts w:ascii="Arial" w:cs="Arial" w:eastAsia="Arial" w:hAnsi="Arial"/>
          <w:sz w:val="16"/>
          <w:szCs w:val="16"/>
          <w:color w:val="auto"/>
        </w:rPr>
        <w:t xml:space="preserve"> prior to the scheduled date of such 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repayment of Borrowings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shall be applied ratably to the Loans included in such Borrowing.</w:t>
      </w:r>
    </w:p>
    <w:p>
      <w:pPr>
        <w:spacing w:after="0" w:line="117" w:lineRule="exact"/>
        <w:rPr>
          <w:rFonts w:ascii="Arial" w:cs="Arial" w:eastAsia="Arial" w:hAnsi="Arial"/>
          <w:sz w:val="16"/>
          <w:szCs w:val="16"/>
          <w:color w:val="auto"/>
        </w:rPr>
      </w:pPr>
    </w:p>
    <w:p>
      <w:pPr>
        <w:ind w:right="80" w:firstLine="906"/>
        <w:spacing w:after="0" w:line="259" w:lineRule="auto"/>
        <w:tabs>
          <w:tab w:leader="none" w:pos="113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Maintenance of Records by Lenders</w:t>
      </w:r>
      <w:r>
        <w:rPr>
          <w:rFonts w:ascii="Arial" w:cs="Arial" w:eastAsia="Arial" w:hAnsi="Arial"/>
          <w:sz w:val="18"/>
          <w:szCs w:val="18"/>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39" w:lineRule="exact"/>
        <w:rPr>
          <w:rFonts w:ascii="Arial" w:cs="Arial" w:eastAsia="Arial" w:hAnsi="Arial"/>
          <w:sz w:val="18"/>
          <w:szCs w:val="18"/>
          <w:color w:val="auto"/>
        </w:rPr>
      </w:pPr>
    </w:p>
    <w:p>
      <w:pPr>
        <w:ind w:right="100" w:firstLine="906"/>
        <w:spacing w:after="0" w:line="298" w:lineRule="auto"/>
        <w:tabs>
          <w:tab w:leader="none" w:pos="1147"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Maintenance of Records by the Administrative Agent</w:t>
      </w:r>
      <w:r>
        <w:rPr>
          <w:rFonts w:ascii="Arial" w:cs="Arial" w:eastAsia="Arial" w:hAnsi="Arial"/>
          <w:sz w:val="16"/>
          <w:szCs w:val="16"/>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pacing w:after="0" w:line="99"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45</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92" w:name="page93"/>
    <w:bookmarkEnd w:id="92"/>
    <w:p>
      <w:pPr>
        <w:ind w:right="80" w:firstLine="906"/>
        <w:spacing w:after="0" w:line="256" w:lineRule="auto"/>
        <w:tabs>
          <w:tab w:leader="none" w:pos="113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 of Entries</w:t>
      </w:r>
      <w:r>
        <w:rPr>
          <w:rFonts w:ascii="Arial" w:cs="Arial" w:eastAsia="Arial" w:hAnsi="Arial"/>
          <w:sz w:val="18"/>
          <w:szCs w:val="18"/>
          <w:color w:val="auto"/>
        </w:rPr>
        <w:t xml:space="preserve">. The entries made in the records maintained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absent obvious error,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42" w:lineRule="exact"/>
        <w:rPr>
          <w:rFonts w:ascii="Arial" w:cs="Arial" w:eastAsia="Arial" w:hAnsi="Arial"/>
          <w:sz w:val="18"/>
          <w:szCs w:val="18"/>
          <w:color w:val="auto"/>
        </w:rPr>
      </w:pPr>
    </w:p>
    <w:p>
      <w:pPr>
        <w:ind w:right="40" w:firstLine="906"/>
        <w:spacing w:after="0" w:line="294" w:lineRule="auto"/>
        <w:tabs>
          <w:tab w:leader="none" w:pos="1118"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Promissory Notes</w:t>
      </w:r>
      <w:r>
        <w:rPr>
          <w:rFonts w:ascii="Arial" w:cs="Arial" w:eastAsia="Arial" w:hAnsi="Arial"/>
          <w:sz w:val="16"/>
          <w:szCs w:val="16"/>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be represented by one or more promissory notes in such form payable to the payee named therein (or, if such promissory note is a registered note, to such payee and its registered assigns).</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90" w:lineRule="exact"/>
        <w:rPr>
          <w:sz w:val="20"/>
          <w:szCs w:val="20"/>
          <w:color w:val="auto"/>
        </w:rPr>
      </w:pPr>
    </w:p>
    <w:p>
      <w:pPr>
        <w:ind w:right="480" w:firstLine="906"/>
        <w:spacing w:after="0" w:line="268" w:lineRule="auto"/>
        <w:tabs>
          <w:tab w:leader="none" w:pos="1137"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xml:space="preserve">. The Borrower shall have the right at any time and from time to time to prepay any Borrowing in whole or in part, without premium or penalty except for payments under </w:t>
      </w:r>
      <w:r>
        <w:rPr>
          <w:rFonts w:ascii="Arial" w:cs="Arial" w:eastAsia="Arial" w:hAnsi="Arial"/>
          <w:sz w:val="18"/>
          <w:szCs w:val="18"/>
          <w:u w:val="single" w:color="auto"/>
          <w:color w:val="auto"/>
        </w:rPr>
        <w:t>Section 2.15</w:t>
      </w:r>
      <w:r>
        <w:rPr>
          <w:rFonts w:ascii="Arial" w:cs="Arial" w:eastAsia="Arial" w:hAnsi="Arial"/>
          <w:sz w:val="18"/>
          <w:szCs w:val="18"/>
          <w:color w:val="auto"/>
        </w:rPr>
        <w:t>, subject to the requirements of this Section.</w:t>
      </w:r>
    </w:p>
    <w:p>
      <w:pPr>
        <w:spacing w:after="0" w:line="131" w:lineRule="exact"/>
        <w:rPr>
          <w:rFonts w:ascii="Arial" w:cs="Arial" w:eastAsia="Arial" w:hAnsi="Arial"/>
          <w:sz w:val="18"/>
          <w:szCs w:val="18"/>
          <w:color w:val="auto"/>
        </w:rPr>
      </w:pPr>
    </w:p>
    <w:p>
      <w:pPr>
        <w:ind w:left="1160" w:hanging="254"/>
        <w:spacing w:after="0"/>
        <w:tabs>
          <w:tab w:leader="none" w:pos="116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Mandatory Prepayments due to Changes in Exchange Rates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60" w:firstLine="428"/>
        <w:spacing w:after="0" w:line="290" w:lineRule="auto"/>
        <w:tabs>
          <w:tab w:leader="none" w:pos="1101"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Determination of Amount Outstanding</w:t>
      </w:r>
      <w:r>
        <w:rPr>
          <w:rFonts w:ascii="Arial" w:cs="Arial" w:eastAsia="Arial" w:hAnsi="Arial"/>
          <w:sz w:val="16"/>
          <w:szCs w:val="16"/>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Atlanta, Georgia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36" w:lineRule="exact"/>
        <w:rPr>
          <w:rFonts w:ascii="Arial" w:cs="Arial" w:eastAsia="Arial" w:hAnsi="Arial"/>
          <w:sz w:val="16"/>
          <w:szCs w:val="16"/>
          <w:color w:val="auto"/>
        </w:rPr>
      </w:pPr>
    </w:p>
    <w:p>
      <w:pPr>
        <w:jc w:val="both"/>
        <w:ind w:left="460" w:firstLine="428"/>
        <w:spacing w:after="0" w:line="298" w:lineRule="auto"/>
        <w:tabs>
          <w:tab w:leader="none" w:pos="1149"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Prepayment</w:t>
      </w:r>
      <w:r>
        <w:rPr>
          <w:rFonts w:ascii="Arial" w:cs="Arial" w:eastAsia="Arial" w:hAnsi="Arial"/>
          <w:sz w:val="16"/>
          <w:szCs w:val="16"/>
          <w:color w:val="auto"/>
        </w:rPr>
        <w:t xml:space="preserve">. If on the date of such determination the aggregate Revolving Multicurrency Credit Exposure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Arial" w:cs="Arial" w:eastAsia="Arial" w:hAnsi="Arial"/>
          <w:sz w:val="16"/>
          <w:szCs w:val="16"/>
          <w:u w:val="single" w:color="auto"/>
          <w:color w:val="auto"/>
        </w:rPr>
        <w:t>Section 2.05(k))</w:t>
      </w:r>
      <w:r>
        <w:rPr>
          <w:rFonts w:ascii="Arial" w:cs="Arial" w:eastAsia="Arial" w:hAnsi="Arial"/>
          <w:sz w:val="16"/>
          <w:szCs w:val="16"/>
          <w:color w:val="auto"/>
        </w:rPr>
        <w:t xml:space="preserve"> within 15 Business Days</w:t>
      </w:r>
    </w:p>
    <w:p>
      <w:pPr>
        <w:spacing w:after="0" w:line="99"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46</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93" w:name="page94"/>
    <w:bookmarkEnd w:id="93"/>
    <w:p>
      <w:pPr>
        <w:ind w:left="460"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following the Borrower’s receipt of such request in such amounts as shall be necessary so that after giving effect thereto the aggregate Revolving Multicurrency Credit Exposure does not exceed the Multicurrency Commitments.</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Currency Valuation Notice</w:t>
      </w:r>
      <w:r>
        <w:rPr>
          <w:rFonts w:ascii="Arial" w:cs="Arial" w:eastAsia="Arial" w:hAnsi="Arial"/>
          <w:sz w:val="18"/>
          <w:szCs w:val="18"/>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43" w:lineRule="exact"/>
        <w:rPr>
          <w:sz w:val="20"/>
          <w:szCs w:val="20"/>
          <w:color w:val="auto"/>
        </w:rPr>
      </w:pPr>
    </w:p>
    <w:p>
      <w:pPr>
        <w:ind w:right="820" w:firstLine="898"/>
        <w:spacing w:after="0" w:line="268" w:lineRule="auto"/>
        <w:rPr>
          <w:sz w:val="20"/>
          <w:szCs w:val="20"/>
          <w:color w:val="auto"/>
        </w:rPr>
      </w:pPr>
      <w:r>
        <w:rPr>
          <w:rFonts w:ascii="Arial" w:cs="Arial" w:eastAsia="Arial" w:hAnsi="Arial"/>
          <w:sz w:val="18"/>
          <w:szCs w:val="18"/>
          <w:color w:val="auto"/>
        </w:rPr>
        <w:t xml:space="preserve">Any prepayment pursuant to this paragraph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Swingline Multicurrency Loans outstanding,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Syndicated Multicurrency Loans outstanding and </w:t>
      </w:r>
      <w:r>
        <w:rPr>
          <w:rFonts w:ascii="Arial" w:cs="Arial" w:eastAsia="Arial" w:hAnsi="Arial"/>
          <w:sz w:val="18"/>
          <w:szCs w:val="18"/>
          <w:u w:val="single" w:color="auto"/>
          <w:color w:val="auto"/>
        </w:rPr>
        <w:t>third</w:t>
      </w:r>
      <w:r>
        <w:rPr>
          <w:rFonts w:ascii="Arial" w:cs="Arial" w:eastAsia="Arial" w:hAnsi="Arial"/>
          <w:sz w:val="18"/>
          <w:szCs w:val="18"/>
          <w:color w:val="auto"/>
        </w:rPr>
        <w:t>, as cover for Multicurrency LC Exposure.</w:t>
      </w:r>
    </w:p>
    <w:p>
      <w:pPr>
        <w:spacing w:after="0" w:line="132" w:lineRule="exact"/>
        <w:rPr>
          <w:sz w:val="20"/>
          <w:szCs w:val="20"/>
          <w:color w:val="auto"/>
        </w:rPr>
      </w:pPr>
    </w:p>
    <w:p>
      <w:pPr>
        <w:ind w:right="40" w:firstLine="906"/>
        <w:spacing w:after="0" w:line="287" w:lineRule="auto"/>
        <w:tabs>
          <w:tab w:leader="none" w:pos="1137"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Mandatory Prepayments due to Borrowing Base Deficiency</w:t>
      </w:r>
      <w:r>
        <w:rPr>
          <w:rFonts w:ascii="Arial" w:cs="Arial" w:eastAsia="Arial" w:hAnsi="Arial"/>
          <w:sz w:val="16"/>
          <w:szCs w:val="16"/>
          <w:color w:val="auto"/>
        </w:rPr>
        <w:t xml:space="preserve">. In the event that at any time any Borrowing Base Deficiency shall exist, the Borrower shall, within two Business Days, prepay the Loans (or provide Cash Collateral for Letters of Credit as contemplated by </w:t>
      </w:r>
      <w:r>
        <w:rPr>
          <w:rFonts w:ascii="Arial" w:cs="Arial" w:eastAsia="Arial" w:hAnsi="Arial"/>
          <w:sz w:val="16"/>
          <w:szCs w:val="16"/>
          <w:u w:val="single" w:color="auto"/>
          <w:color w:val="auto"/>
        </w:rPr>
        <w:t>Section 2.05(k))</w:t>
      </w:r>
      <w:r>
        <w:rPr>
          <w:rFonts w:ascii="Arial" w:cs="Arial" w:eastAsia="Arial" w:hAnsi="Arial"/>
          <w:sz w:val="16"/>
          <w:szCs w:val="16"/>
          <w:color w:val="auto"/>
        </w:rPr>
        <w:t xml:space="preserve"> or reduce Other Covered Indebtedness in such amounts as shall be necessary so that such Borrowing Base Deficiency is immediately cured;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(and/or at such other times as the Borrower has knowledge of such Borrowing Base Deficiency), the Borrower shall present the Administrative Agent a reasonably feasible plan acceptable to the Administrative Agent in its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21" w:lineRule="exact"/>
        <w:rPr>
          <w:rFonts w:ascii="Arial" w:cs="Arial" w:eastAsia="Arial" w:hAnsi="Arial"/>
          <w:sz w:val="16"/>
          <w:szCs w:val="16"/>
          <w:color w:val="auto"/>
        </w:rPr>
      </w:pPr>
    </w:p>
    <w:p>
      <w:pPr>
        <w:ind w:right="40" w:firstLine="906"/>
        <w:spacing w:after="0" w:line="298" w:lineRule="auto"/>
        <w:tabs>
          <w:tab w:leader="none" w:pos="1147"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Mandatory Prepayments Due to Change in Investment Policies</w:t>
      </w:r>
      <w:r>
        <w:rPr>
          <w:rFonts w:ascii="Arial" w:cs="Arial" w:eastAsia="Arial" w:hAnsi="Arial"/>
          <w:sz w:val="16"/>
          <w:szCs w:val="16"/>
          <w:color w:val="auto"/>
        </w:rPr>
        <w:t>. In the event that at any time the Borrower or any of its Subsidiaries (other than Immaterial Subsidiaries) shall change or modify in any material respect the Investment Policies without the consent of the Required Lenders (other than a Permitted Policy Amendment), the Borrower shall prepay the Loans and Cash Collateralize the LC Exposure then outstanding in full, together with accrued interest thereon and all fees and other obligations of the Borrower accrued hereunder.</w:t>
      </w:r>
    </w:p>
    <w:p>
      <w:pPr>
        <w:spacing w:after="0" w:line="112" w:lineRule="exact"/>
        <w:rPr>
          <w:rFonts w:ascii="Arial" w:cs="Arial" w:eastAsia="Arial" w:hAnsi="Arial"/>
          <w:sz w:val="16"/>
          <w:szCs w:val="16"/>
          <w:color w:val="auto"/>
        </w:rPr>
      </w:pPr>
    </w:p>
    <w:p>
      <w:pPr>
        <w:ind w:right="380" w:firstLine="906"/>
        <w:spacing w:after="0" w:line="268" w:lineRule="auto"/>
        <w:tabs>
          <w:tab w:leader="none" w:pos="1137"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Mandatory Prepayments During Amortization Period</w:t>
      </w:r>
      <w:r>
        <w:rPr>
          <w:rFonts w:ascii="Arial" w:cs="Arial" w:eastAsia="Arial" w:hAnsi="Arial"/>
          <w:sz w:val="18"/>
          <w:szCs w:val="18"/>
          <w:color w:val="auto"/>
        </w:rPr>
        <w:t>. During the period commencing on the date immediately following the Commitment Termination Date and ending on the Final Maturity Date:</w:t>
      </w:r>
    </w:p>
    <w:p>
      <w:pPr>
        <w:spacing w:after="0" w:line="50" w:lineRule="exact"/>
        <w:rPr>
          <w:rFonts w:ascii="Arial" w:cs="Arial" w:eastAsia="Arial" w:hAnsi="Arial"/>
          <w:sz w:val="18"/>
          <w:szCs w:val="18"/>
          <w:color w:val="auto"/>
        </w:rPr>
      </w:pPr>
    </w:p>
    <w:p>
      <w:pPr>
        <w:ind w:left="460" w:right="180" w:firstLine="428"/>
        <w:spacing w:after="0" w:line="268" w:lineRule="auto"/>
        <w:tabs>
          <w:tab w:leader="none" w:pos="110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Asset Disposition</w:t>
      </w:r>
      <w:r>
        <w:rPr>
          <w:rFonts w:ascii="Arial" w:cs="Arial" w:eastAsia="Arial" w:hAnsi="Arial"/>
          <w:sz w:val="18"/>
          <w:szCs w:val="18"/>
          <w:color w:val="auto"/>
        </w:rPr>
        <w:t>. If the Borrower or any of its Subsidiaries (other than a Financing Subsidiary) Disposes of any property which results in the receipt by such Person of Net Cash Proceeds in excess of $2,000,000 in the aggregate since the</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47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94" w:name="page95"/>
    <w:bookmarkEnd w:id="94"/>
    <w:p>
      <w:pPr>
        <w:ind w:left="460"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Commitment Termination Date, the Borrower shall prepay an aggregate principal amount of Loans equal to 100% of such Net Cash Proceeds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Loans to be prepaid are Eurocurrency Loans, the Borrower may defer such prepayment until the last day of the Interest Period applicable to such Loans,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Administrative Agent may direct the application of such deposits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at any time and if the Administrative Agent does so, no amounts will be payable by the Borrower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43" w:lineRule="exact"/>
        <w:rPr>
          <w:sz w:val="20"/>
          <w:szCs w:val="20"/>
          <w:color w:val="auto"/>
        </w:rPr>
      </w:pPr>
    </w:p>
    <w:p>
      <w:pPr>
        <w:ind w:left="460" w:right="180" w:firstLine="428"/>
        <w:spacing w:after="0" w:line="298" w:lineRule="auto"/>
        <w:tabs>
          <w:tab w:leader="none" w:pos="1149"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Equity Issuance</w:t>
      </w:r>
      <w:r>
        <w:rPr>
          <w:rFonts w:ascii="Arial" w:cs="Arial" w:eastAsia="Arial" w:hAnsi="Arial"/>
          <w:sz w:val="16"/>
          <w:szCs w:val="16"/>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Loans equal to 75% of all Net Cash Proceeds received therefrom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460" w:right="320" w:firstLine="428"/>
        <w:spacing w:after="0" w:line="306" w:lineRule="auto"/>
        <w:tabs>
          <w:tab w:leader="none" w:pos="1198"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Upon the incurrence or issuance by the Borrower or any of its Subsidiaries (other than a Financing Subsidiary) of any Indebtedness,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1180" w:hanging="292"/>
        <w:spacing w:after="0"/>
        <w:tabs>
          <w:tab w:leader="none" w:pos="118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Extraordinary Receipt</w:t>
      </w:r>
      <w:r>
        <w:rPr>
          <w:rFonts w:ascii="Arial" w:cs="Arial" w:eastAsia="Arial" w:hAnsi="Arial"/>
          <w:sz w:val="16"/>
          <w:szCs w:val="16"/>
          <w:color w:val="auto"/>
        </w:rPr>
        <w:t>. Upon any Extraordinary Receipt (which, when taken with all other Extraordinary Receipts received after the</w:t>
      </w:r>
    </w:p>
    <w:p>
      <w:pPr>
        <w:spacing w:after="0" w:line="38" w:lineRule="exact"/>
        <w:rPr>
          <w:rFonts w:ascii="Arial" w:cs="Arial" w:eastAsia="Arial" w:hAnsi="Arial"/>
          <w:sz w:val="16"/>
          <w:szCs w:val="16"/>
          <w:color w:val="auto"/>
        </w:rPr>
      </w:pPr>
    </w:p>
    <w:p>
      <w:pPr>
        <w:jc w:val="both"/>
        <w:ind w:left="460" w:right="60"/>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Commitment Termination Date, exceeds $5,000,000 in the aggregate) received by or paid to or for the account of the Borrower or any of its Subsidiaries (other than a Financing Subsidiary), and not otherwise included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jc w:val="both"/>
        <w:ind w:left="460" w:right="140" w:firstLine="428"/>
        <w:spacing w:after="0" w:line="259" w:lineRule="auto"/>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Return of Capital</w:t>
      </w:r>
      <w:r>
        <w:rPr>
          <w:rFonts w:ascii="Arial" w:cs="Arial" w:eastAsia="Arial" w:hAnsi="Arial"/>
          <w:sz w:val="18"/>
          <w:szCs w:val="18"/>
          <w:color w:val="auto"/>
        </w:rPr>
        <w:t xml:space="preserve">. If any Obligor shall receive any Return of Capital, the Borrower shall prepay an aggregate principal amount of Loans equal to 90% of such Return of Capital (excluding amounts payable by the Borrower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no later than the fifth Business Day following the receipt of such Return of Capital (such prepayments to be applied as set forth in </w:t>
      </w:r>
      <w:r>
        <w:rPr>
          <w:rFonts w:ascii="Arial" w:cs="Arial" w:eastAsia="Arial" w:hAnsi="Arial"/>
          <w:sz w:val="18"/>
          <w:szCs w:val="18"/>
          <w:u w:val="single" w:color="auto"/>
          <w:color w:val="auto"/>
        </w:rPr>
        <w:t>Section 2.09(b))</w:t>
      </w:r>
      <w:r>
        <w:rPr>
          <w:rFonts w:ascii="Arial" w:cs="Arial" w:eastAsia="Arial" w:hAnsi="Arial"/>
          <w:sz w:val="18"/>
          <w:szCs w:val="18"/>
          <w:color w:val="auto"/>
        </w:rPr>
        <w:t>.</w:t>
      </w:r>
    </w:p>
    <w:p>
      <w:pPr>
        <w:spacing w:after="0" w:line="14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 xml:space="preserve">Notwithstanding the foregoing, Net Cash Proceeds required to be applied to the prepayment of the Loans pursuant to this </w:t>
      </w:r>
      <w:r>
        <w:rPr>
          <w:rFonts w:ascii="Arial" w:cs="Arial" w:eastAsia="Arial" w:hAnsi="Arial"/>
          <w:sz w:val="18"/>
          <w:szCs w:val="18"/>
          <w:u w:val="single" w:color="auto"/>
          <w:color w:val="auto"/>
        </w:rPr>
        <w:t>Section 2.10(e)</w:t>
      </w:r>
      <w:r>
        <w:rPr>
          <w:rFonts w:ascii="Arial" w:cs="Arial" w:eastAsia="Arial" w:hAnsi="Arial"/>
          <w:sz w:val="18"/>
          <w:szCs w:val="18"/>
          <w:color w:val="auto"/>
        </w:rPr>
        <w:t xml:space="preserve"> shall (A) be applied in accordance with the Guarantee and Security Agreement or intercreditor arrangement acceptable to the Administrative Agent in its sole discretion, as applicable, and (B) exclude the amount necessary</w:t>
      </w:r>
    </w:p>
    <w:p>
      <w:pPr>
        <w:spacing w:after="0" w:line="126"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48</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95" w:name="page96"/>
    <w:bookmarkEnd w:id="95"/>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for the Borrower to make all required distributions (which shall be no less than the amount estimated in good faith by Borrower under </w:t>
      </w:r>
      <w:r>
        <w:rPr>
          <w:rFonts w:ascii="Arial" w:cs="Arial" w:eastAsia="Arial" w:hAnsi="Arial"/>
          <w:sz w:val="18"/>
          <w:szCs w:val="18"/>
          <w:u w:val="single" w:color="auto"/>
          <w:color w:val="auto"/>
        </w:rPr>
        <w:t>Section 6.05(b)</w:t>
      </w:r>
      <w:r>
        <w:rPr>
          <w:rFonts w:ascii="Arial" w:cs="Arial" w:eastAsia="Arial" w:hAnsi="Arial"/>
          <w:sz w:val="18"/>
          <w:szCs w:val="18"/>
          <w:color w:val="auto"/>
        </w:rPr>
        <w:t xml:space="preserve"> herein) to maintain the status of a RIC under the Code and a “business development company” under the Investment Company Act for so long as the Borrower retains such status.</w:t>
      </w:r>
    </w:p>
    <w:p>
      <w:pPr>
        <w:spacing w:after="0" w:line="140" w:lineRule="exact"/>
        <w:rPr>
          <w:sz w:val="20"/>
          <w:szCs w:val="20"/>
          <w:color w:val="auto"/>
        </w:rPr>
      </w:pPr>
    </w:p>
    <w:p>
      <w:pPr>
        <w:ind w:right="60" w:firstLine="906"/>
        <w:spacing w:after="0" w:line="301" w:lineRule="auto"/>
        <w:tabs>
          <w:tab w:leader="none" w:pos="1118" w:val="left"/>
        </w:tabs>
        <w:numPr>
          <w:ilvl w:val="1"/>
          <w:numId w:val="74"/>
        </w:numPr>
        <w:rPr>
          <w:rFonts w:ascii="Arial" w:cs="Arial" w:eastAsia="Arial" w:hAnsi="Arial"/>
          <w:sz w:val="15"/>
          <w:szCs w:val="15"/>
          <w:color w:val="auto"/>
        </w:rPr>
      </w:pPr>
      <w:r>
        <w:rPr>
          <w:rFonts w:ascii="Arial" w:cs="Arial" w:eastAsia="Arial" w:hAnsi="Arial"/>
          <w:sz w:val="15"/>
          <w:szCs w:val="15"/>
          <w:u w:val="single" w:color="auto"/>
          <w:color w:val="auto"/>
        </w:rPr>
        <w:t>Notices, Etc</w:t>
      </w:r>
      <w:r>
        <w:rPr>
          <w:rFonts w:ascii="Arial" w:cs="Arial" w:eastAsia="Arial" w:hAnsi="Arial"/>
          <w:sz w:val="15"/>
          <w:szCs w:val="15"/>
          <w:color w:val="auto"/>
        </w:rPr>
        <w:t xml:space="preserve">. The Borrower shall notify the Administrative Agent (and, in the case of prepayment of a Swingline Loan, the Swingline Lender) by telephone (confirmed by telecopy) of any prepayment hereunder (i) in the case of prepayment of a Eurocurrency Borrowing denominated in Dollars (other than in the case of a prepayment pursuant to </w:t>
      </w:r>
      <w:r>
        <w:rPr>
          <w:rFonts w:ascii="Arial" w:cs="Arial" w:eastAsia="Arial" w:hAnsi="Arial"/>
          <w:sz w:val="15"/>
          <w:szCs w:val="15"/>
          <w:u w:val="single" w:color="auto"/>
          <w:color w:val="auto"/>
        </w:rPr>
        <w:t>Section 2.10(e))</w:t>
      </w:r>
      <w:r>
        <w:rPr>
          <w:rFonts w:ascii="Arial" w:cs="Arial" w:eastAsia="Arial" w:hAnsi="Arial"/>
          <w:sz w:val="15"/>
          <w:szCs w:val="15"/>
          <w:color w:val="auto"/>
        </w:rPr>
        <w:t xml:space="preserve">, not later than 11:00 a.m., Atlanta, Georgia time, three Business Days before the date of prepayment, (ii) in the case of prepayment of a Eurocurrency Borrowing denominated in a Foreign Currency (other than in the case of a prepayment pursuant to </w:t>
      </w:r>
      <w:r>
        <w:rPr>
          <w:rFonts w:ascii="Arial" w:cs="Arial" w:eastAsia="Arial" w:hAnsi="Arial"/>
          <w:sz w:val="15"/>
          <w:szCs w:val="15"/>
          <w:u w:val="single" w:color="auto"/>
          <w:color w:val="auto"/>
        </w:rPr>
        <w:t>Section 2.10(e))</w:t>
      </w:r>
      <w:r>
        <w:rPr>
          <w:rFonts w:ascii="Arial" w:cs="Arial" w:eastAsia="Arial" w:hAnsi="Arial"/>
          <w:sz w:val="15"/>
          <w:szCs w:val="15"/>
          <w:color w:val="auto"/>
        </w:rPr>
        <w:t xml:space="preserve">, not later than 11:00 a.m., London time, four Business Days before the date of prepayment, (iii) in the case of prepayment of a Syndicated ABR Borrowing (other than in the case of a prepayment pursuant to </w:t>
      </w:r>
      <w:r>
        <w:rPr>
          <w:rFonts w:ascii="Arial" w:cs="Arial" w:eastAsia="Arial" w:hAnsi="Arial"/>
          <w:sz w:val="15"/>
          <w:szCs w:val="15"/>
          <w:u w:val="single" w:color="auto"/>
          <w:color w:val="auto"/>
        </w:rPr>
        <w:t>Section 2.10(e))</w:t>
      </w:r>
      <w:r>
        <w:rPr>
          <w:rFonts w:ascii="Arial" w:cs="Arial" w:eastAsia="Arial" w:hAnsi="Arial"/>
          <w:sz w:val="15"/>
          <w:szCs w:val="15"/>
          <w:color w:val="auto"/>
        </w:rPr>
        <w:t>, not later than 11:00 a.m., Atlanta, Georgia time, one Business Day before the date of prepayment, (iv) in the case of prepayment of a Swingline Loan, not later than 11:00 a.m., Atlanta, Georgia time, on the date of prepayment, or</w:t>
      </w:r>
    </w:p>
    <w:p>
      <w:pPr>
        <w:spacing w:after="0" w:line="4" w:lineRule="exact"/>
        <w:rPr>
          <w:rFonts w:ascii="Arial" w:cs="Arial" w:eastAsia="Arial" w:hAnsi="Arial"/>
          <w:sz w:val="15"/>
          <w:szCs w:val="15"/>
          <w:color w:val="auto"/>
        </w:rPr>
      </w:pPr>
    </w:p>
    <w:p>
      <w:pPr>
        <w:ind w:right="20" w:firstLine="8"/>
        <w:spacing w:after="0" w:line="281" w:lineRule="auto"/>
        <w:tabs>
          <w:tab w:leader="none" w:pos="249"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in the case of any prepayment pursuant to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not later than 11:00 a.m., Atlanta, Georgia time, one Business Day before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 a notice of prepayment is given in connection with a conditional notice of termination of the Commitments of a Class as contemplated by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then such notice of prepayment may be revoked if such notice of termination is revoked in accordance with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(ii) any notice given in connection with</w:t>
      </w:r>
    </w:p>
    <w:p>
      <w:pPr>
        <w:spacing w:after="0" w:line="2"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Swingline Loan,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except as necessary to apply fully the required amount of a mandatory prepayment. Each prepayment of a Syndicated Borrowing of a Class shall be applied ratably to the Loans of such Class included in the prepaid Borrowing. Prepayments shall be accompanied by accrued interest to the extent required by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shall be made in the manner specified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90" w:lineRule="exact"/>
        <w:rPr>
          <w:sz w:val="20"/>
          <w:szCs w:val="20"/>
          <w:color w:val="auto"/>
        </w:rPr>
      </w:pPr>
    </w:p>
    <w:p>
      <w:pPr>
        <w:jc w:val="both"/>
        <w:ind w:firstLine="906"/>
        <w:spacing w:after="0" w:line="294" w:lineRule="auto"/>
        <w:tabs>
          <w:tab w:leader="none" w:pos="1137"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The Borrower agrees to pay to the Administrative Agent for account of each Lender a commitment fee, which shall accrue at a rate per annum equal to 0.50% on the average daily unused amount of the Dollar Commitment and Multicurrency Commitment, as applicable, of such Lender during the period from and including the date hereof to but excluding the earlier of the date such commitment terminates and the Commitment Termination Date. Accrued commitment fees shall be payable within one Business Day after each Quarterly Date and on the earlier of the date the Commitments of the respective Class terminate and the Commitment Termination Date, commencing on the first such date to</w:t>
      </w:r>
    </w:p>
    <w:p>
      <w:pPr>
        <w:spacing w:after="0" w:line="102"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49</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96" w:name="page97"/>
    <w:bookmarkEnd w:id="9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occur after the date hereof. All commitment fees shall be computed on the basis of a year of 360 days and shall be payable for the actual number of days elapsed (including the first day but excluding the last day). For purposes of computing commitment fees,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43" w:lineRule="exact"/>
        <w:rPr>
          <w:sz w:val="20"/>
          <w:szCs w:val="20"/>
          <w:color w:val="auto"/>
        </w:rPr>
      </w:pPr>
    </w:p>
    <w:p>
      <w:pPr>
        <w:ind w:right="40" w:firstLine="906"/>
        <w:spacing w:after="0" w:line="284" w:lineRule="auto"/>
        <w:tabs>
          <w:tab w:leader="none" w:pos="1147"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xml:space="preserve">. The Borrower agrees to pay (i) to the Administrative Agent for account of each Lender a participation fee with respect to its participations in Letters of Credit of each Class, which shall accrue at a rate per annum equal to the Applicable Margin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the Issuing Bank a fronting fee, which shall accrue at the rate of 0.125%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with respect to the Letters of Credit shall be payable on the Termination Date and the Borrower shall pay any such fees that have accrued and that are unpaid on the Termination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29" w:lineRule="exact"/>
        <w:rPr>
          <w:rFonts w:ascii="Arial" w:cs="Arial" w:eastAsia="Arial" w:hAnsi="Arial"/>
          <w:sz w:val="16"/>
          <w:szCs w:val="16"/>
          <w:color w:val="auto"/>
        </w:rPr>
      </w:pPr>
    </w:p>
    <w:p>
      <w:pPr>
        <w:ind w:right="200" w:firstLine="906"/>
        <w:spacing w:after="0" w:line="268" w:lineRule="auto"/>
        <w:tabs>
          <w:tab w:leader="none" w:pos="113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Administrative Agent Fees</w:t>
      </w:r>
      <w:r>
        <w:rPr>
          <w:rFonts w:ascii="Arial" w:cs="Arial" w:eastAsia="Arial" w:hAnsi="Arial"/>
          <w:sz w:val="18"/>
          <w:szCs w:val="18"/>
          <w:color w:val="auto"/>
        </w:rPr>
        <w:t>. The Borrower agrees to pay to the Administrative Agent, for its own account, fees payable in the amounts and at the times separately agreed upon between the Borrower and the Administrative Agent.</w:t>
      </w:r>
    </w:p>
    <w:p>
      <w:pPr>
        <w:spacing w:after="0" w:line="131" w:lineRule="exact"/>
        <w:rPr>
          <w:rFonts w:ascii="Arial" w:cs="Arial" w:eastAsia="Arial" w:hAnsi="Arial"/>
          <w:sz w:val="18"/>
          <w:szCs w:val="18"/>
          <w:color w:val="auto"/>
        </w:rPr>
      </w:pPr>
    </w:p>
    <w:p>
      <w:pPr>
        <w:ind w:right="200" w:firstLine="906"/>
        <w:spacing w:after="0" w:line="331" w:lineRule="auto"/>
        <w:tabs>
          <w:tab w:leader="none" w:pos="1147"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Payment of Fees</w:t>
      </w:r>
      <w:r>
        <w:rPr>
          <w:rFonts w:ascii="Arial" w:cs="Arial" w:eastAsia="Arial" w:hAnsi="Arial"/>
          <w:sz w:val="16"/>
          <w:szCs w:val="16"/>
          <w:color w:val="auto"/>
        </w:rPr>
        <w:t>. All fees payable hereunder shall be paid on the dates due, in Dollars (or, at the election of the Borrower with respect to any fees payable to the Issuing Bank on account of Letters of Credit issued in any Foreign Currency, in such Foreign Currency)</w:t>
      </w:r>
    </w:p>
    <w:p>
      <w:pPr>
        <w:spacing w:after="0" w:line="73"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50</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97" w:name="page98"/>
    <w:bookmarkEnd w:id="97"/>
    <w:p>
      <w:pPr>
        <w:ind w:right="260"/>
        <w:spacing w:after="0" w:line="33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immediately available funds, to the Administrative Agent (or to the Issuing Bank, in the case of fees payable to it) for distribution, in the case of facility fees and participation fees, to the Lenders entitled thereto. Fees paid shall not be refundable under any circumstances absent obvious error.</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90" w:lineRule="exact"/>
        <w:rPr>
          <w:sz w:val="20"/>
          <w:szCs w:val="20"/>
          <w:color w:val="auto"/>
        </w:rPr>
      </w:pPr>
    </w:p>
    <w:p>
      <w:pPr>
        <w:ind w:right="100" w:firstLine="906"/>
        <w:spacing w:after="0" w:line="268" w:lineRule="auto"/>
        <w:tabs>
          <w:tab w:leader="none" w:pos="1137"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ABR Loans</w:t>
      </w:r>
      <w:r>
        <w:rPr>
          <w:rFonts w:ascii="Arial" w:cs="Arial" w:eastAsia="Arial" w:hAnsi="Arial"/>
          <w:sz w:val="18"/>
          <w:szCs w:val="18"/>
          <w:color w:val="auto"/>
        </w:rPr>
        <w:t xml:space="preserve">. The Loans constituting each ABR Borrowing (including each Swingline Loan) shall bear interest at a rate per annum equal to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31" w:lineRule="exact"/>
        <w:rPr>
          <w:rFonts w:ascii="Arial" w:cs="Arial" w:eastAsia="Arial" w:hAnsi="Arial"/>
          <w:sz w:val="18"/>
          <w:szCs w:val="18"/>
          <w:color w:val="auto"/>
        </w:rPr>
      </w:pPr>
    </w:p>
    <w:p>
      <w:pPr>
        <w:ind w:right="120" w:firstLine="906"/>
        <w:spacing w:after="0" w:line="268"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Eurocurrency Loans</w:t>
      </w:r>
      <w:r>
        <w:rPr>
          <w:rFonts w:ascii="Arial" w:cs="Arial" w:eastAsia="Arial" w:hAnsi="Arial"/>
          <w:sz w:val="18"/>
          <w:szCs w:val="18"/>
          <w:color w:val="auto"/>
        </w:rPr>
        <w:t xml:space="preserve">. The Loans constituting each Eurocurrency Borrowing shall bear interest at a rate per annum equal to the Adjusted LIBO Rate for the related Interest Period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31" w:lineRule="exact"/>
        <w:rPr>
          <w:rFonts w:ascii="Arial" w:cs="Arial" w:eastAsia="Arial" w:hAnsi="Arial"/>
          <w:sz w:val="18"/>
          <w:szCs w:val="18"/>
          <w:color w:val="auto"/>
        </w:rPr>
      </w:pPr>
    </w:p>
    <w:p>
      <w:pPr>
        <w:ind w:right="80" w:firstLine="906"/>
        <w:spacing w:after="0" w:line="254" w:lineRule="auto"/>
        <w:tabs>
          <w:tab w:leader="none" w:pos="1137"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Default Interest</w:t>
      </w:r>
      <w:r>
        <w:rPr>
          <w:rFonts w:ascii="Arial" w:cs="Arial" w:eastAsia="Arial" w:hAnsi="Arial"/>
          <w:sz w:val="18"/>
          <w:szCs w:val="18"/>
          <w:color w:val="auto"/>
        </w:rPr>
        <w:t xml:space="preserve">. Notwithstanding the foregoing, if any Event of Default has occurred and is continuing, the interest rates applicable to Loans and any fee or other amount payable by the Borrower hereunder shall bear interest, after as well as before judgment, at a rate per annum equal to (i) in the case of principal of any Loan,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otherwise applicable to such Loan as provided above, (ii) in the case of any Letter of Credit,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fee otherwise applicable to such Letter of Credit as provided in </w:t>
      </w:r>
      <w:r>
        <w:rPr>
          <w:rFonts w:ascii="Arial" w:cs="Arial" w:eastAsia="Arial" w:hAnsi="Arial"/>
          <w:sz w:val="18"/>
          <w:szCs w:val="18"/>
          <w:u w:val="single" w:color="auto"/>
          <w:color w:val="auto"/>
        </w:rPr>
        <w:t>Section 2.11(b)(i)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in the case of any fee or other amount,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applicable to ABR Revolving Loans as provided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Section.</w:t>
      </w:r>
    </w:p>
    <w:p>
      <w:pPr>
        <w:spacing w:after="0" w:line="146" w:lineRule="exact"/>
        <w:rPr>
          <w:rFonts w:ascii="Arial" w:cs="Arial" w:eastAsia="Arial" w:hAnsi="Arial"/>
          <w:sz w:val="18"/>
          <w:szCs w:val="18"/>
          <w:color w:val="auto"/>
        </w:rPr>
      </w:pPr>
    </w:p>
    <w:p>
      <w:pPr>
        <w:ind w:right="80" w:firstLine="906"/>
        <w:spacing w:after="0" w:line="285" w:lineRule="auto"/>
        <w:tabs>
          <w:tab w:leader="none" w:pos="1147"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Payment of Interest</w:t>
      </w:r>
      <w:r>
        <w:rPr>
          <w:rFonts w:ascii="Arial" w:cs="Arial" w:eastAsia="Arial" w:hAnsi="Arial"/>
          <w:sz w:val="16"/>
          <w:szCs w:val="16"/>
          <w:color w:val="auto"/>
        </w:rPr>
        <w:t xml:space="preserve">. Accrued interest on each Loan shall be payable in arrears on each Interest Payment Date for such Loan in the Currency in which such Loan is denominated and, in the case of Syndicated Loans, upon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w:t>
      </w:r>
      <w:r>
        <w:rPr>
          <w:rFonts w:ascii="Arial" w:cs="Arial" w:eastAsia="Arial" w:hAnsi="Arial"/>
          <w:sz w:val="16"/>
          <w:szCs w:val="16"/>
          <w:u w:val="single" w:color="auto"/>
          <w:color w:val="auto"/>
        </w:rPr>
        <w:t>paragraph</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79"/>
        </w:numPr>
        <w:rPr>
          <w:rFonts w:ascii="Arial" w:cs="Arial" w:eastAsia="Arial" w:hAnsi="Arial"/>
          <w:sz w:val="16"/>
          <w:szCs w:val="16"/>
          <w:u w:val="single" w:color="auto"/>
          <w:color w:val="auto"/>
        </w:rPr>
      </w:pPr>
      <w:r>
        <w:rPr>
          <w:rFonts w:ascii="Arial" w:cs="Arial" w:eastAsia="Arial" w:hAnsi="Arial"/>
          <w:sz w:val="16"/>
          <w:szCs w:val="16"/>
          <w:color w:val="auto"/>
        </w:rPr>
        <w:t>of this Section shall be payable on demand, (ii) in the event of any repayment or prepayment of any Loan (other than a prepayment of a Syndicated ABR</w:t>
      </w:r>
    </w:p>
    <w:p>
      <w:pPr>
        <w:spacing w:after="0" w:line="32" w:lineRule="exact"/>
        <w:rPr>
          <w:rFonts w:ascii="Arial" w:cs="Arial" w:eastAsia="Arial" w:hAnsi="Arial"/>
          <w:sz w:val="16"/>
          <w:szCs w:val="16"/>
          <w:u w:val="single" w:color="auto"/>
          <w:color w:val="auto"/>
        </w:rPr>
      </w:pPr>
    </w:p>
    <w:p>
      <w:pPr>
        <w:spacing w:after="0" w:line="255" w:lineRule="auto"/>
        <w:rPr>
          <w:rFonts w:ascii="Arial" w:cs="Arial" w:eastAsia="Arial" w:hAnsi="Arial"/>
          <w:sz w:val="16"/>
          <w:szCs w:val="16"/>
          <w:u w:val="single" w:color="auto"/>
          <w:color w:val="auto"/>
        </w:rPr>
      </w:pPr>
      <w:r>
        <w:rPr>
          <w:rFonts w:ascii="Arial" w:cs="Arial" w:eastAsia="Arial" w:hAnsi="Arial"/>
          <w:sz w:val="18"/>
          <w:szCs w:val="18"/>
          <w:color w:val="auto"/>
        </w:rPr>
        <w:t>Loan prior to the Final Maturity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143" w:lineRule="exact"/>
        <w:rPr>
          <w:rFonts w:ascii="Arial" w:cs="Arial" w:eastAsia="Arial" w:hAnsi="Arial"/>
          <w:sz w:val="16"/>
          <w:szCs w:val="16"/>
          <w:u w:val="single" w:color="auto"/>
          <w:color w:val="auto"/>
        </w:rPr>
      </w:pPr>
    </w:p>
    <w:p>
      <w:pPr>
        <w:ind w:right="140" w:firstLine="906"/>
        <w:spacing w:after="0" w:line="294" w:lineRule="auto"/>
        <w:tabs>
          <w:tab w:leader="none" w:pos="1137"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Computation</w:t>
      </w:r>
      <w:r>
        <w:rPr>
          <w:rFonts w:ascii="Arial" w:cs="Arial" w:eastAsia="Arial" w:hAnsi="Arial"/>
          <w:sz w:val="16"/>
          <w:szCs w:val="16"/>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Canadian Dollars or Pounds Sterling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02"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51</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98" w:name="page99"/>
    <w:bookmarkEnd w:id="98"/>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2.13. </w:t>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 If prior to the commencement of the Interest Period for any Eurocurrency Borrowing of a Class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Currency of such Borrowing herein called the “</w:t>
      </w:r>
      <w:r>
        <w:rPr>
          <w:rFonts w:ascii="Arial" w:cs="Arial" w:eastAsia="Arial" w:hAnsi="Arial"/>
          <w:sz w:val="18"/>
          <w:szCs w:val="18"/>
          <w:u w:val="single" w:color="auto"/>
          <w:color w:val="auto"/>
        </w:rPr>
        <w:t>Affected Currency</w:t>
      </w:r>
      <w:r>
        <w:rPr>
          <w:rFonts w:ascii="Arial" w:cs="Arial" w:eastAsia="Arial" w:hAnsi="Arial"/>
          <w:sz w:val="18"/>
          <w:szCs w:val="18"/>
          <w:color w:val="auto"/>
        </w:rPr>
        <w:t>”):</w:t>
      </w:r>
    </w:p>
    <w:p>
      <w:pPr>
        <w:spacing w:after="0" w:line="165" w:lineRule="exact"/>
        <w:rPr>
          <w:sz w:val="20"/>
          <w:szCs w:val="20"/>
          <w:color w:val="auto"/>
        </w:rPr>
      </w:pPr>
    </w:p>
    <w:p>
      <w:pPr>
        <w:ind w:right="200" w:firstLine="906"/>
        <w:spacing w:after="0" w:line="268" w:lineRule="auto"/>
        <w:tabs>
          <w:tab w:leader="none" w:pos="11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LIBO Rate for the Affected Currency for such Interest Period; or</w:t>
      </w:r>
    </w:p>
    <w:p>
      <w:pPr>
        <w:spacing w:after="0" w:line="131" w:lineRule="exact"/>
        <w:rPr>
          <w:rFonts w:ascii="Arial" w:cs="Arial" w:eastAsia="Arial" w:hAnsi="Arial"/>
          <w:sz w:val="18"/>
          <w:szCs w:val="18"/>
          <w:color w:val="auto"/>
        </w:rPr>
      </w:pPr>
    </w:p>
    <w:p>
      <w:pPr>
        <w:ind w:right="180" w:firstLine="906"/>
        <w:spacing w:after="0" w:line="259"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of such Class that the Adjusted LIBO Rate for the Affected Currency for such Interest Period will not adequately and fairly reflect the cost to such Lenders of making or maintaining their respective Loans included in such Borrowing for such Interest Period;</w:t>
      </w:r>
    </w:p>
    <w:p>
      <w:pPr>
        <w:spacing w:after="0" w:line="14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then the Administrative Agent shall give notice thereof to the Borrower and the affected Lenders by telephone or telecopy as promptly as practicable thereafter and, until the Administrative Agent notifies the Borrower and such Lenders that the circumstances giving rise to such notice no longer exist, (i) any Interest Election Request that requests the conversion of any Syndicated 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 Eurocurrency Borrowing denominated in Dollars, such Borrowing shall be made as a Syndicated ABR Borrowing and (iii) if the Affected Currency is a Foreign Currency, any Borrowing Request that requests a Eurocurrency Borrowing denominated in the Affected Currency shall be ineffective.</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90" w:lineRule="exact"/>
        <w:rPr>
          <w:sz w:val="20"/>
          <w:szCs w:val="20"/>
          <w:color w:val="auto"/>
        </w:rPr>
      </w:pPr>
    </w:p>
    <w:p>
      <w:pPr>
        <w:ind w:left="1140" w:hanging="234"/>
        <w:spacing w:after="0"/>
        <w:tabs>
          <w:tab w:leader="none" w:pos="114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90" w:lineRule="exact"/>
        <w:rPr>
          <w:rFonts w:ascii="Arial" w:cs="Arial" w:eastAsia="Arial" w:hAnsi="Arial"/>
          <w:sz w:val="18"/>
          <w:szCs w:val="18"/>
          <w:color w:val="auto"/>
        </w:rPr>
      </w:pPr>
    </w:p>
    <w:p>
      <w:pPr>
        <w:ind w:left="460" w:right="420" w:firstLine="428"/>
        <w:spacing w:after="0" w:line="331" w:lineRule="auto"/>
        <w:tabs>
          <w:tab w:leader="none" w:pos="1101" w:val="left"/>
        </w:tabs>
        <w:numPr>
          <w:ilvl w:val="0"/>
          <w:numId w:val="82"/>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or similar requirement against assets of, deposits with or for account of, or credit extended by, any Lender (except any such reserve requirement reflected in the Adjusted LIBO Rate) or the Issuing Bank; or</w:t>
      </w:r>
    </w:p>
    <w:p>
      <w:pPr>
        <w:spacing w:after="0" w:line="5" w:lineRule="exact"/>
        <w:rPr>
          <w:rFonts w:ascii="Arial" w:cs="Arial" w:eastAsia="Arial" w:hAnsi="Arial"/>
          <w:sz w:val="16"/>
          <w:szCs w:val="16"/>
          <w:color w:val="auto"/>
        </w:rPr>
      </w:pPr>
    </w:p>
    <w:p>
      <w:pPr>
        <w:ind w:left="460" w:right="280" w:firstLine="428"/>
        <w:spacing w:after="0" w:line="268" w:lineRule="auto"/>
        <w:tabs>
          <w:tab w:leader="none" w:pos="115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impose on any Lender or the Issuing Bank or the London interbank market any other condition, cost or expense (other than Taxes) affecting this Agreement or Eurocurrency Loans made by such Lender or any Letter of Credit or participation therein;</w:t>
      </w:r>
    </w:p>
    <w:p>
      <w:pPr>
        <w:spacing w:after="0" w:line="13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and the result of any of the foregoing shall be to increase the cost to such Lenders of making, converting to, continuing or maintaining any Eurocurrency Loan (or of maintaining its obligation to make any such Loan) or to increase the cost to such Lender or the Issuing Bank of participating in, issuing or maintaining any Letter of Credit or to reduce the amount of any sum received or receivable by such Lender or the Issuing Bank hereunder (whether of principal, interest or otherwise), then the Borrower will pay to such Lender or the Issuing Bank, as the case may be, in Dollars, such additional amount or amounts as will compensate such Lender or the Issuing Bank, as the case may be, for such additional costs incurred or reduction suffered.</w:t>
      </w:r>
    </w:p>
    <w:p>
      <w:pPr>
        <w:spacing w:after="0" w:line="115" w:lineRule="exact"/>
        <w:rPr>
          <w:sz w:val="20"/>
          <w:szCs w:val="20"/>
          <w:color w:val="auto"/>
        </w:rPr>
      </w:pPr>
    </w:p>
    <w:p>
      <w:pPr>
        <w:ind w:right="80" w:firstLine="906"/>
        <w:spacing w:after="0" w:line="259"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Capital or Liquidity Requirements</w:t>
      </w:r>
      <w:r>
        <w:rPr>
          <w:rFonts w:ascii="Arial" w:cs="Arial" w:eastAsia="Arial" w:hAnsi="Arial"/>
          <w:sz w:val="18"/>
          <w:szCs w:val="18"/>
          <w:color w:val="auto"/>
        </w:rPr>
        <w:t>.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w:t>
      </w:r>
    </w:p>
    <w:p>
      <w:pPr>
        <w:spacing w:after="0" w:line="126"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52</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99" w:name="page100"/>
    <w:bookmarkEnd w:id="99"/>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or the Loans made by, or participations in Swingline Loans and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by an amount deemed to be material by such Lender or Issuing Bank, then from time to time the Borrower will pay to such Lender or the Issuing Bank, as the case may be, in Dollars, such additional amount or amounts as will compensate such Lender or the Issuing Bank or such Lender’s or the Issuing Bank’s holding company for any such reduction suffered.</w:t>
      </w:r>
    </w:p>
    <w:p>
      <w:pPr>
        <w:spacing w:after="0" w:line="120" w:lineRule="exact"/>
        <w:rPr>
          <w:sz w:val="20"/>
          <w:szCs w:val="20"/>
          <w:color w:val="auto"/>
        </w:rPr>
      </w:pPr>
    </w:p>
    <w:p>
      <w:pPr>
        <w:ind w:right="180" w:firstLine="906"/>
        <w:spacing w:after="0" w:line="256" w:lineRule="auto"/>
        <w:tabs>
          <w:tab w:leader="none" w:pos="113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Certificates from Lenders</w:t>
      </w:r>
      <w:r>
        <w:rPr>
          <w:rFonts w:ascii="Arial" w:cs="Arial" w:eastAsia="Arial" w:hAnsi="Arial"/>
          <w:sz w:val="18"/>
          <w:szCs w:val="18"/>
          <w:color w:val="auto"/>
        </w:rPr>
        <w:t xml:space="preserve">. A certificate of a Lender or the Issuing Bank setting forth the amount or amounts, in Dollars, necessary to compensate such Lender or the Issuing Bank or its holding company, as the case may be, as specified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shall be promptly delivered to the Borrower and shall be conclusive absent manifest error. The Borrower shall pay such Lender or the Issuing Bank, as the case may be, the amount shown as due on any such certificate within 10 days after receipt thereof.</w:t>
      </w:r>
    </w:p>
    <w:p>
      <w:pPr>
        <w:spacing w:after="0" w:line="142" w:lineRule="exact"/>
        <w:rPr>
          <w:rFonts w:ascii="Arial" w:cs="Arial" w:eastAsia="Arial" w:hAnsi="Arial"/>
          <w:sz w:val="18"/>
          <w:szCs w:val="18"/>
          <w:color w:val="auto"/>
        </w:rPr>
      </w:pPr>
    </w:p>
    <w:p>
      <w:pPr>
        <w:ind w:right="80" w:firstLine="906"/>
        <w:spacing w:after="0" w:line="291" w:lineRule="auto"/>
        <w:tabs>
          <w:tab w:leader="none" w:pos="1147"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the Issuing Bank pursuant to this Section for any increased costs or reductions incurred more than six months prior to the date that such Lender or the Issuing Bank, as the case may be, notifies the Borrower of the Change in Law giving rise to such increased costs or reductions and of such Lender’s or the Issuing Bank’s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Change in Law giving rise to such increased costs or reductions is retroactive, then the six-month period referred to above shall be extended to include the period of retroactive effect thereof.</w:t>
      </w:r>
    </w:p>
    <w:p>
      <w:pPr>
        <w:spacing w:after="0" w:line="120" w:lineRule="exact"/>
        <w:rPr>
          <w:sz w:val="20"/>
          <w:szCs w:val="20"/>
          <w:color w:val="auto"/>
        </w:rPr>
      </w:pPr>
    </w:p>
    <w:p>
      <w:pPr>
        <w:ind w:right="80" w:firstLine="898"/>
        <w:spacing w:after="0" w:line="288"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Eurocurrency Loan other than on the last day of an Interest Period therefor (including as a result of the occurrence of any Commitment Increase Date or an Event of Default), (b) the conversion of any Eurocurrency Loan other than on the last day of an Interest Period therefor, (c) the failure to borrow, convert, continue or prepay any Syndicated Loan on the date specified in any notice delivered pursuant hereto (including, in connection with any Commitment Increase Date, and regardless of whether such notice is permitted to be revocable under </w:t>
      </w:r>
      <w:r>
        <w:rPr>
          <w:rFonts w:ascii="Arial" w:cs="Arial" w:eastAsia="Arial" w:hAnsi="Arial"/>
          <w:sz w:val="16"/>
          <w:szCs w:val="16"/>
          <w:u w:val="single" w:color="auto"/>
          <w:color w:val="auto"/>
        </w:rPr>
        <w:t>Section 2.10(f)</w:t>
      </w:r>
      <w:r>
        <w:rPr>
          <w:rFonts w:ascii="Arial" w:cs="Arial" w:eastAsia="Arial" w:hAnsi="Arial"/>
          <w:sz w:val="16"/>
          <w:szCs w:val="16"/>
          <w:color w:val="auto"/>
        </w:rPr>
        <w:t xml:space="preserve"> and is revoked in accordance herewith), or (d) the assignment as a result of a request by the Borrower pursuant to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of any Eurocurrency Loan other than on the last day of an Interest Period therefor, then, in any such event, the Borrower shall compensate each Lender for the loss, cost and expense attributable to such event. In the case of a Eurocurrency Loan, the loss to any Lender attributable to any such event shall be deemed to include an amount determined by such Lender to be equal to the excess, if any, of</w:t>
      </w:r>
    </w:p>
    <w:p>
      <w:pPr>
        <w:spacing w:after="0" w:line="43" w:lineRule="exact"/>
        <w:rPr>
          <w:sz w:val="20"/>
          <w:szCs w:val="20"/>
          <w:color w:val="auto"/>
        </w:rPr>
      </w:pPr>
    </w:p>
    <w:p>
      <w:pPr>
        <w:jc w:val="both"/>
        <w:ind w:left="460" w:right="360" w:firstLine="428"/>
        <w:spacing w:after="0" w:line="259" w:lineRule="auto"/>
        <w:tabs>
          <w:tab w:leader="none" w:pos="110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w:t>
      </w:r>
    </w:p>
    <w:p>
      <w:pPr>
        <w:spacing w:after="0" w:line="126"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53</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00" w:name="page101"/>
    <w:bookmarkEnd w:id="100"/>
    <w:p>
      <w:pPr>
        <w:ind w:left="460"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convert or continue, the duration of the Interest Period that would have resulted from such borrowing, conversion or continuation) if the interest rate payable on such deposit were equal to the Adjusted LIBO Rate for such Currency for such Interest Period, </w:t>
      </w:r>
      <w:r>
        <w:rPr>
          <w:rFonts w:ascii="Arial" w:cs="Arial" w:eastAsia="Arial" w:hAnsi="Arial"/>
          <w:sz w:val="18"/>
          <w:szCs w:val="18"/>
          <w:u w:val="single" w:color="auto"/>
          <w:color w:val="auto"/>
        </w:rPr>
        <w:t>over</w:t>
      </w:r>
    </w:p>
    <w:p>
      <w:pPr>
        <w:spacing w:after="0" w:line="51" w:lineRule="exact"/>
        <w:rPr>
          <w:sz w:val="20"/>
          <w:szCs w:val="20"/>
          <w:color w:val="auto"/>
        </w:rPr>
      </w:pPr>
    </w:p>
    <w:p>
      <w:pPr>
        <w:ind w:left="460" w:right="200" w:firstLine="428"/>
        <w:spacing w:after="0" w:line="259" w:lineRule="auto"/>
        <w:tabs>
          <w:tab w:leader="none" w:pos="115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90" w:lineRule="exact"/>
        <w:rPr>
          <w:sz w:val="20"/>
          <w:szCs w:val="20"/>
          <w:color w:val="auto"/>
        </w:rPr>
      </w:pPr>
    </w:p>
    <w:p>
      <w:pPr>
        <w:ind w:right="240" w:firstLine="906"/>
        <w:spacing w:after="0" w:line="291" w:lineRule="auto"/>
        <w:tabs>
          <w:tab w:leader="none" w:pos="1137"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19" w:lineRule="exact"/>
        <w:rPr>
          <w:rFonts w:ascii="Arial" w:cs="Arial" w:eastAsia="Arial" w:hAnsi="Arial"/>
          <w:sz w:val="16"/>
          <w:szCs w:val="16"/>
          <w:color w:val="auto"/>
        </w:rPr>
      </w:pPr>
    </w:p>
    <w:p>
      <w:pPr>
        <w:ind w:right="460" w:firstLine="906"/>
        <w:spacing w:after="0" w:line="268"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In addition, the Borrower shall pay any Other Taxes to the relevant Governmental Authority in accordance with applicable law.</w:t>
      </w:r>
    </w:p>
    <w:p>
      <w:pPr>
        <w:spacing w:after="0" w:line="131" w:lineRule="exact"/>
        <w:rPr>
          <w:rFonts w:ascii="Arial" w:cs="Arial" w:eastAsia="Arial" w:hAnsi="Arial"/>
          <w:sz w:val="18"/>
          <w:szCs w:val="18"/>
          <w:color w:val="auto"/>
        </w:rPr>
      </w:pPr>
    </w:p>
    <w:p>
      <w:pPr>
        <w:ind w:right="60" w:firstLine="906"/>
        <w:spacing w:after="0" w:line="288" w:lineRule="auto"/>
        <w:tabs>
          <w:tab w:leader="none" w:pos="1137"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each Lender and the Issuing Bank for and, within 10 Business Days after written demand therefor, pay the full amount of any Indemnified Taxes or Other Taxes (including Indemnified Taxes or Other Taxes imposed or asserted on or attributable to amounts payable under this Section) paid by the Administrative Agent, such Lender or the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gross negligence or willful misconduct of the Administrative Agent, such Lender or the Issuing Bank. A certificate as to the amount of such payment or liability delivered to the Borrower by a Lender or the Issuing Bank, or by the Administrative Agent on its own behalf or on behalf of a Lender or the Issuing Bank, shall be conclusive absent manifest error.</w:t>
      </w:r>
    </w:p>
    <w:p>
      <w:pPr>
        <w:spacing w:after="0" w:line="110"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54</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01" w:name="page102"/>
    <w:bookmarkEnd w:id="101"/>
    <w:p>
      <w:pPr>
        <w:ind w:right="40" w:firstLine="906"/>
        <w:spacing w:after="0" w:line="282" w:lineRule="auto"/>
        <w:tabs>
          <w:tab w:leader="none" w:pos="1147"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 by the Lenders</w:t>
      </w:r>
      <w:r>
        <w:rPr>
          <w:rFonts w:ascii="Arial" w:cs="Arial" w:eastAsia="Arial" w:hAnsi="Arial"/>
          <w:sz w:val="16"/>
          <w:szCs w:val="16"/>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6"/>
          <w:szCs w:val="16"/>
          <w:u w:val="single" w:color="auto"/>
          <w:color w:val="auto"/>
        </w:rPr>
        <w:t>Section 9.04(f)</w:t>
      </w:r>
      <w:r>
        <w:rPr>
          <w:rFonts w:ascii="Arial" w:cs="Arial" w:eastAsia="Arial" w:hAnsi="Arial"/>
          <w:sz w:val="16"/>
          <w:szCs w:val="16"/>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6"/>
          <w:szCs w:val="16"/>
          <w:u w:val="single" w:color="auto"/>
          <w:color w:val="auto"/>
        </w:rPr>
        <w:t>paragraph</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164" w:lineRule="exact"/>
        <w:rPr>
          <w:rFonts w:ascii="Arial" w:cs="Arial" w:eastAsia="Arial" w:hAnsi="Arial"/>
          <w:sz w:val="16"/>
          <w:szCs w:val="16"/>
          <w:color w:val="auto"/>
        </w:rPr>
      </w:pPr>
    </w:p>
    <w:p>
      <w:pPr>
        <w:ind w:right="100" w:firstLine="906"/>
        <w:spacing w:after="0" w:line="306" w:lineRule="auto"/>
        <w:tabs>
          <w:tab w:leader="none" w:pos="1137"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06" w:lineRule="exact"/>
        <w:rPr>
          <w:rFonts w:ascii="Arial" w:cs="Arial" w:eastAsia="Arial" w:hAnsi="Arial"/>
          <w:sz w:val="16"/>
          <w:szCs w:val="16"/>
          <w:color w:val="auto"/>
        </w:rPr>
      </w:pPr>
    </w:p>
    <w:p>
      <w:pPr>
        <w:ind w:right="20" w:firstLine="906"/>
        <w:spacing w:after="0" w:line="287" w:lineRule="auto"/>
        <w:tabs>
          <w:tab w:leader="none" w:pos="1118"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Tax Documentation</w:t>
      </w:r>
      <w:r>
        <w:rPr>
          <w:rFonts w:ascii="Arial" w:cs="Arial" w:eastAsia="Arial" w:hAnsi="Arial"/>
          <w:sz w:val="16"/>
          <w:szCs w:val="16"/>
          <w:color w:val="auto"/>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2.16(f)(ii)</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22" w:lineRule="exact"/>
        <w:rPr>
          <w:sz w:val="20"/>
          <w:szCs w:val="20"/>
          <w:color w:val="auto"/>
        </w:rPr>
      </w:pPr>
    </w:p>
    <w:p>
      <w:pPr>
        <w:ind w:left="1160" w:hanging="254"/>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90" w:lineRule="exact"/>
        <w:rPr>
          <w:rFonts w:ascii="Arial" w:cs="Arial" w:eastAsia="Arial" w:hAnsi="Arial"/>
          <w:sz w:val="18"/>
          <w:szCs w:val="18"/>
          <w:color w:val="auto"/>
        </w:rPr>
      </w:pPr>
    </w:p>
    <w:p>
      <w:pPr>
        <w:ind w:left="900" w:right="200" w:firstLine="420"/>
        <w:spacing w:after="0" w:line="306" w:lineRule="auto"/>
        <w:tabs>
          <w:tab w:leader="none" w:pos="1601"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Lender that is a “United States person” (as defined under Section 7701(a)(30) of the Code) shall deliver to the Borrower and the Administrative Agent (and such additional copies as shall be reasonably requested by the recipient) on or prior to the date on which such Lender become a Lender under this Agreement (and from time to time thereafter upon the reasonable</w:t>
      </w:r>
    </w:p>
    <w:p>
      <w:pPr>
        <w:spacing w:after="0" w:line="93"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55</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02" w:name="page103"/>
    <w:bookmarkEnd w:id="102"/>
    <w:p>
      <w:pPr>
        <w:ind w:left="900"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request of the Borrower or the Administrative Agent), duly completed and executed copies of Internal Revenue Service Form W-9 or any successor form certifying that such Lender is exempt from U.S. federal backup withholding tax; and</w:t>
      </w:r>
    </w:p>
    <w:p>
      <w:pPr>
        <w:spacing w:after="0" w:line="51" w:lineRule="exact"/>
        <w:rPr>
          <w:sz w:val="20"/>
          <w:szCs w:val="20"/>
          <w:color w:val="auto"/>
        </w:rPr>
      </w:pPr>
    </w:p>
    <w:p>
      <w:pPr>
        <w:ind w:left="900" w:right="20" w:firstLine="420"/>
        <w:spacing w:after="0" w:line="256" w:lineRule="auto"/>
        <w:tabs>
          <w:tab w:leader="none" w:pos="1591" w:val="left"/>
        </w:tabs>
        <w:numPr>
          <w:ilvl w:val="1"/>
          <w:numId w:val="90"/>
        </w:numPr>
        <w:rPr>
          <w:rFonts w:ascii="Arial" w:cs="Arial" w:eastAsia="Arial" w:hAnsi="Arial"/>
          <w:sz w:val="18"/>
          <w:szCs w:val="18"/>
          <w:color w:val="auto"/>
        </w:rPr>
      </w:pPr>
      <w:r>
        <w:rPr>
          <w:rFonts w:ascii="Arial" w:cs="Arial" w:eastAsia="Arial" w:hAnsi="Arial"/>
          <w:sz w:val="18"/>
          <w:szCs w:val="18"/>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61" w:lineRule="exact"/>
        <w:rPr>
          <w:rFonts w:ascii="Arial" w:cs="Arial" w:eastAsia="Arial" w:hAnsi="Arial"/>
          <w:sz w:val="18"/>
          <w:szCs w:val="18"/>
          <w:color w:val="auto"/>
        </w:rPr>
      </w:pPr>
    </w:p>
    <w:p>
      <w:pPr>
        <w:ind w:left="1460" w:right="200" w:firstLine="399"/>
        <w:spacing w:after="0" w:line="268" w:lineRule="auto"/>
        <w:tabs>
          <w:tab w:leader="none" w:pos="2138" w:val="left"/>
        </w:tabs>
        <w:numPr>
          <w:ilvl w:val="3"/>
          <w:numId w:val="90"/>
        </w:numPr>
        <w:rPr>
          <w:rFonts w:ascii="Arial" w:cs="Arial" w:eastAsia="Arial" w:hAnsi="Arial"/>
          <w:sz w:val="18"/>
          <w:szCs w:val="18"/>
          <w:color w:val="auto"/>
        </w:rPr>
      </w:pPr>
      <w:r>
        <w:rPr>
          <w:rFonts w:ascii="Arial" w:cs="Arial" w:eastAsia="Arial" w:hAnsi="Arial"/>
          <w:sz w:val="18"/>
          <w:szCs w:val="18"/>
          <w:color w:val="auto"/>
        </w:rPr>
        <w:t>duly completed and executed copies of Internal Revenue Service Form W-8BEN or any successor form claiming eligibility for benefits of an income tax treaty to which the United States is a party,</w:t>
      </w:r>
    </w:p>
    <w:p>
      <w:pPr>
        <w:spacing w:after="0" w:line="50" w:lineRule="exact"/>
        <w:rPr>
          <w:rFonts w:ascii="Arial" w:cs="Arial" w:eastAsia="Arial" w:hAnsi="Arial"/>
          <w:sz w:val="18"/>
          <w:szCs w:val="18"/>
          <w:color w:val="auto"/>
        </w:rPr>
      </w:pPr>
    </w:p>
    <w:p>
      <w:pPr>
        <w:ind w:left="1460" w:right="280" w:firstLine="399"/>
        <w:spacing w:after="0" w:line="331" w:lineRule="auto"/>
        <w:tabs>
          <w:tab w:leader="none" w:pos="2099" w:val="left"/>
        </w:tabs>
        <w:numPr>
          <w:ilvl w:val="3"/>
          <w:numId w:val="90"/>
        </w:numPr>
        <w:rPr>
          <w:rFonts w:ascii="Arial" w:cs="Arial" w:eastAsia="Arial" w:hAnsi="Arial"/>
          <w:sz w:val="16"/>
          <w:szCs w:val="16"/>
          <w:color w:val="auto"/>
        </w:rPr>
      </w:pPr>
      <w:r>
        <w:rPr>
          <w:rFonts w:ascii="Arial" w:cs="Arial" w:eastAsia="Arial" w:hAnsi="Arial"/>
          <w:sz w:val="16"/>
          <w:szCs w:val="16"/>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5" w:lineRule="exact"/>
        <w:rPr>
          <w:rFonts w:ascii="Arial" w:cs="Arial" w:eastAsia="Arial" w:hAnsi="Arial"/>
          <w:sz w:val="16"/>
          <w:szCs w:val="16"/>
          <w:color w:val="auto"/>
        </w:rPr>
      </w:pPr>
    </w:p>
    <w:p>
      <w:pPr>
        <w:ind w:left="2100" w:hanging="241"/>
        <w:spacing w:after="0"/>
        <w:tabs>
          <w:tab w:leader="none" w:pos="2100" w:val="left"/>
        </w:tabs>
        <w:numPr>
          <w:ilvl w:val="3"/>
          <w:numId w:val="90"/>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38" w:lineRule="exact"/>
        <w:rPr>
          <w:rFonts w:ascii="Arial" w:cs="Arial" w:eastAsia="Arial" w:hAnsi="Arial"/>
          <w:sz w:val="16"/>
          <w:szCs w:val="16"/>
          <w:color w:val="auto"/>
        </w:rPr>
      </w:pPr>
    </w:p>
    <w:p>
      <w:pPr>
        <w:ind w:left="1460" w:right="40" w:firstLine="8"/>
        <w:spacing w:after="0" w:line="295" w:lineRule="auto"/>
        <w:tabs>
          <w:tab w:leader="none" w:pos="1708" w:val="left"/>
        </w:tabs>
        <w:numPr>
          <w:ilvl w:val="2"/>
          <w:numId w:val="90"/>
        </w:numPr>
        <w:rPr>
          <w:rFonts w:ascii="Arial" w:cs="Arial" w:eastAsia="Arial" w:hAnsi="Arial"/>
          <w:sz w:val="16"/>
          <w:szCs w:val="16"/>
          <w:color w:val="auto"/>
        </w:rPr>
      </w:pPr>
      <w:r>
        <w:rPr>
          <w:rFonts w:ascii="Arial" w:cs="Arial" w:eastAsia="Arial" w:hAnsi="Arial"/>
          <w:sz w:val="16"/>
          <w:szCs w:val="16"/>
          <w:color w:val="auto"/>
        </w:rPr>
        <w:t>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 copies of Internal Revenue Service Form W-8BEN (or any successor form) certifying that the Foreign Lender is not a United States Person, or</w:t>
      </w:r>
    </w:p>
    <w:p>
      <w:pPr>
        <w:spacing w:after="0" w:line="34" w:lineRule="exact"/>
        <w:rPr>
          <w:rFonts w:ascii="Arial" w:cs="Arial" w:eastAsia="Arial" w:hAnsi="Arial"/>
          <w:sz w:val="16"/>
          <w:szCs w:val="16"/>
          <w:color w:val="auto"/>
        </w:rPr>
      </w:pPr>
    </w:p>
    <w:p>
      <w:pPr>
        <w:ind w:left="1460" w:right="60" w:firstLine="399"/>
        <w:spacing w:after="0" w:line="306" w:lineRule="auto"/>
        <w:tabs>
          <w:tab w:leader="none" w:pos="2089" w:val="left"/>
        </w:tabs>
        <w:numPr>
          <w:ilvl w:val="3"/>
          <w:numId w:val="91"/>
        </w:numPr>
        <w:rPr>
          <w:rFonts w:ascii="Arial" w:cs="Arial" w:eastAsia="Arial" w:hAnsi="Arial"/>
          <w:sz w:val="16"/>
          <w:szCs w:val="16"/>
          <w:color w:val="auto"/>
        </w:rPr>
      </w:pPr>
      <w:r>
        <w:rPr>
          <w:rFonts w:ascii="Arial" w:cs="Arial" w:eastAsia="Arial" w:hAnsi="Arial"/>
          <w:sz w:val="16"/>
          <w:szCs w:val="16"/>
          <w:color w:val="auto"/>
        </w:rPr>
        <w:t>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25" w:lineRule="exact"/>
        <w:rPr>
          <w:rFonts w:ascii="Arial" w:cs="Arial" w:eastAsia="Arial" w:hAnsi="Arial"/>
          <w:sz w:val="16"/>
          <w:szCs w:val="16"/>
          <w:color w:val="auto"/>
        </w:rPr>
      </w:pPr>
    </w:p>
    <w:p>
      <w:pPr>
        <w:ind w:left="460" w:right="20" w:firstLine="428"/>
        <w:spacing w:after="0" w:line="298" w:lineRule="auto"/>
        <w:tabs>
          <w:tab w:leader="none" w:pos="1198"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In addition, each Lender shall deliver such forms promptly upon the obsolescence, expiration or invalidity of any form previously delivered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99"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56</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03" w:name="page104"/>
    <w:bookmarkEnd w:id="103"/>
    <w:p>
      <w:pPr>
        <w:ind w:right="60" w:firstLine="906"/>
        <w:spacing w:after="0" w:line="288" w:lineRule="auto"/>
        <w:tabs>
          <w:tab w:leader="none" w:pos="1147"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Documentation Required by FATCA</w:t>
      </w:r>
      <w:r>
        <w:rPr>
          <w:rFonts w:ascii="Arial" w:cs="Arial" w:eastAsia="Arial" w:hAnsi="Arial"/>
          <w:sz w:val="16"/>
          <w:szCs w:val="16"/>
          <w:color w:val="auto"/>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Arial" w:cs="Arial" w:eastAsia="Arial" w:hAnsi="Arial"/>
          <w:sz w:val="16"/>
          <w:szCs w:val="16"/>
          <w:u w:val="single" w:color="auto"/>
          <w:color w:val="auto"/>
        </w:rPr>
        <w:t>Section 2.16(g)</w:t>
      </w:r>
      <w:r>
        <w:rPr>
          <w:rFonts w:ascii="Arial" w:cs="Arial" w:eastAsia="Arial" w:hAnsi="Arial"/>
          <w:sz w:val="16"/>
          <w:szCs w:val="16"/>
          <w:color w:val="auto"/>
        </w:rPr>
        <w:t>, “FATCA” shall include any amendments made to FATCA after the date of this Agreement.</w:t>
      </w:r>
    </w:p>
    <w:p>
      <w:pPr>
        <w:spacing w:after="0" w:line="123" w:lineRule="exact"/>
        <w:rPr>
          <w:rFonts w:ascii="Arial" w:cs="Arial" w:eastAsia="Arial" w:hAnsi="Arial"/>
          <w:sz w:val="16"/>
          <w:szCs w:val="16"/>
          <w:color w:val="auto"/>
        </w:rPr>
      </w:pPr>
    </w:p>
    <w:p>
      <w:pPr>
        <w:ind w:right="20" w:firstLine="906"/>
        <w:spacing w:after="0" w:line="306" w:lineRule="auto"/>
        <w:tabs>
          <w:tab w:leader="none" w:pos="1147"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Treatment of Certain Refunds</w:t>
      </w:r>
      <w:r>
        <w:rPr>
          <w:rFonts w:ascii="Arial" w:cs="Arial" w:eastAsia="Arial" w:hAnsi="Arial"/>
          <w:sz w:val="15"/>
          <w:szCs w:val="15"/>
          <w:color w:val="auto"/>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Arial" w:cs="Arial" w:eastAsia="Arial" w:hAnsi="Arial"/>
          <w:sz w:val="15"/>
          <w:szCs w:val="15"/>
          <w:u w:val="single" w:color="auto"/>
          <w:color w:val="auto"/>
        </w:rPr>
        <w:t>clause (h)</w:t>
      </w:r>
      <w:r>
        <w:rPr>
          <w:rFonts w:ascii="Arial" w:cs="Arial" w:eastAsia="Arial" w:hAnsi="Arial"/>
          <w:sz w:val="15"/>
          <w:szCs w:val="15"/>
          <w:color w:val="auto"/>
        </w:rPr>
        <w:t xml:space="preserve">, in no event will the Administrative Agent, any Lender or an Issuing Bank be required to pay any amount to Borrower pursuant to this </w:t>
      </w:r>
      <w:r>
        <w:rPr>
          <w:rFonts w:ascii="Arial" w:cs="Arial" w:eastAsia="Arial" w:hAnsi="Arial"/>
          <w:sz w:val="15"/>
          <w:szCs w:val="15"/>
          <w:u w:val="single" w:color="auto"/>
          <w:color w:val="auto"/>
        </w:rPr>
        <w:t>clause (h)</w:t>
      </w:r>
      <w:r>
        <w:rPr>
          <w:rFonts w:ascii="Arial" w:cs="Arial" w:eastAsia="Arial" w:hAnsi="Arial"/>
          <w:sz w:val="15"/>
          <w:szCs w:val="15"/>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90" w:lineRule="exact"/>
        <w:rPr>
          <w:sz w:val="20"/>
          <w:szCs w:val="20"/>
          <w:color w:val="auto"/>
        </w:rPr>
      </w:pPr>
    </w:p>
    <w:p>
      <w:pPr>
        <w:ind w:right="80" w:firstLine="906"/>
        <w:spacing w:after="0" w:line="294" w:lineRule="auto"/>
        <w:tabs>
          <w:tab w:leader="none" w:pos="113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Payments by the Borrower</w:t>
      </w:r>
      <w:r>
        <w:rPr>
          <w:rFonts w:ascii="Arial" w:cs="Arial" w:eastAsia="Arial" w:hAnsi="Arial"/>
          <w:sz w:val="16"/>
          <w:szCs w:val="16"/>
          <w:color w:val="auto"/>
        </w:rPr>
        <w:t xml:space="preserve">. The Borrower shall make each payment required to be made by it hereunder (whether of principal, interest, fees or reimbursement of LC Disbursements, or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or otherwise) or under any other Loan Document (except to the extent otherwise provided therein) prior to 12:00 noon,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w:t>
      </w:r>
    </w:p>
    <w:p>
      <w:pPr>
        <w:spacing w:after="0" w:line="102"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57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04" w:name="page105"/>
    <w:bookmarkEnd w:id="104"/>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Agent at the Administrative Agent’s Account, except as otherwise expressly provided in the relevant Loan Document and except payments to be made directly to the Issuing Bank or the Swingline Lender as expressly provided herein and payments pursuant to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9.03</w:t>
      </w:r>
      <w:r>
        <w:rPr>
          <w:rFonts w:ascii="Arial" w:cs="Arial" w:eastAsia="Arial" w:hAnsi="Arial"/>
          <w:sz w:val="18"/>
          <w:szCs w:val="18"/>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44" w:lineRule="exact"/>
        <w:rPr>
          <w:sz w:val="20"/>
          <w:szCs w:val="20"/>
          <w:color w:val="auto"/>
        </w:rPr>
      </w:pPr>
    </w:p>
    <w:p>
      <w:pPr>
        <w:ind w:right="140" w:firstLine="898"/>
        <w:spacing w:after="0" w:line="286" w:lineRule="auto"/>
        <w:rPr>
          <w:sz w:val="20"/>
          <w:szCs w:val="20"/>
          <w:color w:val="auto"/>
        </w:rPr>
      </w:pPr>
      <w:r>
        <w:rPr>
          <w:rFonts w:ascii="Arial" w:cs="Arial" w:eastAsia="Arial" w:hAnsi="Arial"/>
          <w:sz w:val="16"/>
          <w:szCs w:val="16"/>
          <w:color w:val="auto"/>
        </w:rPr>
        <w:t xml:space="preserve">All amounts owing under this Agreement (including commitment fees, payments required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payments required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relating to any Loan denominated in Dollars, but not including principal of and interest on any Loan denominated in any Foreign Currency or payments relating to any such Loan required under </w:t>
      </w:r>
      <w:r>
        <w:rPr>
          <w:rFonts w:ascii="Arial" w:cs="Arial" w:eastAsia="Arial" w:hAnsi="Arial"/>
          <w:sz w:val="16"/>
          <w:szCs w:val="16"/>
          <w:u w:val="single" w:color="auto"/>
          <w:color w:val="auto"/>
        </w:rPr>
        <w:t>Section 2.15</w:t>
      </w:r>
      <w:r>
        <w:rPr>
          <w:rFonts w:ascii="Arial" w:cs="Arial" w:eastAsia="Arial" w:hAnsi="Arial"/>
          <w:sz w:val="16"/>
          <w:szCs w:val="16"/>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26" w:lineRule="exact"/>
        <w:rPr>
          <w:sz w:val="20"/>
          <w:szCs w:val="20"/>
          <w:color w:val="auto"/>
        </w:rPr>
      </w:pPr>
    </w:p>
    <w:p>
      <w:pPr>
        <w:ind w:right="20" w:firstLine="906"/>
        <w:spacing w:after="0" w:line="294" w:lineRule="auto"/>
        <w:tabs>
          <w:tab w:leader="none" w:pos="1147"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Application of Insufficient Payments</w:t>
      </w:r>
      <w:r>
        <w:rPr>
          <w:rFonts w:ascii="Arial" w:cs="Arial" w:eastAsia="Arial" w:hAnsi="Arial"/>
          <w:sz w:val="16"/>
          <w:szCs w:val="16"/>
          <w:color w:val="auto"/>
        </w:rPr>
        <w:t>.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15" w:lineRule="exact"/>
        <w:rPr>
          <w:rFonts w:ascii="Arial" w:cs="Arial" w:eastAsia="Arial" w:hAnsi="Arial"/>
          <w:sz w:val="16"/>
          <w:szCs w:val="16"/>
          <w:color w:val="auto"/>
        </w:rPr>
      </w:pPr>
    </w:p>
    <w:p>
      <w:pPr>
        <w:ind w:right="120" w:firstLine="906"/>
        <w:spacing w:after="0" w:line="314" w:lineRule="auto"/>
        <w:tabs>
          <w:tab w:leader="none" w:pos="1137"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Pro Rata Treatment</w:t>
      </w:r>
      <w:r>
        <w:rPr>
          <w:rFonts w:ascii="Arial" w:cs="Arial" w:eastAsia="Arial" w:hAnsi="Arial"/>
          <w:sz w:val="15"/>
          <w:szCs w:val="15"/>
          <w:color w:val="auto"/>
        </w:rPr>
        <w:t xml:space="preserve">. Except to the extent otherwise provided herein: (i) each Syndicated Borrowing of a Class shall be made from the Lenders of such Class, each payment of commitment fee under </w:t>
      </w:r>
      <w:r>
        <w:rPr>
          <w:rFonts w:ascii="Arial" w:cs="Arial" w:eastAsia="Arial" w:hAnsi="Arial"/>
          <w:sz w:val="15"/>
          <w:szCs w:val="15"/>
          <w:u w:val="single" w:color="auto"/>
          <w:color w:val="auto"/>
        </w:rPr>
        <w:t>Section 2.11</w:t>
      </w:r>
      <w:r>
        <w:rPr>
          <w:rFonts w:ascii="Arial" w:cs="Arial" w:eastAsia="Arial" w:hAnsi="Arial"/>
          <w:sz w:val="15"/>
          <w:szCs w:val="15"/>
          <w:color w:val="auto"/>
        </w:rPr>
        <w:t xml:space="preserve"> shall be made for account of the Lenders of the applicable Class, and each termination or reduction of the amount of the Commitments of a Class under </w:t>
      </w:r>
      <w:r>
        <w:rPr>
          <w:rFonts w:ascii="Arial" w:cs="Arial" w:eastAsia="Arial" w:hAnsi="Arial"/>
          <w:sz w:val="15"/>
          <w:szCs w:val="15"/>
          <w:u w:val="single" w:color="auto"/>
          <w:color w:val="auto"/>
        </w:rPr>
        <w:t>Section 2.08</w:t>
      </w:r>
      <w:r>
        <w:rPr>
          <w:rFonts w:ascii="Arial" w:cs="Arial" w:eastAsia="Arial" w:hAnsi="Arial"/>
          <w:sz w:val="15"/>
          <w:szCs w:val="15"/>
          <w:color w:val="auto"/>
        </w:rPr>
        <w:t xml:space="preserve"> shall be applied to the respective Commitments of the Lenders of such Class, pro rata according to the amounts of their respective Commitments of such Class; (ii) each Syndicated Borrowing of a Class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w:t>
      </w:r>
    </w:p>
    <w:p>
      <w:pPr>
        <w:spacing w:after="0" w:line="91"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58</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05" w:name="page106"/>
    <w:bookmarkEnd w:id="105"/>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prepayment of principal of Syndicated Loans of a Class by the Borrower shall be made for account of the Lenders of such Class pro rata in accordance with the respective unpaid principal amounts of the Syndicated Loans of such Class held by them; and (iv) each payment of interest on Syndicated Loans of a Class by the Borrower shall be made for account of the Lenders of such Class pro rata in accordance with the amounts of interest on such Loans of such Class then due and payable to the respective Lenders.</w:t>
      </w:r>
    </w:p>
    <w:p>
      <w:pPr>
        <w:spacing w:after="0" w:line="143" w:lineRule="exact"/>
        <w:rPr>
          <w:sz w:val="20"/>
          <w:szCs w:val="20"/>
          <w:color w:val="auto"/>
        </w:rPr>
      </w:pPr>
    </w:p>
    <w:p>
      <w:pPr>
        <w:ind w:right="80" w:firstLine="906"/>
        <w:spacing w:after="0" w:line="285" w:lineRule="auto"/>
        <w:tabs>
          <w:tab w:leader="none" w:pos="114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 xml:space="preserve">. If any Lender of any Class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amid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24" w:lineRule="exact"/>
        <w:rPr>
          <w:rFonts w:ascii="Arial" w:cs="Arial" w:eastAsia="Arial" w:hAnsi="Arial"/>
          <w:sz w:val="16"/>
          <w:szCs w:val="16"/>
          <w:color w:val="auto"/>
        </w:rPr>
      </w:pPr>
    </w:p>
    <w:p>
      <w:pPr>
        <w:ind w:right="60" w:firstLine="906"/>
        <w:spacing w:after="0" w:line="290" w:lineRule="auto"/>
        <w:tabs>
          <w:tab w:leader="none" w:pos="113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Presumptions of Payment</w:t>
      </w:r>
      <w:r>
        <w:rPr>
          <w:rFonts w:ascii="Arial" w:cs="Arial" w:eastAsia="Arial" w:hAnsi="Arial"/>
          <w:sz w:val="16"/>
          <w:szCs w:val="16"/>
          <w:color w:val="auto"/>
        </w:rPr>
        <w:t>. Unless the Administrative Agent shall have received notice from the Borrower prior to the date on which any payment is due to the Administrative Agent for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Federal Funds Effective Rate.</w:t>
      </w:r>
    </w:p>
    <w:p>
      <w:pPr>
        <w:spacing w:after="0" w:line="104"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59</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06" w:name="page107"/>
    <w:bookmarkEnd w:id="106"/>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 </w:t>
      </w:r>
      <w:r>
        <w:rPr>
          <w:rFonts w:ascii="Arial" w:cs="Arial" w:eastAsia="Arial" w:hAnsi="Arial"/>
          <w:sz w:val="16"/>
          <w:szCs w:val="16"/>
          <w:u w:val="single" w:color="auto"/>
          <w:color w:val="auto"/>
        </w:rPr>
        <w:t>Certain Deductions by the Administrative Agent</w:t>
      </w:r>
      <w:r>
        <w:rPr>
          <w:rFonts w:ascii="Arial" w:cs="Arial" w:eastAsia="Arial" w:hAnsi="Arial"/>
          <w:sz w:val="16"/>
          <w:szCs w:val="16"/>
          <w:color w:val="auto"/>
        </w:rPr>
        <w:t>. If any Lender shall fail to make any payment required to be made by it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2.05(e)</w:t>
      </w:r>
      <w:r>
        <w:rPr>
          <w:rFonts w:ascii="Arial" w:cs="Arial" w:eastAsia="Arial" w:hAnsi="Arial"/>
          <w:sz w:val="16"/>
          <w:szCs w:val="16"/>
          <w:color w:val="auto"/>
        </w:rPr>
        <w:t xml:space="preserve">, </w:t>
      </w:r>
      <w:r>
        <w:rPr>
          <w:rFonts w:ascii="Arial" w:cs="Arial" w:eastAsia="Arial" w:hAnsi="Arial"/>
          <w:sz w:val="16"/>
          <w:szCs w:val="16"/>
          <w:u w:val="single" w:color="auto"/>
          <w:color w:val="auto"/>
        </w:rPr>
        <w:t>2.06(a)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2.17(e)</w:t>
      </w:r>
      <w:r>
        <w:rPr>
          <w:rFonts w:ascii="Arial" w:cs="Arial" w:eastAsia="Arial" w:hAnsi="Arial"/>
          <w:sz w:val="16"/>
          <w:szCs w:val="16"/>
          <w:color w:val="auto"/>
        </w:rPr>
        <w:t>, then the Administrative Agent may, in its discretion (notwithstanding any contrary provision hereof), apply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amounts thereafter received by the Administrative Agent for account of such Lender to satisfy such Lender’s obligations under such Sections until all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unsatisfied obligations are fully paid.</w:t>
      </w:r>
    </w:p>
    <w:p>
      <w:pPr>
        <w:spacing w:after="0" w:line="2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90" w:lineRule="exact"/>
        <w:rPr>
          <w:sz w:val="20"/>
          <w:szCs w:val="20"/>
          <w:color w:val="auto"/>
        </w:rPr>
      </w:pPr>
    </w:p>
    <w:p>
      <w:pPr>
        <w:ind w:right="60" w:firstLine="906"/>
        <w:spacing w:after="0" w:line="290" w:lineRule="auto"/>
        <w:tabs>
          <w:tab w:leader="none" w:pos="1137"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if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17" w:lineRule="exact"/>
        <w:rPr>
          <w:rFonts w:ascii="Arial" w:cs="Arial" w:eastAsia="Arial" w:hAnsi="Arial"/>
          <w:sz w:val="16"/>
          <w:szCs w:val="16"/>
          <w:color w:val="auto"/>
        </w:rPr>
      </w:pPr>
    </w:p>
    <w:p>
      <w:pPr>
        <w:ind w:right="60" w:firstLine="906"/>
        <w:spacing w:after="0" w:line="285"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if the Borrower is required to pay any additional amount to any Lender or any Governmental Authority for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if any Lender becomes a Defaulting Lender or is a Non-Consenting Lender (as provided in </w:t>
      </w:r>
      <w:r>
        <w:rPr>
          <w:rFonts w:ascii="Arial" w:cs="Arial" w:eastAsia="Arial" w:hAnsi="Arial"/>
          <w:sz w:val="16"/>
          <w:szCs w:val="16"/>
          <w:u w:val="single" w:color="auto"/>
          <w:color w:val="auto"/>
        </w:rPr>
        <w:t>Section 9.02(d)</w:t>
      </w:r>
      <w:r>
        <w:rPr>
          <w:rFonts w:ascii="Arial" w:cs="Arial" w:eastAsia="Arial" w:hAnsi="Arial"/>
          <w:sz w:val="16"/>
          <w:szCs w:val="16"/>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if a Commitment is being assigned, the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16"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60</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07" w:name="page108"/>
    <w:bookmarkEnd w:id="10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90" w:lineRule="exact"/>
        <w:rPr>
          <w:sz w:val="20"/>
          <w:szCs w:val="20"/>
          <w:color w:val="auto"/>
        </w:rPr>
      </w:pPr>
    </w:p>
    <w:p>
      <w:pPr>
        <w:ind w:right="260" w:firstLine="906"/>
        <w:spacing w:after="0" w:line="331" w:lineRule="auto"/>
        <w:tabs>
          <w:tab w:leader="none" w:pos="113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6" w:lineRule="exact"/>
        <w:rPr>
          <w:sz w:val="20"/>
          <w:szCs w:val="20"/>
          <w:color w:val="auto"/>
        </w:rPr>
      </w:pPr>
    </w:p>
    <w:p>
      <w:pPr>
        <w:ind w:right="20" w:firstLine="906"/>
        <w:spacing w:after="0" w:line="283" w:lineRule="auto"/>
        <w:tabs>
          <w:tab w:leader="none" w:pos="1108"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Administrative Agent for the account of such Defaulting Lender (whether voluntary or mandatory, at maturity,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otherwise) or received by Administrative Agent from a Defaulting Lender pursuant to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shall be applied at such time or times as may be determined by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Issuing Bank or Swingline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Issuing Bank’s Fronting Exposure with respect to such Defaulting Lender in the manner described in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Issuing Bank’s future Fronting Exposure with respect to such Defaulting Lender with respect to future Letters of Credit issued under this Agreement, in the manner described in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Issuing Bank or Swingline Lender as a result of any judgment of a court of competent jurisdiction obtained by any Lender, Issuing Bank or Swingline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Arial" w:cs="Arial" w:eastAsia="Arial" w:hAnsi="Arial"/>
          <w:sz w:val="16"/>
          <w:szCs w:val="16"/>
          <w:u w:val="single" w:color="auto"/>
          <w:color w:val="auto"/>
        </w:rPr>
        <w:t>Section 2.19(a)(iii)</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2.19(a)(i)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139" w:lineRule="exact"/>
        <w:rPr>
          <w:rFonts w:ascii="Arial" w:cs="Arial" w:eastAsia="Arial" w:hAnsi="Arial"/>
          <w:sz w:val="16"/>
          <w:szCs w:val="16"/>
          <w:color w:val="auto"/>
        </w:rPr>
      </w:pPr>
    </w:p>
    <w:p>
      <w:pPr>
        <w:ind w:left="1160" w:hanging="254"/>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600" w:hanging="280"/>
        <w:spacing w:after="0"/>
        <w:tabs>
          <w:tab w:leader="none" w:pos="16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No Defaulting Lender shall be entitled to receive any fee pursuant to </w:t>
      </w:r>
      <w:r>
        <w:rPr>
          <w:rFonts w:ascii="Arial" w:cs="Arial" w:eastAsia="Arial" w:hAnsi="Arial"/>
          <w:sz w:val="16"/>
          <w:szCs w:val="16"/>
          <w:u w:val="single" w:color="auto"/>
          <w:color w:val="auto"/>
        </w:rPr>
        <w:t>Sections 2.11(a)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for any period during which that Lender is</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a</w:t>
      </w:r>
    </w:p>
    <w:p>
      <w:pPr>
        <w:spacing w:after="0" w:line="151"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61</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08" w:name="page109"/>
    <w:bookmarkEnd w:id="108"/>
    <w:p>
      <w:pPr>
        <w:ind w:left="900"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Defaulting Lender (and Borrower shall not be required to pay any such fee that otherwise would have been required to have been paid to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Defaulting Lender shall be entitled to receive fees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62" w:lineRule="exact"/>
        <w:rPr>
          <w:sz w:val="20"/>
          <w:szCs w:val="20"/>
          <w:color w:val="auto"/>
        </w:rPr>
      </w:pPr>
    </w:p>
    <w:p>
      <w:pPr>
        <w:ind w:left="1600" w:hanging="280"/>
        <w:spacing w:after="0"/>
        <w:tabs>
          <w:tab w:leader="none" w:pos="16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With respect to any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fees not required to be paid to any Defaulting Lender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Borrower shall</w:t>
      </w:r>
    </w:p>
    <w:p>
      <w:pPr>
        <w:spacing w:after="0" w:line="38" w:lineRule="exact"/>
        <w:rPr>
          <w:rFonts w:ascii="Arial" w:cs="Arial" w:eastAsia="Arial" w:hAnsi="Arial"/>
          <w:sz w:val="16"/>
          <w:szCs w:val="16"/>
          <w:color w:val="auto"/>
        </w:rPr>
      </w:pPr>
    </w:p>
    <w:p>
      <w:pPr>
        <w:ind w:left="900" w:right="180" w:firstLine="6"/>
        <w:spacing w:after="0" w:line="281" w:lineRule="auto"/>
        <w:tabs>
          <w:tab w:leader="none" w:pos="114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ind w:left="900" w:right="420" w:firstLine="6"/>
        <w:spacing w:after="0" w:line="323" w:lineRule="auto"/>
        <w:tabs>
          <w:tab w:leader="none" w:pos="1207" w:val="left"/>
        </w:tabs>
        <w:numPr>
          <w:ilvl w:val="0"/>
          <w:numId w:val="102"/>
        </w:numPr>
        <w:rPr>
          <w:rFonts w:ascii="Arial" w:cs="Arial" w:eastAsia="Arial" w:hAnsi="Arial"/>
          <w:sz w:val="16"/>
          <w:szCs w:val="16"/>
          <w:u w:val="single" w:color="auto"/>
          <w:color w:val="auto"/>
        </w:rPr>
      </w:pPr>
      <w:r>
        <w:rPr>
          <w:rFonts w:ascii="Arial" w:cs="Arial" w:eastAsia="Arial" w:hAnsi="Arial"/>
          <w:sz w:val="16"/>
          <w:szCs w:val="16"/>
          <w:color w:val="auto"/>
        </w:rPr>
        <w:t>below, (y) pay to Issuing Bank the amount of any such fee otherwise payable to such Defaulting Lender to the extent allocable to Issuing Bank’s Fronting Exposure to such Defaulting Lender, and (z) not be required to pay the remaining amount of any such fee.</w:t>
      </w:r>
    </w:p>
    <w:p>
      <w:pPr>
        <w:spacing w:after="0" w:line="11" w:lineRule="exact"/>
        <w:rPr>
          <w:sz w:val="20"/>
          <w:szCs w:val="20"/>
          <w:color w:val="auto"/>
        </w:rPr>
      </w:pPr>
    </w:p>
    <w:p>
      <w:pPr>
        <w:ind w:left="460" w:right="60" w:firstLine="428"/>
        <w:spacing w:after="0" w:line="288" w:lineRule="auto"/>
        <w:tabs>
          <w:tab w:leader="none" w:pos="1198"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Reallocation of Participations to Reduce Fronting Exposure</w:t>
      </w:r>
      <w:r>
        <w:rPr>
          <w:rFonts w:ascii="Arial" w:cs="Arial" w:eastAsia="Arial" w:hAnsi="Arial"/>
          <w:sz w:val="16"/>
          <w:szCs w:val="16"/>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Percentages (calculated without regard to such Defaulting Lender’s Commitment) but only to the extent that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37" w:lineRule="exact"/>
        <w:rPr>
          <w:rFonts w:ascii="Arial" w:cs="Arial" w:eastAsia="Arial" w:hAnsi="Arial"/>
          <w:sz w:val="16"/>
          <w:szCs w:val="16"/>
          <w:color w:val="auto"/>
        </w:rPr>
      </w:pPr>
    </w:p>
    <w:p>
      <w:pPr>
        <w:ind w:left="460" w:firstLine="428"/>
        <w:spacing w:after="0" w:line="288" w:lineRule="auto"/>
        <w:tabs>
          <w:tab w:leader="none" w:pos="1188"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Cash Collateral; Repayment of Swingline Loans</w:t>
      </w:r>
      <w:r>
        <w:rPr>
          <w:rFonts w:ascii="Arial" w:cs="Arial" w:eastAsia="Arial" w:hAnsi="Arial"/>
          <w:sz w:val="16"/>
          <w:szCs w:val="16"/>
          <w:color w:val="auto"/>
        </w:rPr>
        <w:t xml:space="preserve">. If the reallocation described in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cannot, or can only partially, be effected, the Borrower shall not later than two (2) Business Days after demand by the Administrative Agent (at the direction of the Issuing Bank and/or the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the Issuing Bank’s Fronting Exposure in accordance with the procedures set forth in </w:t>
      </w:r>
      <w:r>
        <w:rPr>
          <w:rFonts w:ascii="Arial" w:cs="Arial" w:eastAsia="Arial" w:hAnsi="Arial"/>
          <w:sz w:val="16"/>
          <w:szCs w:val="16"/>
          <w:u w:val="single" w:color="auto"/>
          <w:color w:val="auto"/>
        </w:rPr>
        <w:t>Section 2.19(d)</w:t>
      </w:r>
      <w:r>
        <w:rPr>
          <w:rFonts w:ascii="Arial" w:cs="Arial" w:eastAsia="Arial" w:hAnsi="Arial"/>
          <w:sz w:val="16"/>
          <w:szCs w:val="16"/>
          <w:color w:val="auto"/>
        </w:rPr>
        <w:t xml:space="preserve"> or (z) make other arrangements reasonably satisfactory to the Administrative Agent, the Issuing Bank and the Swingline Lender in their sole discretion to protect them against the risk of non-payment by such Defaulting Lender.</w:t>
      </w:r>
    </w:p>
    <w:p>
      <w:pPr>
        <w:spacing w:after="0" w:line="110"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62</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09" w:name="page110"/>
    <w:bookmarkEnd w:id="109"/>
    <w:p>
      <w:pPr>
        <w:ind w:right="40" w:firstLine="906"/>
        <w:spacing w:after="0" w:line="308" w:lineRule="auto"/>
        <w:tabs>
          <w:tab w:leader="none" w:pos="1147" w:val="left"/>
        </w:tabs>
        <w:numPr>
          <w:ilvl w:val="2"/>
          <w:numId w:val="10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Defaulting Lender Cure</w:t>
      </w:r>
      <w:r>
        <w:rPr>
          <w:rFonts w:ascii="Arial" w:cs="Arial" w:eastAsia="Arial" w:hAnsi="Arial"/>
          <w:sz w:val="15"/>
          <w:szCs w:val="15"/>
          <w:color w:val="auto"/>
        </w:rPr>
        <w:t xml:space="preserve">. If the Borrower, the Administrative Agent, the Swingline Lender and the Issuing Bank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5"/>
          <w:szCs w:val="15"/>
          <w:u w:val="single" w:color="auto"/>
          <w:color w:val="auto"/>
        </w:rPr>
        <w:t>Section 2.19(a)(iii)</w:t>
      </w:r>
      <w:r>
        <w:rPr>
          <w:rFonts w:ascii="Arial" w:cs="Arial" w:eastAsia="Arial" w:hAnsi="Arial"/>
          <w:sz w:val="15"/>
          <w:szCs w:val="15"/>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08" w:lineRule="exact"/>
        <w:rPr>
          <w:rFonts w:ascii="Arial" w:cs="Arial" w:eastAsia="Arial" w:hAnsi="Arial"/>
          <w:sz w:val="15"/>
          <w:szCs w:val="15"/>
          <w:color w:val="auto"/>
        </w:rPr>
      </w:pPr>
    </w:p>
    <w:p>
      <w:pPr>
        <w:ind w:right="40" w:firstLine="906"/>
        <w:spacing w:after="0" w:line="283" w:lineRule="auto"/>
        <w:tabs>
          <w:tab w:leader="none" w:pos="1137" w:val="left"/>
        </w:tabs>
        <w:numPr>
          <w:ilvl w:val="2"/>
          <w:numId w:val="104"/>
        </w:numPr>
        <w:rPr>
          <w:rFonts w:ascii="Arial" w:cs="Arial" w:eastAsia="Arial" w:hAnsi="Arial"/>
          <w:sz w:val="16"/>
          <w:szCs w:val="16"/>
          <w:color w:val="auto"/>
        </w:rPr>
      </w:pPr>
      <w:r>
        <w:rPr>
          <w:rFonts w:ascii="Arial" w:cs="Arial" w:eastAsia="Arial" w:hAnsi="Arial"/>
          <w:sz w:val="16"/>
          <w:szCs w:val="16"/>
          <w:u w:val="single" w:color="auto"/>
          <w:color w:val="auto"/>
        </w:rPr>
        <w:t>New Swingline Loans/Letters of Credit</w:t>
      </w:r>
      <w:r>
        <w:rPr>
          <w:rFonts w:ascii="Arial" w:cs="Arial" w:eastAsia="Arial" w:hAnsi="Arial"/>
          <w:sz w:val="16"/>
          <w:szCs w:val="16"/>
          <w:color w:val="auto"/>
        </w:rPr>
        <w:t xml:space="preserve">. So long as any Lender is a Defaulting Lender, (i) the Swingline Lender shall not be required to fund any Swingline Loans unless it is satisfied that the participations therein will be fully allocated among Non-Defaulting Lenders in a manner consistent with </w:t>
      </w:r>
      <w:r>
        <w:rPr>
          <w:rFonts w:ascii="Arial" w:cs="Arial" w:eastAsia="Arial" w:hAnsi="Arial"/>
          <w:sz w:val="16"/>
          <w:szCs w:val="16"/>
          <w:u w:val="single" w:color="auto"/>
          <w:color w:val="auto"/>
        </w:rPr>
        <w:t>clause (a)(iii)</w:t>
      </w:r>
      <w:r>
        <w:rPr>
          <w:rFonts w:ascii="Arial" w:cs="Arial" w:eastAsia="Arial" w:hAnsi="Arial"/>
          <w:sz w:val="16"/>
          <w:szCs w:val="16"/>
          <w:color w:val="auto"/>
        </w:rPr>
        <w:t xml:space="preserve"> above and the Defaulting Lender shall not participate therein and (ii) the Issuing Bank shall not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Arial" w:cs="Arial" w:eastAsia="Arial" w:hAnsi="Arial"/>
          <w:sz w:val="16"/>
          <w:szCs w:val="16"/>
          <w:u w:val="single" w:color="auto"/>
          <w:color w:val="auto"/>
        </w:rPr>
        <w:t>clause (a)(iii)</w:t>
      </w:r>
      <w:r>
        <w:rPr>
          <w:rFonts w:ascii="Arial" w:cs="Arial" w:eastAsia="Arial" w:hAnsi="Arial"/>
          <w:sz w:val="16"/>
          <w:szCs w:val="16"/>
          <w:color w:val="auto"/>
        </w:rPr>
        <w:t xml:space="preserve"> above and such Defaulting Lender shall not participate therein except to the extent such Defaulting Lender’s participation has been or will be fully Cash Collateralized in accordance with</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164" w:lineRule="exact"/>
        <w:rPr>
          <w:rFonts w:ascii="Arial" w:cs="Arial" w:eastAsia="Arial" w:hAnsi="Arial"/>
          <w:sz w:val="16"/>
          <w:szCs w:val="16"/>
          <w:color w:val="auto"/>
        </w:rPr>
      </w:pPr>
    </w:p>
    <w:p>
      <w:pPr>
        <w:jc w:val="both"/>
        <w:ind w:right="420" w:firstLine="906"/>
        <w:spacing w:after="0" w:line="256" w:lineRule="auto"/>
        <w:tabs>
          <w:tab w:leader="none" w:pos="1147" w:val="left"/>
        </w:tabs>
        <w:numPr>
          <w:ilvl w:val="2"/>
          <w:numId w:val="104"/>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At any time that there shall exist a Defaulting Lender, promptly following the written request of Administrative Agent or Issuing Bank (with a copy to Administrative Agent) Borrower shall Cash Collateralize Issuing Bank’s Fronting Exposure with respect to such Defaulting Lender (determined after giving effect to </w:t>
      </w:r>
      <w:r>
        <w:rPr>
          <w:rFonts w:ascii="Arial" w:cs="Arial" w:eastAsia="Arial" w:hAnsi="Arial"/>
          <w:sz w:val="18"/>
          <w:szCs w:val="18"/>
          <w:u w:val="single" w:color="auto"/>
          <w:color w:val="auto"/>
        </w:rPr>
        <w:t>Section 2.19(a)(iii)</w:t>
      </w:r>
      <w:r>
        <w:rPr>
          <w:rFonts w:ascii="Arial" w:cs="Arial" w:eastAsia="Arial" w:hAnsi="Arial"/>
          <w:sz w:val="18"/>
          <w:szCs w:val="18"/>
          <w:color w:val="auto"/>
        </w:rPr>
        <w:t xml:space="preserve"> and any Cash Collateral provided by such Defaulting Lender) in an amount not less than the Minimum Collateral Amount.</w:t>
      </w:r>
    </w:p>
    <w:p>
      <w:pPr>
        <w:spacing w:after="0" w:line="61" w:lineRule="exact"/>
        <w:rPr>
          <w:rFonts w:ascii="Arial" w:cs="Arial" w:eastAsia="Arial" w:hAnsi="Arial"/>
          <w:sz w:val="18"/>
          <w:szCs w:val="18"/>
          <w:color w:val="auto"/>
        </w:rPr>
      </w:pPr>
    </w:p>
    <w:p>
      <w:pPr>
        <w:ind w:left="460" w:right="120" w:firstLine="428"/>
        <w:spacing w:after="0" w:line="284" w:lineRule="auto"/>
        <w:tabs>
          <w:tab w:leader="none" w:pos="1101"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Borrower, and to the extent provided by any Defaulting Lender, such Defaulting Lender, hereby grants to (and subjects to the control of) Administrative Agent, for the benefit of Issuing Bank, and agrees to maintain, a first priority security interest in all such Cash Collateral as security for the Defaulting Lenders’ obligation to fund participations in respect of Letters of Credit, to be applied pursuant to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ind w:left="460" w:right="220" w:hanging="3"/>
        <w:spacing w:after="0" w:line="260" w:lineRule="auto"/>
        <w:tabs>
          <w:tab w:leader="none" w:pos="718" w:val="left"/>
        </w:tabs>
        <w:numPr>
          <w:ilvl w:val="0"/>
          <w:numId w:val="106"/>
        </w:numPr>
        <w:rPr>
          <w:rFonts w:ascii="Arial" w:cs="Arial" w:eastAsia="Arial" w:hAnsi="Arial"/>
          <w:sz w:val="18"/>
          <w:szCs w:val="18"/>
          <w:u w:val="single" w:color="auto"/>
          <w:color w:val="auto"/>
        </w:rPr>
      </w:pPr>
      <w:r>
        <w:rPr>
          <w:rFonts w:ascii="Arial" w:cs="Arial" w:eastAsia="Arial" w:hAnsi="Arial"/>
          <w:sz w:val="18"/>
          <w:szCs w:val="18"/>
          <w:color w:val="auto"/>
        </w:rPr>
        <w:t>below. If at any time Administrative Agent determines that Cash Collateral is subject to any right or claim of any Person other than Administrative Agent</w:t>
      </w:r>
    </w:p>
    <w:p>
      <w:pPr>
        <w:spacing w:after="0" w:line="126"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63</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10" w:name="page111"/>
    <w:bookmarkEnd w:id="110"/>
    <w:p>
      <w:pPr>
        <w:ind w:left="460"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Issuing Bank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SunTrust. Borrower shall pay on demand therefor from time to time all reasonable and customary account opening, activity and other administrative fees and charges in connection with the maintenance and disbursement of Cash Collateral.</w:t>
      </w:r>
    </w:p>
    <w:p>
      <w:pPr>
        <w:spacing w:after="0" w:line="63" w:lineRule="exact"/>
        <w:rPr>
          <w:sz w:val="20"/>
          <w:szCs w:val="20"/>
          <w:color w:val="auto"/>
        </w:rPr>
      </w:pPr>
    </w:p>
    <w:p>
      <w:pPr>
        <w:ind w:left="460" w:right="20" w:firstLine="428"/>
        <w:spacing w:after="0" w:line="256" w:lineRule="auto"/>
        <w:tabs>
          <w:tab w:leader="none" w:pos="1149"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61" w:lineRule="exact"/>
        <w:rPr>
          <w:rFonts w:ascii="Arial" w:cs="Arial" w:eastAsia="Arial" w:hAnsi="Arial"/>
          <w:sz w:val="18"/>
          <w:szCs w:val="18"/>
          <w:color w:val="auto"/>
        </w:rPr>
      </w:pPr>
    </w:p>
    <w:p>
      <w:pPr>
        <w:ind w:left="460" w:right="120" w:firstLine="428"/>
        <w:spacing w:after="0" w:line="314" w:lineRule="auto"/>
        <w:tabs>
          <w:tab w:leader="none" w:pos="1198" w:val="left"/>
        </w:tabs>
        <w:numPr>
          <w:ilvl w:val="0"/>
          <w:numId w:val="107"/>
        </w:numPr>
        <w:rPr>
          <w:rFonts w:ascii="Arial" w:cs="Arial" w:eastAsia="Arial" w:hAnsi="Arial"/>
          <w:sz w:val="15"/>
          <w:szCs w:val="15"/>
          <w:color w:val="auto"/>
        </w:rPr>
      </w:pPr>
      <w:r>
        <w:rPr>
          <w:rFonts w:ascii="Arial" w:cs="Arial" w:eastAsia="Arial" w:hAnsi="Arial"/>
          <w:sz w:val="15"/>
          <w:szCs w:val="15"/>
          <w:u w:val="single" w:color="auto"/>
          <w:color w:val="auto"/>
        </w:rPr>
        <w:t>Termination of Requirement</w:t>
      </w:r>
      <w:r>
        <w:rPr>
          <w:rFonts w:ascii="Arial" w:cs="Arial" w:eastAsia="Arial" w:hAnsi="Arial"/>
          <w:sz w:val="15"/>
          <w:szCs w:val="15"/>
          <w:color w:val="auto"/>
        </w:rPr>
        <w:t xml:space="preserve">. Cash Collateral (or the appropriate portion thereof) provided to reduce Issuing Bank’s Fronting Exposure shall no longer be required to be held as Cash Collateral pursuant to this </w:t>
      </w:r>
      <w:r>
        <w:rPr>
          <w:rFonts w:ascii="Arial" w:cs="Arial" w:eastAsia="Arial" w:hAnsi="Arial"/>
          <w:sz w:val="15"/>
          <w:szCs w:val="15"/>
          <w:u w:val="single" w:color="auto"/>
          <w:color w:val="auto"/>
        </w:rPr>
        <w:t>Section 2.19</w:t>
      </w:r>
      <w:r>
        <w:rPr>
          <w:rFonts w:ascii="Arial" w:cs="Arial" w:eastAsia="Arial" w:hAnsi="Arial"/>
          <w:sz w:val="15"/>
          <w:szCs w:val="15"/>
          <w:color w:val="auto"/>
        </w:rPr>
        <w:t xml:space="preserve"> following (i) the elimination of the applicable Fronting Exposure (including by the termination of Defaulting Lender status of the applicable Lender) or (ii) the determination by Administrative Agent and Issuing Bank that there exists excess Cash Collateral;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subject to the other provisions of this </w:t>
      </w:r>
      <w:r>
        <w:rPr>
          <w:rFonts w:ascii="Arial" w:cs="Arial" w:eastAsia="Arial" w:hAnsi="Arial"/>
          <w:sz w:val="15"/>
          <w:szCs w:val="15"/>
          <w:u w:val="single" w:color="auto"/>
          <w:color w:val="auto"/>
        </w:rPr>
        <w:t>Section 2.19</w:t>
      </w:r>
      <w:r>
        <w:rPr>
          <w:rFonts w:ascii="Arial" w:cs="Arial" w:eastAsia="Arial" w:hAnsi="Arial"/>
          <w:sz w:val="15"/>
          <w:szCs w:val="15"/>
          <w:color w:val="auto"/>
        </w:rPr>
        <w:t xml:space="preserve">, the Person providing Cash Collateral and Issuing Bank may agree that Cash Collateral shall be held to support future anticipated Fronting Exposure;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to the extent that such Cash Collateral was provided by Borrower, such Cash Collateral shall remain subject to the security interest granted pursuant to the Loan Documents.</w:t>
      </w:r>
    </w:p>
    <w:p>
      <w:pPr>
        <w:spacing w:after="0" w:line="26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REPRESENTATIONS AND WARRANTIES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Borrower represents and warrants to the Lenders that:</w:t>
      </w:r>
    </w:p>
    <w:p>
      <w:pPr>
        <w:spacing w:after="0" w:line="171" w:lineRule="exact"/>
        <w:rPr>
          <w:sz w:val="20"/>
          <w:szCs w:val="20"/>
          <w:color w:val="auto"/>
        </w:rPr>
      </w:pPr>
    </w:p>
    <w:p>
      <w:pPr>
        <w:ind w:right="180" w:firstLine="898"/>
        <w:spacing w:after="0" w:line="298"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w:t>
      </w:r>
      <w:r>
        <w:rPr>
          <w:rFonts w:ascii="Arial" w:cs="Arial" w:eastAsia="Arial" w:hAnsi="Arial"/>
          <w:sz w:val="16"/>
          <w:szCs w:val="16"/>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12" w:lineRule="exact"/>
        <w:rPr>
          <w:sz w:val="20"/>
          <w:szCs w:val="20"/>
          <w:color w:val="auto"/>
        </w:rPr>
      </w:pPr>
    </w:p>
    <w:p>
      <w:pPr>
        <w:ind w:right="60" w:firstLine="898"/>
        <w:spacing w:after="0" w:line="268"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Transactions are within the Borrower’s corporate powers and have been duly authorized by all necessary corporate and, if</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64</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11" w:name="page112"/>
    <w:bookmarkEnd w:id="111"/>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required, by all necessary shareholder action. This Agreement has been duly executed and delivered by the Borrower and constitutes, and each of the other Loan Documents when executed and delivered will constitute, a legal, valid and binding obligation of the Borrower,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47"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xml:space="preserve">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this Agreement or the Security Documents, will not result in the creation or imposition of any Lien on any asset of the Borrower or any of its Subsidiaries.</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90" w:lineRule="exact"/>
        <w:rPr>
          <w:sz w:val="20"/>
          <w:szCs w:val="20"/>
          <w:color w:val="auto"/>
        </w:rPr>
      </w:pPr>
    </w:p>
    <w:p>
      <w:pPr>
        <w:ind w:firstLine="906"/>
        <w:spacing w:after="0" w:line="298" w:lineRule="auto"/>
        <w:tabs>
          <w:tab w:leader="none" w:pos="1137"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Borrower has heretofore delivered to the Lenders the audited consolidated balance sheet and statements of assets and liabilities, operations, changes in net assets and cash flows of the Borrower and its Subsidiaries as of and for the year ended September 30, 2011,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12" w:lineRule="exact"/>
        <w:rPr>
          <w:rFonts w:ascii="Arial" w:cs="Arial" w:eastAsia="Arial" w:hAnsi="Arial"/>
          <w:sz w:val="16"/>
          <w:szCs w:val="16"/>
          <w:color w:val="auto"/>
        </w:rPr>
      </w:pPr>
    </w:p>
    <w:p>
      <w:pPr>
        <w:ind w:right="60" w:firstLine="906"/>
        <w:spacing w:after="0" w:line="254"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the date of the most recent Applicable Financial Statements, there has not been any event, development or circumstance (herein, a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that has had or could reasonably be expected to have a material adverse effect on (i) the business, Portfolio Investments and other assets, liabilities and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44" w:lineRule="exact"/>
        <w:rPr>
          <w:sz w:val="20"/>
          <w:szCs w:val="20"/>
          <w:color w:val="auto"/>
        </w:rPr>
      </w:pPr>
    </w:p>
    <w:p>
      <w:pPr>
        <w:ind w:right="80" w:firstLine="898"/>
        <w:spacing w:after="0" w:line="256"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29"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65</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12" w:name="page113"/>
    <w:bookmarkEnd w:id="112"/>
    <w:p>
      <w:pPr>
        <w:ind w:right="20" w:firstLine="89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3.06.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47"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Taxes</w:t>
      </w:r>
      <w:r>
        <w:rPr>
          <w:rFonts w:ascii="Arial" w:cs="Arial" w:eastAsia="Arial" w:hAnsi="Arial"/>
          <w:sz w:val="18"/>
          <w:szCs w:val="18"/>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43" w:lineRule="exact"/>
        <w:rPr>
          <w:sz w:val="20"/>
          <w:szCs w:val="20"/>
          <w:color w:val="auto"/>
        </w:rPr>
      </w:pPr>
    </w:p>
    <w:p>
      <w:pPr>
        <w:ind w:right="260" w:firstLine="898"/>
        <w:spacing w:after="0" w:line="331"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ERISA</w:t>
      </w:r>
      <w:r>
        <w:rPr>
          <w:rFonts w:ascii="Arial" w:cs="Arial" w:eastAsia="Arial" w:hAnsi="Arial"/>
          <w:sz w:val="16"/>
          <w:szCs w:val="16"/>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87" w:lineRule="exact"/>
        <w:rPr>
          <w:sz w:val="20"/>
          <w:szCs w:val="20"/>
          <w:color w:val="auto"/>
        </w:rPr>
      </w:pPr>
    </w:p>
    <w:p>
      <w:pPr>
        <w:ind w:right="20" w:firstLine="898"/>
        <w:spacing w:after="0" w:line="288"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the Borrower represents only that such information was prepared in good faith based upon assumptions believed to be reasonable at the time.</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Investment Company Act; Margin Regulations</w:t>
      </w:r>
      <w:r>
        <w:rPr>
          <w:rFonts w:ascii="Arial" w:cs="Arial" w:eastAsia="Arial" w:hAnsi="Arial"/>
          <w:sz w:val="18"/>
          <w:szCs w:val="18"/>
          <w:color w:val="auto"/>
        </w:rPr>
        <w:t>.</w:t>
      </w:r>
    </w:p>
    <w:p>
      <w:pPr>
        <w:spacing w:after="0" w:line="90" w:lineRule="exact"/>
        <w:rPr>
          <w:sz w:val="20"/>
          <w:szCs w:val="20"/>
          <w:color w:val="auto"/>
        </w:rPr>
      </w:pPr>
    </w:p>
    <w:p>
      <w:pPr>
        <w:ind w:right="740" w:firstLine="906"/>
        <w:spacing w:after="0" w:line="268" w:lineRule="auto"/>
        <w:tabs>
          <w:tab w:leader="none" w:pos="113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Status as Business Development Company</w:t>
      </w:r>
      <w:r>
        <w:rPr>
          <w:rFonts w:ascii="Arial" w:cs="Arial" w:eastAsia="Arial" w:hAnsi="Arial"/>
          <w:sz w:val="18"/>
          <w:szCs w:val="18"/>
          <w:color w:val="auto"/>
        </w:rPr>
        <w:t>. The Borrower is an “investment company” that has elected to be regulated as a “business development company” within the meaning of the Investment Company Act and qualifies as a RIC.</w:t>
      </w:r>
    </w:p>
    <w:p>
      <w:pPr>
        <w:spacing w:after="0" w:line="131" w:lineRule="exact"/>
        <w:rPr>
          <w:rFonts w:ascii="Arial" w:cs="Arial" w:eastAsia="Arial" w:hAnsi="Arial"/>
          <w:sz w:val="18"/>
          <w:szCs w:val="18"/>
          <w:color w:val="auto"/>
        </w:rPr>
      </w:pPr>
    </w:p>
    <w:p>
      <w:pPr>
        <w:ind w:right="60" w:firstLine="906"/>
        <w:spacing w:after="0" w:line="256"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Compliance with Investment Company Act</w:t>
      </w:r>
      <w:r>
        <w:rPr>
          <w:rFonts w:ascii="Arial" w:cs="Arial" w:eastAsia="Arial" w:hAnsi="Arial"/>
          <w:sz w:val="18"/>
          <w:szCs w:val="18"/>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w:t>
      </w:r>
    </w:p>
    <w:p>
      <w:pPr>
        <w:spacing w:after="0" w:line="129"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66</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13" w:name="page114"/>
    <w:bookmarkEnd w:id="113"/>
    <w:p>
      <w:pPr>
        <w:ind w:left="1140" w:hanging="234"/>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Policies</w:t>
      </w:r>
      <w:r>
        <w:rPr>
          <w:rFonts w:ascii="Arial" w:cs="Arial" w:eastAsia="Arial" w:hAnsi="Arial"/>
          <w:sz w:val="18"/>
          <w:szCs w:val="18"/>
          <w:color w:val="auto"/>
        </w:rPr>
        <w:t>. The Borrower is in compliance in all material respects with the Investment Policies.</w:t>
      </w:r>
    </w:p>
    <w:p>
      <w:pPr>
        <w:spacing w:after="0" w:line="171" w:lineRule="exact"/>
        <w:rPr>
          <w:rFonts w:ascii="Arial" w:cs="Arial" w:eastAsia="Arial" w:hAnsi="Arial"/>
          <w:sz w:val="18"/>
          <w:szCs w:val="18"/>
          <w:color w:val="auto"/>
        </w:rPr>
      </w:pPr>
    </w:p>
    <w:p>
      <w:pPr>
        <w:ind w:right="180" w:firstLine="906"/>
        <w:spacing w:after="0" w:line="259"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Use of Credit</w:t>
      </w:r>
      <w:r>
        <w:rPr>
          <w:rFonts w:ascii="Arial" w:cs="Arial" w:eastAsia="Arial" w:hAnsi="Arial"/>
          <w:sz w:val="18"/>
          <w:szCs w:val="18"/>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2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Material Agreements and Liens</w:t>
      </w:r>
      <w:r>
        <w:rPr>
          <w:rFonts w:ascii="Arial" w:cs="Arial" w:eastAsia="Arial" w:hAnsi="Arial"/>
          <w:sz w:val="18"/>
          <w:szCs w:val="18"/>
          <w:color w:val="auto"/>
        </w:rPr>
        <w:t>.</w:t>
      </w:r>
    </w:p>
    <w:p>
      <w:pPr>
        <w:spacing w:after="0" w:line="90" w:lineRule="exact"/>
        <w:rPr>
          <w:sz w:val="20"/>
          <w:szCs w:val="20"/>
          <w:color w:val="auto"/>
        </w:rPr>
      </w:pPr>
    </w:p>
    <w:p>
      <w:pPr>
        <w:ind w:right="200" w:firstLine="906"/>
        <w:spacing w:after="0" w:line="298" w:lineRule="auto"/>
        <w:tabs>
          <w:tab w:leader="none" w:pos="1137"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Material Agreements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is a complete and correct list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on the date hereof, and the aggregate principal or face amount outstanding or that is, or may become, outstanding under each such arrangement is correctly described in </w:t>
      </w:r>
      <w:r>
        <w:rPr>
          <w:rFonts w:ascii="Arial" w:cs="Arial" w:eastAsia="Arial" w:hAnsi="Arial"/>
          <w:sz w:val="16"/>
          <w:szCs w:val="16"/>
          <w:u w:val="single" w:color="auto"/>
          <w:color w:val="auto"/>
        </w:rPr>
        <w:t>Part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jc w:val="both"/>
        <w:ind w:right="180" w:firstLine="906"/>
        <w:spacing w:after="0" w:line="259"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is a complete and correct list of each Lien securing Indebtedness of any Person outstanding on the date hereof covering any property of the Borrower or any of its Subsidiaries, and the aggregate Indebtedness secured (or that may be secured) by each such Lien and the property covered by each such Lien is correctly described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w:t>
      </w:r>
    </w:p>
    <w:p>
      <w:pPr>
        <w:spacing w:after="0" w:line="2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Subsidiaries and Investments</w:t>
      </w:r>
      <w:r>
        <w:rPr>
          <w:rFonts w:ascii="Arial" w:cs="Arial" w:eastAsia="Arial" w:hAnsi="Arial"/>
          <w:sz w:val="18"/>
          <w:szCs w:val="18"/>
          <w:color w:val="auto"/>
        </w:rPr>
        <w:t>.</w:t>
      </w:r>
    </w:p>
    <w:p>
      <w:pPr>
        <w:spacing w:after="0" w:line="90" w:lineRule="exact"/>
        <w:rPr>
          <w:sz w:val="20"/>
          <w:szCs w:val="20"/>
          <w:color w:val="auto"/>
        </w:rPr>
      </w:pPr>
    </w:p>
    <w:p>
      <w:pPr>
        <w:ind w:left="1140" w:hanging="234"/>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3.12(a)</w:t>
      </w:r>
      <w:r>
        <w:rPr>
          <w:rFonts w:ascii="Arial" w:cs="Arial" w:eastAsia="Arial" w:hAnsi="Arial"/>
          <w:sz w:val="18"/>
          <w:szCs w:val="18"/>
          <w:color w:val="auto"/>
        </w:rPr>
        <w:t xml:space="preserve"> is a list of the Borrower’s Subsidiaries as of the date hereof.</w:t>
      </w:r>
    </w:p>
    <w:p>
      <w:pPr>
        <w:spacing w:after="0" w:line="171" w:lineRule="exact"/>
        <w:rPr>
          <w:rFonts w:ascii="Arial" w:cs="Arial" w:eastAsia="Arial" w:hAnsi="Arial"/>
          <w:sz w:val="18"/>
          <w:szCs w:val="18"/>
          <w:color w:val="auto"/>
        </w:rPr>
      </w:pPr>
    </w:p>
    <w:p>
      <w:pPr>
        <w:ind w:right="140" w:firstLine="906"/>
        <w:spacing w:after="0" w:line="294" w:lineRule="auto"/>
        <w:tabs>
          <w:tab w:leader="none" w:pos="1147"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Investments</w:t>
      </w:r>
      <w:r>
        <w:rPr>
          <w:rFonts w:ascii="Arial" w:cs="Arial" w:eastAsia="Arial" w:hAnsi="Arial"/>
          <w:sz w:val="16"/>
          <w:szCs w:val="16"/>
          <w:color w:val="auto"/>
        </w:rPr>
        <w:t xml:space="preserve">. Set forth in </w:t>
      </w:r>
      <w:r>
        <w:rPr>
          <w:rFonts w:ascii="Arial" w:cs="Arial" w:eastAsia="Arial" w:hAnsi="Arial"/>
          <w:sz w:val="16"/>
          <w:szCs w:val="16"/>
          <w:u w:val="single" w:color="auto"/>
          <w:color w:val="auto"/>
        </w:rPr>
        <w:t>Schedule 3.12(b)</w:t>
      </w:r>
      <w:r>
        <w:rPr>
          <w:rFonts w:ascii="Arial" w:cs="Arial" w:eastAsia="Arial" w:hAnsi="Arial"/>
          <w:sz w:val="16"/>
          <w:szCs w:val="16"/>
          <w:color w:val="auto"/>
        </w:rPr>
        <w:t xml:space="preserve"> is a complete and correct list of all Investments (other than Investments of the types referred to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held by the Borrower or any of its Subsidiaries (other than any Financing Subsidiary) in any Person on the date hereof and, for each such Investment, (x) the identity of the Person or Persons holding such Investment and (y) the nature of such Investment. Except as disclosed in </w:t>
      </w:r>
      <w:r>
        <w:rPr>
          <w:rFonts w:ascii="Arial" w:cs="Arial" w:eastAsia="Arial" w:hAnsi="Arial"/>
          <w:sz w:val="16"/>
          <w:szCs w:val="16"/>
          <w:u w:val="single" w:color="auto"/>
          <w:color w:val="auto"/>
        </w:rPr>
        <w:t>Schedule 3.12</w:t>
      </w:r>
      <w:r>
        <w:rPr>
          <w:rFonts w:ascii="Arial" w:cs="Arial" w:eastAsia="Arial" w:hAnsi="Arial"/>
          <w:sz w:val="16"/>
          <w:szCs w:val="16"/>
          <w:color w:val="auto"/>
        </w:rPr>
        <w:t>, each of the Borrower and its Subsidiaries (other than any Financing Subsidiary) owns, free and clear of all Liens (other than Liens created pursuant to this Agreement or the Security Documents), all such Investments.</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90" w:lineRule="exact"/>
        <w:rPr>
          <w:sz w:val="20"/>
          <w:szCs w:val="20"/>
          <w:color w:val="auto"/>
        </w:rPr>
      </w:pPr>
    </w:p>
    <w:p>
      <w:pPr>
        <w:ind w:right="180" w:firstLine="906"/>
        <w:spacing w:after="0" w:line="259" w:lineRule="auto"/>
        <w:tabs>
          <w:tab w:leader="none" w:pos="113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Title Generally</w:t>
      </w:r>
      <w:r>
        <w:rPr>
          <w:rFonts w:ascii="Arial" w:cs="Arial" w:eastAsia="Arial" w:hAnsi="Arial"/>
          <w:sz w:val="18"/>
          <w:szCs w:val="18"/>
          <w:color w:val="auto"/>
        </w:rPr>
        <w:t>. Each of the Borrower and its Subsidiaries (other than any Financing Subsidiary)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26"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67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14" w:name="page115"/>
    <w:bookmarkEnd w:id="114"/>
    <w:p>
      <w:pPr>
        <w:ind w:right="320" w:firstLine="906"/>
        <w:spacing w:after="0" w:line="256"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Intellectual Property</w:t>
      </w:r>
      <w:r>
        <w:rPr>
          <w:rFonts w:ascii="Arial" w:cs="Arial" w:eastAsia="Arial" w:hAnsi="Arial"/>
          <w:sz w:val="18"/>
          <w:szCs w:val="18"/>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43" w:lineRule="exact"/>
        <w:rPr>
          <w:sz w:val="20"/>
          <w:szCs w:val="20"/>
          <w:color w:val="auto"/>
        </w:rPr>
      </w:pPr>
    </w:p>
    <w:p>
      <w:pPr>
        <w:ind w:right="60" w:firstLine="898"/>
        <w:spacing w:after="0" w:line="259"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Affiliate Agreements</w:t>
      </w:r>
      <w:r>
        <w:rPr>
          <w:rFonts w:ascii="Arial" w:cs="Arial" w:eastAsia="Arial" w:hAnsi="Arial"/>
          <w:sz w:val="18"/>
          <w:szCs w:val="18"/>
          <w:color w:val="auto"/>
        </w:rPr>
        <w:t>. As of the date hereof, the Borrower has heretofore delivered to each of the Lenders true and complete copies of each of the Affiliate Agreements (including and schedules and exhibits thereto, and any amendments, supplements or waivers executed and delivered thereunder). As of the date of hereof, each of the Affiliate Agreements is in full force and effect.</w:t>
      </w:r>
    </w:p>
    <w:p>
      <w:pPr>
        <w:spacing w:after="0" w:line="140"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OFAC</w:t>
      </w:r>
      <w:r>
        <w:rPr>
          <w:rFonts w:ascii="Arial" w:cs="Arial" w:eastAsia="Arial" w:hAnsi="Arial"/>
          <w:sz w:val="16"/>
          <w:szCs w:val="16"/>
          <w:color w:val="auto"/>
        </w:rPr>
        <w:t>. Neither the Borrower nor any of its Subsidiaries (a) is a person whose property or interest in property is blocked or subject to blocking pursuant to Section 1 of Executive Order 13224 of September 23, 2001 Blocking Property and Prohibiting Transactions With Persons Who Commit, Threaten to Commit, or Support Terrorism (66 Fed. Reg. 49079 (2001)), (b) engages in any dealings or transactions prohibited by Section 2 of such executive order, or is otherwise associated with any such person in any manner violative of Section 2 of such executive order, or (c) is a person on the list of Specially Designated Nationals and Blocked Persons or subject to the limitations or prohibitions under any other U.S. Department of Treasury’s Office of Foreign Assets Control regulation or executive order.</w:t>
      </w:r>
    </w:p>
    <w:p>
      <w:pPr>
        <w:spacing w:after="0" w:line="120" w:lineRule="exact"/>
        <w:rPr>
          <w:sz w:val="20"/>
          <w:szCs w:val="20"/>
          <w:color w:val="auto"/>
        </w:rPr>
      </w:pPr>
    </w:p>
    <w:p>
      <w:pPr>
        <w:ind w:right="40" w:firstLine="898"/>
        <w:spacing w:after="0" w:line="291"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Patriot Act</w:t>
      </w:r>
      <w:r>
        <w:rPr>
          <w:rFonts w:ascii="Arial" w:cs="Arial" w:eastAsia="Arial" w:hAnsi="Arial"/>
          <w:sz w:val="16"/>
          <w:szCs w:val="16"/>
          <w:color w:val="auto"/>
        </w:rPr>
        <w:t>. Each of the Borrower and its Subsidiaries is in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20" w:lineRule="exact"/>
        <w:rPr>
          <w:sz w:val="20"/>
          <w:szCs w:val="20"/>
          <w:color w:val="auto"/>
        </w:rPr>
      </w:pPr>
    </w:p>
    <w:p>
      <w:pPr>
        <w:ind w:right="200" w:firstLine="898"/>
        <w:spacing w:after="0" w:line="256"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The provisions of the Security Documents are effective to create in favor of the Collateral Agent a legal, valid and enforceable first priority Lien (subject to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29"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68</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w:t>
      </w:r>
    </w:p>
    <w:p>
      <w:pPr>
        <w:spacing w:after="0" w:line="171"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effectiveness of this Agreement and of the obligations of the Lenders to make Loans and of the Issuing Bank to issue Letters of Credit hereunder shall not become effective until completion of each of the following conditions precedent (unless a condition shall have been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40" w:lineRule="exact"/>
        <w:rPr>
          <w:sz w:val="20"/>
          <w:szCs w:val="20"/>
          <w:color w:val="auto"/>
        </w:rPr>
      </w:pPr>
    </w:p>
    <w:p>
      <w:pPr>
        <w:ind w:right="1000" w:firstLine="906"/>
        <w:spacing w:after="0" w:line="268" w:lineRule="auto"/>
        <w:tabs>
          <w:tab w:leader="none" w:pos="1137"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Administrative Agent shall have received each of the following documents, each of which shall be satisfactory to the Administrative Agent (and to the extent specified below to each Lender) in form and substance:</w:t>
      </w:r>
    </w:p>
    <w:p>
      <w:pPr>
        <w:spacing w:after="0" w:line="50" w:lineRule="exact"/>
        <w:rPr>
          <w:rFonts w:ascii="Arial" w:cs="Arial" w:eastAsia="Arial" w:hAnsi="Arial"/>
          <w:sz w:val="18"/>
          <w:szCs w:val="18"/>
          <w:color w:val="auto"/>
        </w:rPr>
      </w:pPr>
    </w:p>
    <w:p>
      <w:pPr>
        <w:ind w:left="460" w:right="60" w:firstLine="428"/>
        <w:spacing w:after="0" w:line="259" w:lineRule="auto"/>
        <w:tabs>
          <w:tab w:leader="none" w:pos="110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Executed Counterparts</w:t>
      </w:r>
      <w:r>
        <w:rPr>
          <w:rFonts w:ascii="Arial" w:cs="Arial" w:eastAsia="Arial" w:hAnsi="Arial"/>
          <w:sz w:val="18"/>
          <w:szCs w:val="18"/>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58" w:lineRule="exact"/>
        <w:rPr>
          <w:rFonts w:ascii="Arial" w:cs="Arial" w:eastAsia="Arial" w:hAnsi="Arial"/>
          <w:sz w:val="18"/>
          <w:szCs w:val="18"/>
          <w:color w:val="auto"/>
        </w:rPr>
      </w:pPr>
    </w:p>
    <w:p>
      <w:pPr>
        <w:ind w:left="460" w:right="80" w:firstLine="428"/>
        <w:spacing w:after="0" w:line="256" w:lineRule="auto"/>
        <w:tabs>
          <w:tab w:leader="none" w:pos="1149"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Opinion of Counsel to the Borrower</w:t>
      </w:r>
      <w:r>
        <w:rPr>
          <w:rFonts w:ascii="Arial" w:cs="Arial" w:eastAsia="Arial" w:hAnsi="Arial"/>
          <w:sz w:val="18"/>
          <w:szCs w:val="18"/>
          <w:color w:val="auto"/>
        </w:rPr>
        <w:t>. A favorable written opinion (addressed to the Administrative Agent and the Lenders and dated the Effective Date) of Dechert LLP, New York counsel for the Borrower and of Venable LLP, Maryland counsel for the Borrower, each in form and substance reasonably acceptable to the Administrative Agent (and the Borrower hereby instructs such counsel to deliver such opinion to the Lenders and the Administrative Agent).</w:t>
      </w:r>
    </w:p>
    <w:p>
      <w:pPr>
        <w:spacing w:after="0" w:line="61" w:lineRule="exact"/>
        <w:rPr>
          <w:rFonts w:ascii="Arial" w:cs="Arial" w:eastAsia="Arial" w:hAnsi="Arial"/>
          <w:sz w:val="18"/>
          <w:szCs w:val="18"/>
          <w:color w:val="auto"/>
        </w:rPr>
      </w:pPr>
    </w:p>
    <w:p>
      <w:pPr>
        <w:ind w:left="460" w:right="20" w:firstLine="428"/>
        <w:spacing w:after="0" w:line="306" w:lineRule="auto"/>
        <w:tabs>
          <w:tab w:leader="none" w:pos="1198"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Corporate Documents</w:t>
      </w:r>
      <w:r>
        <w:rPr>
          <w:rFonts w:ascii="Arial" w:cs="Arial" w:eastAsia="Arial" w:hAnsi="Arial"/>
          <w:sz w:val="16"/>
          <w:szCs w:val="16"/>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25" w:lineRule="exact"/>
        <w:rPr>
          <w:rFonts w:ascii="Arial" w:cs="Arial" w:eastAsia="Arial" w:hAnsi="Arial"/>
          <w:sz w:val="16"/>
          <w:szCs w:val="16"/>
          <w:color w:val="auto"/>
        </w:rPr>
      </w:pPr>
    </w:p>
    <w:p>
      <w:pPr>
        <w:ind w:left="460" w:right="700" w:firstLine="428"/>
        <w:spacing w:after="0" w:line="331" w:lineRule="auto"/>
        <w:tabs>
          <w:tab w:leader="none" w:pos="1188"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xml:space="preserve">. A certificate, dated the Effective Date and signed by the President, a Vice President or a Financial Officer of the Borrower, confirming compliance with the conditions set forth in the lettered clauses of the first sentence of </w:t>
      </w:r>
      <w:r>
        <w:rPr>
          <w:rFonts w:ascii="Arial" w:cs="Arial" w:eastAsia="Arial" w:hAnsi="Arial"/>
          <w:sz w:val="16"/>
          <w:szCs w:val="16"/>
          <w:u w:val="single" w:color="auto"/>
          <w:color w:val="auto"/>
        </w:rPr>
        <w:t>Section 4.02</w:t>
      </w:r>
      <w:r>
        <w:rPr>
          <w:rFonts w:ascii="Arial" w:cs="Arial" w:eastAsia="Arial" w:hAnsi="Arial"/>
          <w:sz w:val="16"/>
          <w:szCs w:val="16"/>
          <w:color w:val="auto"/>
        </w:rPr>
        <w:t>.</w:t>
      </w:r>
    </w:p>
    <w:p>
      <w:pPr>
        <w:spacing w:after="0" w:line="5" w:lineRule="exact"/>
        <w:rPr>
          <w:rFonts w:ascii="Arial" w:cs="Arial" w:eastAsia="Arial" w:hAnsi="Arial"/>
          <w:sz w:val="16"/>
          <w:szCs w:val="16"/>
          <w:color w:val="auto"/>
        </w:rPr>
      </w:pPr>
    </w:p>
    <w:p>
      <w:pPr>
        <w:ind w:left="460" w:right="720" w:firstLine="428"/>
        <w:spacing w:after="0" w:line="268" w:lineRule="auto"/>
        <w:tabs>
          <w:tab w:leader="none" w:pos="11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Guarantee and Security Agreement</w:t>
      </w:r>
      <w:r>
        <w:rPr>
          <w:rFonts w:ascii="Arial" w:cs="Arial" w:eastAsia="Arial" w:hAnsi="Arial"/>
          <w:sz w:val="18"/>
          <w:szCs w:val="18"/>
          <w:color w:val="auto"/>
        </w:rPr>
        <w:t>. The Guarantee and Security Agreement, duly executed and delivered by each of the parties to the Guarantee and Security Agreement.</w:t>
      </w:r>
    </w:p>
    <w:p>
      <w:pPr>
        <w:spacing w:after="0" w:line="50" w:lineRule="exact"/>
        <w:rPr>
          <w:rFonts w:ascii="Arial" w:cs="Arial" w:eastAsia="Arial" w:hAnsi="Arial"/>
          <w:sz w:val="18"/>
          <w:szCs w:val="18"/>
          <w:color w:val="auto"/>
        </w:rPr>
      </w:pPr>
    </w:p>
    <w:p>
      <w:pPr>
        <w:ind w:left="460" w:right="480" w:firstLine="428"/>
        <w:spacing w:after="0" w:line="268" w:lineRule="auto"/>
        <w:tabs>
          <w:tab w:leader="none" w:pos="1188"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Control Agreement</w:t>
      </w:r>
      <w:r>
        <w:rPr>
          <w:rFonts w:ascii="Arial" w:cs="Arial" w:eastAsia="Arial" w:hAnsi="Arial"/>
          <w:sz w:val="18"/>
          <w:szCs w:val="18"/>
          <w:color w:val="auto"/>
        </w:rPr>
        <w:t>. An Amended and Restated Custody and Securities Account Control Agreement, duly executed and delivered by the Borrower, the Administrative Agent and PFPC.</w:t>
      </w:r>
    </w:p>
    <w:p>
      <w:pPr>
        <w:spacing w:after="0" w:line="50" w:lineRule="exact"/>
        <w:rPr>
          <w:rFonts w:ascii="Arial" w:cs="Arial" w:eastAsia="Arial" w:hAnsi="Arial"/>
          <w:sz w:val="18"/>
          <w:szCs w:val="18"/>
          <w:color w:val="auto"/>
        </w:rPr>
      </w:pPr>
    </w:p>
    <w:p>
      <w:pPr>
        <w:ind w:left="1240" w:hanging="352"/>
        <w:spacing w:after="0"/>
        <w:tabs>
          <w:tab w:leader="none" w:pos="124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Borrowing Base Certificate</w:t>
      </w:r>
      <w:r>
        <w:rPr>
          <w:rFonts w:ascii="Arial" w:cs="Arial" w:eastAsia="Arial" w:hAnsi="Arial"/>
          <w:sz w:val="16"/>
          <w:szCs w:val="16"/>
          <w:color w:val="auto"/>
        </w:rPr>
        <w:t>. A Borrowing Base Certificate showing a calculation of the Borrowing Base as of January 31, 2012.</w:t>
      </w:r>
    </w:p>
    <w:p>
      <w:pPr>
        <w:spacing w:after="0" w:line="194" w:lineRule="exact"/>
        <w:rPr>
          <w:rFonts w:ascii="Arial" w:cs="Arial" w:eastAsia="Arial" w:hAnsi="Arial"/>
          <w:sz w:val="16"/>
          <w:szCs w:val="16"/>
          <w:color w:val="auto"/>
        </w:rPr>
      </w:pPr>
    </w:p>
    <w:p>
      <w:pPr>
        <w:jc w:val="both"/>
        <w:ind w:right="160" w:firstLine="906"/>
        <w:spacing w:after="0" w:line="335" w:lineRule="auto"/>
        <w:tabs>
          <w:tab w:leader="none" w:pos="1147" w:val="left"/>
        </w:tabs>
        <w:numPr>
          <w:ilvl w:val="1"/>
          <w:numId w:val="116"/>
        </w:numPr>
        <w:rPr>
          <w:rFonts w:ascii="Arial" w:cs="Arial" w:eastAsia="Arial" w:hAnsi="Arial"/>
          <w:sz w:val="15"/>
          <w:szCs w:val="15"/>
          <w:color w:val="auto"/>
        </w:rPr>
      </w:pPr>
      <w:r>
        <w:rPr>
          <w:rFonts w:ascii="Arial" w:cs="Arial" w:eastAsia="Arial" w:hAnsi="Arial"/>
          <w:sz w:val="15"/>
          <w:szCs w:val="15"/>
          <w:u w:val="single" w:color="auto"/>
          <w:color w:val="auto"/>
        </w:rPr>
        <w:t>Liens</w:t>
      </w:r>
      <w:r>
        <w:rPr>
          <w:rFonts w:ascii="Arial" w:cs="Arial" w:eastAsia="Arial" w:hAnsi="Arial"/>
          <w:sz w:val="15"/>
          <w:szCs w:val="15"/>
          <w:color w:val="auto"/>
        </w:rPr>
        <w:t>. The Administrative Agent shall have received results of a recent lien search in each relevant jurisdiction with respect to the Borrower and its Subsidiaries (other than Financing Subsidiaries), confirming the priority of the Liens in favor of the Collateral Agent created pursuant to the Security Documents and revealing no liens on any of the assets of the Borrower or its Subsidiaries (other than Financing Subsidiaries) except for liens permitted under</w:t>
      </w:r>
    </w:p>
    <w:p>
      <w:pPr>
        <w:spacing w:after="0" w:line="74"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69</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16" w:name="page117"/>
    <w:bookmarkEnd w:id="116"/>
    <w:p>
      <w:pPr>
        <w:ind w:right="100"/>
        <w:spacing w:after="0" w:line="25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6.02</w:t>
      </w:r>
      <w:r>
        <w:rPr>
          <w:rFonts w:ascii="Arial" w:cs="Arial" w:eastAsia="Arial" w:hAnsi="Arial"/>
          <w:sz w:val="18"/>
          <w:szCs w:val="18"/>
          <w:color w:val="auto"/>
        </w:rPr>
        <w:t xml:space="preserve"> or liens to be discharged on or prior to the Effective Date pursuant to documentation satisfactory to the Administrative Agent. All UCC financing statements and similar documents required to be filed in order to create in favor of the Administrative Agent, for the benefit of the Lenders, a first priority perfected security interest in the Collateral (to the extent that such a security interest may be perfected by a filing under the Uniform Commercial Code) shall have been properly filed in each jurisdiction required.</w:t>
      </w:r>
    </w:p>
    <w:p>
      <w:pPr>
        <w:spacing w:after="0" w:line="143" w:lineRule="exact"/>
        <w:rPr>
          <w:sz w:val="20"/>
          <w:szCs w:val="20"/>
          <w:color w:val="auto"/>
        </w:rPr>
      </w:pPr>
    </w:p>
    <w:p>
      <w:pPr>
        <w:ind w:right="200" w:firstLine="906"/>
        <w:spacing w:after="0" w:line="294" w:lineRule="auto"/>
        <w:tabs>
          <w:tab w:leader="none" w:pos="1137"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Consents</w:t>
      </w:r>
      <w:r>
        <w:rPr>
          <w:rFonts w:ascii="Arial" w:cs="Arial" w:eastAsia="Arial" w:hAnsi="Arial"/>
          <w:sz w:val="16"/>
          <w:szCs w:val="16"/>
          <w:color w:val="auto"/>
        </w:rPr>
        <w:t>. The Borrower shall have obtained and delivered to the Administrative Agent certified copies of all consents, approvals, authorizations, registrations, or filings required to be made or obtained by the Borrower and all guarantors in connection with the Transactions and any transaction being financed with the proceeds of the Loans, and such consents, approvals, authorizations, registrations, filings and orders shall be in full force and effect and all applicable waiting periods shall have expired and no investigation or inquiry by any Governmental Authority regarding the Transactions or any transaction being financed with the proceeds of the Loans shall be ongoing.</w:t>
      </w:r>
    </w:p>
    <w:p>
      <w:pPr>
        <w:spacing w:after="0" w:line="115" w:lineRule="exact"/>
        <w:rPr>
          <w:rFonts w:ascii="Arial" w:cs="Arial" w:eastAsia="Arial" w:hAnsi="Arial"/>
          <w:sz w:val="16"/>
          <w:szCs w:val="16"/>
          <w:color w:val="auto"/>
        </w:rPr>
      </w:pPr>
    </w:p>
    <w:p>
      <w:pPr>
        <w:ind w:right="60" w:firstLine="906"/>
        <w:spacing w:after="0" w:line="268"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The Borrower shall have paid in full to the Administrative Agent all fees and expenses related to this Agreement owing on the Effective Date.</w:t>
      </w:r>
    </w:p>
    <w:p>
      <w:pPr>
        <w:spacing w:after="0" w:line="131" w:lineRule="exact"/>
        <w:rPr>
          <w:rFonts w:ascii="Arial" w:cs="Arial" w:eastAsia="Arial" w:hAnsi="Arial"/>
          <w:sz w:val="18"/>
          <w:szCs w:val="18"/>
          <w:color w:val="auto"/>
        </w:rPr>
      </w:pPr>
    </w:p>
    <w:p>
      <w:pPr>
        <w:ind w:right="560" w:firstLine="906"/>
        <w:spacing w:after="0" w:line="268" w:lineRule="auto"/>
        <w:tabs>
          <w:tab w:leader="none" w:pos="113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The Administrative Agent shall have received such other documents as the Administrative Agent or any Lender may reasonably request in form and substance satisfactory to the Administrative Agent.</w:t>
      </w:r>
    </w:p>
    <w:p>
      <w:pPr>
        <w:spacing w:after="0" w:line="132" w:lineRule="exact"/>
        <w:rPr>
          <w:sz w:val="20"/>
          <w:szCs w:val="20"/>
          <w:color w:val="auto"/>
        </w:rPr>
      </w:pPr>
    </w:p>
    <w:p>
      <w:pPr>
        <w:ind w:right="240" w:firstLine="898"/>
        <w:spacing w:after="0" w:line="268"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any Loan, and of the Issuing Bank to issue, amend, renew or extend any Letter of Credit, is additionally subject to the satisfaction of the following conditions:</w:t>
      </w:r>
    </w:p>
    <w:p>
      <w:pPr>
        <w:spacing w:after="0" w:line="132" w:lineRule="exact"/>
        <w:rPr>
          <w:sz w:val="20"/>
          <w:szCs w:val="20"/>
          <w:color w:val="auto"/>
        </w:rPr>
      </w:pPr>
    </w:p>
    <w:p>
      <w:pPr>
        <w:jc w:val="both"/>
        <w:ind w:right="20" w:firstLine="906"/>
        <w:spacing w:after="0" w:line="298" w:lineRule="auto"/>
        <w:tabs>
          <w:tab w:leader="none" w:pos="113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 set forth in this Agreement and in the other Loan Documents shall be true and correct (or, in the case of the representations and warranties in </w:t>
      </w:r>
      <w:r>
        <w:rPr>
          <w:rFonts w:ascii="Arial" w:cs="Arial" w:eastAsia="Arial" w:hAnsi="Arial"/>
          <w:sz w:val="16"/>
          <w:szCs w:val="16"/>
          <w:u w:val="single" w:color="auto"/>
          <w:color w:val="auto"/>
        </w:rPr>
        <w:t>Sections 3.03</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3.13</w:t>
      </w:r>
      <w:r>
        <w:rPr>
          <w:rFonts w:ascii="Arial" w:cs="Arial" w:eastAsia="Arial" w:hAnsi="Arial"/>
          <w:sz w:val="16"/>
          <w:szCs w:val="16"/>
          <w:color w:val="auto"/>
        </w:rPr>
        <w:t xml:space="preserve"> of this Agreement, and in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of the Guarantee and Security Agreement, true and correct in all material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12" w:lineRule="exact"/>
        <w:rPr>
          <w:rFonts w:ascii="Arial" w:cs="Arial" w:eastAsia="Arial" w:hAnsi="Arial"/>
          <w:sz w:val="16"/>
          <w:szCs w:val="16"/>
          <w:color w:val="auto"/>
        </w:rPr>
      </w:pPr>
    </w:p>
    <w:p>
      <w:pPr>
        <w:ind w:right="220" w:firstLine="906"/>
        <w:spacing w:after="0" w:line="268"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Loan or the issuance, amendment, renewal or extension of such Letter of Credit, as applicable, no Default shall have occurred and be continuing; and</w:t>
      </w:r>
    </w:p>
    <w:p>
      <w:pPr>
        <w:spacing w:after="0" w:line="131" w:lineRule="exact"/>
        <w:rPr>
          <w:rFonts w:ascii="Arial" w:cs="Arial" w:eastAsia="Arial" w:hAnsi="Arial"/>
          <w:sz w:val="18"/>
          <w:szCs w:val="18"/>
          <w:color w:val="auto"/>
        </w:rPr>
      </w:pPr>
    </w:p>
    <w:p>
      <w:pPr>
        <w:ind w:firstLine="906"/>
        <w:spacing w:after="0" w:line="298" w:lineRule="auto"/>
        <w:tabs>
          <w:tab w:leader="none" w:pos="113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w:t>
      </w:r>
    </w:p>
    <w:p>
      <w:pPr>
        <w:spacing w:after="0" w:line="99"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70</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17" w:name="page118"/>
    <w:bookmarkEnd w:id="117"/>
    <w:p>
      <w:pPr>
        <w:ind w:right="440" w:firstLine="89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Borrowing and each issuance, amendment, renewal or extension of a Letter of Credit shall be deemed to constitute a representation and warranty by the Borrower on the date thereof as to the matters specified in the preceding sentence.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171" w:lineRule="exact"/>
        <w:rPr>
          <w:sz w:val="20"/>
          <w:szCs w:val="20"/>
          <w:color w:val="auto"/>
        </w:rPr>
      </w:pPr>
    </w:p>
    <w:p>
      <w:pPr>
        <w:jc w:val="both"/>
        <w:ind w:right="180" w:firstLine="898"/>
        <w:spacing w:after="0" w:line="259"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to the Administrative Agent and each Lender:</w:t>
      </w:r>
    </w:p>
    <w:p>
      <w:pPr>
        <w:spacing w:after="0" w:line="171" w:lineRule="exact"/>
        <w:rPr>
          <w:sz w:val="20"/>
          <w:szCs w:val="20"/>
          <w:color w:val="auto"/>
        </w:rPr>
      </w:pPr>
    </w:p>
    <w:p>
      <w:pPr>
        <w:ind w:right="120" w:firstLine="906"/>
        <w:spacing w:after="0" w:line="291" w:lineRule="auto"/>
        <w:tabs>
          <w:tab w:leader="none" w:pos="113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within 90 days after the end of each fiscal year of the Borrower, the audited consolidated statements of assets and liabilities,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set forth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may be fulfilled by providing to the Administrative Agent and the Lenders the report of the Borrower to the SEC on Form 10-K for the applicable fiscal year;</w:t>
      </w:r>
    </w:p>
    <w:p>
      <w:pPr>
        <w:spacing w:after="0" w:line="119" w:lineRule="exact"/>
        <w:rPr>
          <w:rFonts w:ascii="Arial" w:cs="Arial" w:eastAsia="Arial" w:hAnsi="Arial"/>
          <w:sz w:val="16"/>
          <w:szCs w:val="16"/>
          <w:color w:val="auto"/>
        </w:rPr>
      </w:pPr>
    </w:p>
    <w:p>
      <w:pPr>
        <w:ind w:right="60" w:firstLine="906"/>
        <w:spacing w:after="0" w:line="288" w:lineRule="auto"/>
        <w:tabs>
          <w:tab w:leader="none" w:pos="114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within 45 days after the end of each of the first three fiscal quarters of each fiscal year of the Borrower, the consolidated statements of assets and liabilities,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set forth in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may be fulfilled by providing to the Lenders the report of the Borrower to the SEC on Form 10-Q for the applicable quarterly period;</w:t>
      </w:r>
    </w:p>
    <w:p>
      <w:pPr>
        <w:spacing w:after="0" w:line="123" w:lineRule="exact"/>
        <w:rPr>
          <w:rFonts w:ascii="Arial" w:cs="Arial" w:eastAsia="Arial" w:hAnsi="Arial"/>
          <w:sz w:val="16"/>
          <w:szCs w:val="16"/>
          <w:color w:val="auto"/>
        </w:rPr>
      </w:pPr>
    </w:p>
    <w:p>
      <w:pPr>
        <w:ind w:left="1140" w:hanging="234"/>
        <w:spacing w:after="0"/>
        <w:tabs>
          <w:tab w:leader="none" w:pos="11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concurrently with any delivery of financial statements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a certificate of a Financial Officer of the Borrower</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certifying that such statements are consistent with the financial statements filed by the Borrower with the Securities and Exchange Commission,</w:t>
      </w:r>
    </w:p>
    <w:p>
      <w:pPr>
        <w:spacing w:after="0" w:line="32" w:lineRule="exact"/>
        <w:rPr>
          <w:rFonts w:ascii="Arial" w:cs="Arial" w:eastAsia="Arial" w:hAnsi="Arial"/>
          <w:sz w:val="16"/>
          <w:szCs w:val="16"/>
          <w:color w:val="auto"/>
        </w:rPr>
      </w:pPr>
    </w:p>
    <w:p>
      <w:pPr>
        <w:ind w:right="100" w:firstLine="8"/>
        <w:spacing w:after="0" w:line="260" w:lineRule="auto"/>
        <w:tabs>
          <w:tab w:leader="none" w:pos="25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certifying as to whether the Borrower has knowledge that a Default has occurred during the applicable period and, if a Default has occurred, specifying the details thereof and any action taken or proposed to be taken with respect thereto, (iii) setting</w:t>
      </w:r>
    </w:p>
    <w:p>
      <w:pPr>
        <w:spacing w:after="0" w:line="126"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71</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18" w:name="page119"/>
    <w:bookmarkEnd w:id="11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forth reasonably detailed calculations demonstrating compliance with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6.07</w:t>
      </w:r>
      <w:r>
        <w:rPr>
          <w:rFonts w:ascii="Arial" w:cs="Arial" w:eastAsia="Arial" w:hAnsi="Arial"/>
          <w:sz w:val="18"/>
          <w:szCs w:val="18"/>
          <w:color w:val="auto"/>
        </w:rPr>
        <w:t xml:space="preserve"> and (iv) stating whether any change in GAAP as applied by (or in the application of GAAP by) the Borrower has occurred since the Effective Date and, if any such change has occurred, specifying the effect of such change on the financial statements accompanying such certificate;</w:t>
      </w:r>
    </w:p>
    <w:p>
      <w:pPr>
        <w:spacing w:after="0" w:line="140" w:lineRule="exact"/>
        <w:rPr>
          <w:sz w:val="20"/>
          <w:szCs w:val="20"/>
          <w:color w:val="auto"/>
        </w:rPr>
      </w:pPr>
    </w:p>
    <w:p>
      <w:pPr>
        <w:ind w:right="340" w:firstLine="906"/>
        <w:spacing w:after="0" w:line="331" w:lineRule="auto"/>
        <w:tabs>
          <w:tab w:leader="none" w:pos="114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as soon as available and in any event not later than 20 days after the end of each monthly accounting period (ending on the last day of each calendar month) of the Borrower and its Subsidiaries, a Borrowing Base Certificate as at the last day of such accounting period;</w:t>
      </w:r>
    </w:p>
    <w:p>
      <w:pPr>
        <w:spacing w:after="0" w:line="86" w:lineRule="exact"/>
        <w:rPr>
          <w:rFonts w:ascii="Arial" w:cs="Arial" w:eastAsia="Arial" w:hAnsi="Arial"/>
          <w:sz w:val="16"/>
          <w:szCs w:val="16"/>
          <w:color w:val="auto"/>
        </w:rPr>
      </w:pPr>
    </w:p>
    <w:p>
      <w:pPr>
        <w:ind w:firstLine="906"/>
        <w:spacing w:after="0" w:line="298" w:lineRule="auto"/>
        <w:tabs>
          <w:tab w:leader="none" w:pos="113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promptly but no later than five Business Days after the Borrower shall at any time have knowledge that there is a Borrowing Base Deficiency, a Borrowing Base Certificate as at the date the Borrower has knowledge of such Borrowing Base Deficiency indicating the amount of the Borrowing Base Deficiency as at the date the Borrower obtained knowledge of such deficiency and the amount of the Borrowing Base Deficiency as of the date not earlier than one Business Day prior to the date the Borrowing Base Certificate is delivered pursuant to this paragraph;</w:t>
      </w:r>
    </w:p>
    <w:p>
      <w:pPr>
        <w:spacing w:after="0" w:line="112" w:lineRule="exact"/>
        <w:rPr>
          <w:rFonts w:ascii="Arial" w:cs="Arial" w:eastAsia="Arial" w:hAnsi="Arial"/>
          <w:sz w:val="16"/>
          <w:szCs w:val="16"/>
          <w:color w:val="auto"/>
        </w:rPr>
      </w:pPr>
    </w:p>
    <w:p>
      <w:pPr>
        <w:ind w:right="140" w:firstLine="906"/>
        <w:spacing w:after="0" w:line="259" w:lineRule="auto"/>
        <w:tabs>
          <w:tab w:leader="none" w:pos="111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39" w:lineRule="exact"/>
        <w:rPr>
          <w:rFonts w:ascii="Arial" w:cs="Arial" w:eastAsia="Arial" w:hAnsi="Arial"/>
          <w:sz w:val="18"/>
          <w:szCs w:val="18"/>
          <w:color w:val="auto"/>
        </w:rPr>
      </w:pPr>
    </w:p>
    <w:p>
      <w:pPr>
        <w:ind w:right="100" w:firstLine="906"/>
        <w:spacing w:after="0" w:line="259"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filed by the Borrower or any of its Subsidiaries with the Securities and Exchange Commission, or any Governmental Authority succeeding to any or all of the functions of said Commission, or with any national securities exchange, as the case may be; and</w:t>
      </w:r>
    </w:p>
    <w:p>
      <w:pPr>
        <w:spacing w:after="0" w:line="139" w:lineRule="exact"/>
        <w:rPr>
          <w:rFonts w:ascii="Arial" w:cs="Arial" w:eastAsia="Arial" w:hAnsi="Arial"/>
          <w:sz w:val="18"/>
          <w:szCs w:val="18"/>
          <w:color w:val="auto"/>
        </w:rPr>
      </w:pPr>
    </w:p>
    <w:p>
      <w:pPr>
        <w:ind w:right="20" w:firstLine="906"/>
        <w:spacing w:after="0" w:line="259"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pacing w:after="0" w:line="139" w:lineRule="exact"/>
        <w:rPr>
          <w:rFonts w:ascii="Arial" w:cs="Arial" w:eastAsia="Arial" w:hAnsi="Arial"/>
          <w:sz w:val="18"/>
          <w:szCs w:val="18"/>
          <w:color w:val="auto"/>
        </w:rPr>
      </w:pPr>
    </w:p>
    <w:p>
      <w:pPr>
        <w:ind w:right="40" w:firstLine="906"/>
        <w:spacing w:after="0" w:line="288" w:lineRule="auto"/>
        <w:tabs>
          <w:tab w:leader="none" w:pos="110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Borrower and each Lender acknowledge that certain of the Lenders may be Public Lenders and, if documents or notices required to be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otherwise are being distributed through IntraLinks/IntraAgency, SyndTrak or another relevant website or other information platform (the “Platform”),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of this Agreement).</w:t>
      </w:r>
    </w:p>
    <w:p>
      <w:pPr>
        <w:spacing w:after="0" w:line="110"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72</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19" w:name="page120"/>
    <w:bookmarkEnd w:id="119"/>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Borrower will furnish to the Administrative Agent and each Lender prompt written notice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65" w:lineRule="exact"/>
        <w:rPr>
          <w:sz w:val="20"/>
          <w:szCs w:val="20"/>
          <w:color w:val="auto"/>
        </w:rPr>
      </w:pPr>
    </w:p>
    <w:p>
      <w:pPr>
        <w:ind w:left="1140" w:hanging="234"/>
        <w:spacing w:after="0"/>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71" w:lineRule="exact"/>
        <w:rPr>
          <w:rFonts w:ascii="Arial" w:cs="Arial" w:eastAsia="Arial" w:hAnsi="Arial"/>
          <w:sz w:val="18"/>
          <w:szCs w:val="18"/>
          <w:color w:val="auto"/>
        </w:rPr>
      </w:pPr>
    </w:p>
    <w:p>
      <w:pPr>
        <w:ind w:right="280" w:firstLine="906"/>
        <w:spacing w:after="0" w:line="331" w:lineRule="auto"/>
        <w:tabs>
          <w:tab w:leader="none" w:pos="114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86" w:lineRule="exact"/>
        <w:rPr>
          <w:rFonts w:ascii="Arial" w:cs="Arial" w:eastAsia="Arial" w:hAnsi="Arial"/>
          <w:sz w:val="16"/>
          <w:szCs w:val="16"/>
          <w:color w:val="auto"/>
        </w:rPr>
      </w:pPr>
    </w:p>
    <w:p>
      <w:pPr>
        <w:ind w:right="180" w:firstLine="906"/>
        <w:spacing w:after="0" w:line="268" w:lineRule="auto"/>
        <w:tabs>
          <w:tab w:leader="none" w:pos="113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liability of the Borrower and its Subsidiaries in an aggregate amount exceeding $5,000,000; and</w:t>
      </w:r>
    </w:p>
    <w:p>
      <w:pPr>
        <w:spacing w:after="0" w:line="131" w:lineRule="exact"/>
        <w:rPr>
          <w:rFonts w:ascii="Arial" w:cs="Arial" w:eastAsia="Arial" w:hAnsi="Arial"/>
          <w:sz w:val="18"/>
          <w:szCs w:val="18"/>
          <w:color w:val="auto"/>
        </w:rPr>
      </w:pPr>
    </w:p>
    <w:p>
      <w:pPr>
        <w:ind w:left="1160" w:hanging="254"/>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171" w:lineRule="exact"/>
        <w:rPr>
          <w:sz w:val="20"/>
          <w:szCs w:val="20"/>
          <w:color w:val="auto"/>
        </w:rPr>
      </w:pPr>
    </w:p>
    <w:p>
      <w:pPr>
        <w:ind w:right="360" w:firstLine="898"/>
        <w:spacing w:after="0" w:line="331" w:lineRule="auto"/>
        <w:rPr>
          <w:sz w:val="20"/>
          <w:szCs w:val="20"/>
          <w:color w:val="auto"/>
        </w:rPr>
      </w:pPr>
      <w:r>
        <w:rPr>
          <w:rFonts w:ascii="Arial" w:cs="Arial" w:eastAsia="Arial" w:hAnsi="Arial"/>
          <w:sz w:val="16"/>
          <w:szCs w:val="16"/>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87" w:lineRule="exact"/>
        <w:rPr>
          <w:sz w:val="20"/>
          <w:szCs w:val="20"/>
          <w:color w:val="auto"/>
        </w:rPr>
      </w:pPr>
    </w:p>
    <w:p>
      <w:pPr>
        <w:ind w:right="60" w:firstLine="898"/>
        <w:spacing w:after="0" w:line="256"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43" w:lineRule="exact"/>
        <w:rPr>
          <w:sz w:val="20"/>
          <w:szCs w:val="20"/>
          <w:color w:val="auto"/>
        </w:rPr>
      </w:pPr>
    </w:p>
    <w:p>
      <w:pPr>
        <w:ind w:right="60" w:firstLine="898"/>
        <w:spacing w:after="0" w:line="294"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15" w:lineRule="exact"/>
        <w:rPr>
          <w:sz w:val="20"/>
          <w:szCs w:val="20"/>
          <w:color w:val="auto"/>
        </w:rPr>
      </w:pPr>
    </w:p>
    <w:p>
      <w:pPr>
        <w:ind w:right="360" w:firstLine="898"/>
        <w:spacing w:after="0" w:line="298"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Maintenance of Properties; Insurance</w:t>
      </w:r>
      <w:r>
        <w:rPr>
          <w:rFonts w:ascii="Arial" w:cs="Arial" w:eastAsia="Arial" w:hAnsi="Arial"/>
          <w:sz w:val="16"/>
          <w:szCs w:val="16"/>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99"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73</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20" w:name="page121"/>
    <w:bookmarkEnd w:id="120"/>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5.06. </w:t>
      </w:r>
      <w:r>
        <w:rPr>
          <w:rFonts w:ascii="Arial" w:cs="Arial" w:eastAsia="Arial" w:hAnsi="Arial"/>
          <w:sz w:val="18"/>
          <w:szCs w:val="18"/>
          <w:u w:val="single" w:color="auto"/>
          <w:color w:val="auto"/>
        </w:rPr>
        <w:t>Books and Records; Inspection and Audit Rights</w:t>
      </w:r>
      <w:r>
        <w:rPr>
          <w:rFonts w:ascii="Arial" w:cs="Arial" w:eastAsia="Arial" w:hAnsi="Arial"/>
          <w:sz w:val="18"/>
          <w:szCs w:val="18"/>
          <w:color w:val="auto"/>
        </w:rPr>
        <w:t>.</w:t>
      </w:r>
    </w:p>
    <w:p>
      <w:pPr>
        <w:spacing w:after="0" w:line="90" w:lineRule="exact"/>
        <w:rPr>
          <w:sz w:val="20"/>
          <w:szCs w:val="20"/>
          <w:color w:val="auto"/>
        </w:rPr>
      </w:pPr>
    </w:p>
    <w:p>
      <w:pPr>
        <w:ind w:right="80" w:firstLine="906"/>
        <w:spacing w:after="0" w:line="294" w:lineRule="auto"/>
        <w:tabs>
          <w:tab w:leader="none" w:pos="1137"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Books and Records; Inspection Rights</w:t>
      </w:r>
      <w:r>
        <w:rPr>
          <w:rFonts w:ascii="Arial" w:cs="Arial" w:eastAsia="Arial" w:hAnsi="Arial"/>
          <w:sz w:val="16"/>
          <w:szCs w:val="16"/>
          <w:color w:val="auto"/>
        </w:rPr>
        <w:t xml:space="preserve">. The Borrower will, and will cause each of its Subsidiaries to, keep books of record and account in accordance with GAAP. The Borrower will, and will cause each of its Subsidiaries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or such Subsidiary shall be entitled to have its representatives and advisors present during any inspection of its books and records.</w:t>
      </w:r>
    </w:p>
    <w:p>
      <w:pPr>
        <w:spacing w:after="0" w:line="115" w:lineRule="exact"/>
        <w:rPr>
          <w:rFonts w:ascii="Arial" w:cs="Arial" w:eastAsia="Arial" w:hAnsi="Arial"/>
          <w:sz w:val="16"/>
          <w:szCs w:val="16"/>
          <w:color w:val="auto"/>
        </w:rPr>
      </w:pPr>
    </w:p>
    <w:p>
      <w:pPr>
        <w:ind w:firstLine="906"/>
        <w:spacing w:after="0" w:line="288" w:lineRule="auto"/>
        <w:tabs>
          <w:tab w:leader="none" w:pos="1147"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Audit Rights</w:t>
      </w:r>
      <w:r>
        <w:rPr>
          <w:rFonts w:ascii="Arial" w:cs="Arial" w:eastAsia="Arial" w:hAnsi="Arial"/>
          <w:sz w:val="16"/>
          <w:szCs w:val="16"/>
          <w:color w:val="auto"/>
        </w:rPr>
        <w:t xml:space="preserve">. The Borrower will, and will cause each of its Subsidiaries to, permit any representatives designated by Administrative Agent (including any consultants, accountants, lawyers and appraisers retained by the Administrative Agent) to conduct evaluations and appraisals of the Borrower’s computation of the Borrowing Base and the assets included in the Borrowing Base, all at such reasonable times and as often as reasonably requested. The Borrower shall pay the reasonable fees and expenses of any representatives retained by the Administrative Agent to conduct any such evaluation or appraisal;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pay such fees and expenses for more than one such evaluation or appraisal during any calendar year unless an Event of Default has occurred and is continuing at the time of any subsequent evaluation or appraisal during such calendar year. The Borrower also agrees to modify or adjust the computation of the Borrowing Base to the extent required by the Administrative Agent or the Required Lenders as a result of any such evaluation or appraisal;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demonstrates that such evaluation or appraisal is incorrect, the Borrower shall be permitted to re-adjust its computation of the Borrowing Base.</w:t>
      </w:r>
    </w:p>
    <w:p>
      <w:pPr>
        <w:spacing w:after="0" w:line="119" w:lineRule="exact"/>
        <w:rPr>
          <w:sz w:val="20"/>
          <w:szCs w:val="20"/>
          <w:color w:val="auto"/>
        </w:rPr>
      </w:pPr>
    </w:p>
    <w:p>
      <w:pPr>
        <w:ind w:right="220" w:firstLine="898"/>
        <w:spacing w:after="0" w:line="294"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Certain Obligations Respecting Subsidiaries; Further Assurances</w:t>
      </w:r>
      <w:r>
        <w:rPr>
          <w:rFonts w:ascii="Arial" w:cs="Arial" w:eastAsia="Arial" w:hAnsi="Arial"/>
          <w:sz w:val="18"/>
          <w:szCs w:val="18"/>
          <w:color w:val="auto"/>
        </w:rPr>
        <w:t>.</w:t>
      </w:r>
    </w:p>
    <w:p>
      <w:pPr>
        <w:spacing w:after="0" w:line="171" w:lineRule="exact"/>
        <w:rPr>
          <w:sz w:val="20"/>
          <w:szCs w:val="20"/>
          <w:color w:val="auto"/>
        </w:rPr>
      </w:pPr>
    </w:p>
    <w:p>
      <w:pPr>
        <w:ind w:right="140" w:firstLine="906"/>
        <w:spacing w:after="0" w:line="254" w:lineRule="auto"/>
        <w:tabs>
          <w:tab w:leader="none" w:pos="1137"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Subsidiary Guarantors</w:t>
      </w:r>
      <w:r>
        <w:rPr>
          <w:rFonts w:ascii="Arial" w:cs="Arial" w:eastAsia="Arial" w:hAnsi="Arial"/>
          <w:sz w:val="18"/>
          <w:szCs w:val="18"/>
          <w:color w:val="auto"/>
        </w:rPr>
        <w:t xml:space="preserve">. In the event that the Borrower or any of its Subsidiaries shall form or acquire any new Subsidiary (other than a Financing Subsidiary or a Foreign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upon the Effective Date or as the Administrative Agent shall have requested.</w:t>
      </w:r>
    </w:p>
    <w:p>
      <w:pPr>
        <w:spacing w:after="0" w:line="133"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74</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21" w:name="page122"/>
    <w:bookmarkEnd w:id="121"/>
    <w:p>
      <w:pPr>
        <w:ind w:right="620" w:firstLine="906"/>
        <w:spacing w:after="0" w:line="268" w:lineRule="auto"/>
        <w:tabs>
          <w:tab w:leader="none" w:pos="1147"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Ownership of Subsidiaries</w:t>
      </w:r>
      <w:r>
        <w:rPr>
          <w:rFonts w:ascii="Arial" w:cs="Arial" w:eastAsia="Arial" w:hAnsi="Arial"/>
          <w:sz w:val="18"/>
          <w:szCs w:val="18"/>
          <w:color w:val="auto"/>
        </w:rPr>
        <w:t>. The Borrower will, and will cause each of its Subsidiaries to, take such action from time to time as shall be necessary to ensure that each of its Subsidiaries is a wholly owned Subsidiary.</w:t>
      </w:r>
    </w:p>
    <w:p>
      <w:pPr>
        <w:spacing w:after="0" w:line="131" w:lineRule="exact"/>
        <w:rPr>
          <w:rFonts w:ascii="Arial" w:cs="Arial" w:eastAsia="Arial" w:hAnsi="Arial"/>
          <w:sz w:val="18"/>
          <w:szCs w:val="18"/>
          <w:color w:val="auto"/>
        </w:rPr>
      </w:pPr>
    </w:p>
    <w:p>
      <w:pPr>
        <w:ind w:firstLine="906"/>
        <w:spacing w:after="0" w:line="283" w:lineRule="auto"/>
        <w:tabs>
          <w:tab w:leader="none" w:pos="1137"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perfected security interests and Liens in the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security interest or Lien shall be subject to the relevant requirements of the Security Documents, (ii) to cause any bank or securities intermediary (within the meaning of the Uniform Commercial Code) to enter into such arrangements with the Collateral Agent as shall be appropriate in order that the Collateral Agent has “</w:t>
      </w:r>
      <w:r>
        <w:rPr>
          <w:rFonts w:ascii="Arial" w:cs="Arial" w:eastAsia="Arial" w:hAnsi="Arial"/>
          <w:sz w:val="16"/>
          <w:szCs w:val="16"/>
          <w:u w:val="single" w:color="auto"/>
          <w:color w:val="auto"/>
        </w:rPr>
        <w:t>control</w:t>
      </w:r>
      <w:r>
        <w:rPr>
          <w:rFonts w:ascii="Arial" w:cs="Arial" w:eastAsia="Arial" w:hAnsi="Arial"/>
          <w:sz w:val="16"/>
          <w:szCs w:val="16"/>
          <w:color w:val="auto"/>
        </w:rPr>
        <w:t xml:space="preserve">” (within the meaning of the Uniform Commercial Code) over each bank account or securities account of the Obligors, and in that connection, the Borrower agrees to cause all cash and other proceeds of Portfolio Investments received by any Obligor to be promptly deposited into such an account (or otherwise delivered to, or registered in the name of, the Collateral Agent) and, until such deposit, delivery or registration such cash and other proceeds shall be held in trust by the Borrower for and as the property of the Collateral Agent and shall not be commingled with any other finds or property of such Obligor, (iii) in the case of any Portfolio Investment consisting of a Bank Loan (as defined in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w:t>
      </w:r>
      <w:r>
        <w:rPr>
          <w:rFonts w:ascii="Arial" w:cs="Arial" w:eastAsia="Arial" w:hAnsi="Arial"/>
          <w:sz w:val="16"/>
          <w:szCs w:val="16"/>
          <w:u w:val="single" w:color="auto"/>
          <w:color w:val="auto"/>
        </w:rPr>
        <w:t>lender</w:t>
      </w:r>
      <w:r>
        <w:rPr>
          <w:rFonts w:ascii="Arial" w:cs="Arial" w:eastAsia="Arial" w:hAnsi="Arial"/>
          <w:sz w:val="16"/>
          <w:szCs w:val="16"/>
          <w:color w:val="auto"/>
        </w:rPr>
        <w:t>”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(iv)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(v)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126"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75</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22" w:name="page123"/>
    <w:bookmarkEnd w:id="122"/>
    <w:p>
      <w:pPr>
        <w:ind w:right="220" w:firstLine="898"/>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5.09.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Borrower will use the proceeds of the Loans only for general corporate purposes of the Borrower in the ordinary course of business, including the acquisition and funding (either directly or through one or more wholly-owned Subsidiaries) of leveraged loans, mezzanine loans, high-yield securities, convertible securities, preferred stock, common stock and other Portfolio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Administrative Agent nor any Lender shall have any responsibility as to the use of any of such proceeds. No part of the proceeds of any Loan will be used in violation of applicable law or, directly or indirectly, for the purpose, whether immediate, incidental or ultimate, of buying or carrying any Margin Stock. Margin Stock shall be purchased by the Obligors only with the proceeds of Indebtedness not directly or indirectly secured by Margin Stock, or with the proceeds of equity capital of the Borrower.</w:t>
      </w:r>
    </w:p>
    <w:p>
      <w:pPr>
        <w:spacing w:after="0" w:line="147" w:lineRule="exact"/>
        <w:rPr>
          <w:sz w:val="20"/>
          <w:szCs w:val="20"/>
          <w:color w:val="auto"/>
        </w:rPr>
      </w:pPr>
    </w:p>
    <w:p>
      <w:pPr>
        <w:ind w:right="780" w:firstLine="898"/>
        <w:spacing w:after="0" w:line="268"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Status of RIC and BDC</w:t>
      </w:r>
      <w:r>
        <w:rPr>
          <w:rFonts w:ascii="Arial" w:cs="Arial" w:eastAsia="Arial" w:hAnsi="Arial"/>
          <w:sz w:val="18"/>
          <w:szCs w:val="18"/>
          <w:color w:val="auto"/>
        </w:rPr>
        <w:t>. The Borrower shall at all times maintain its status as a RIC under the Code, and as a “business development company” under the Investment Company Act.</w:t>
      </w:r>
    </w:p>
    <w:p>
      <w:pPr>
        <w:spacing w:after="0" w:line="132"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Investment Policies</w:t>
      </w:r>
      <w:r>
        <w:rPr>
          <w:rFonts w:ascii="Arial" w:cs="Arial" w:eastAsia="Arial" w:hAnsi="Arial"/>
          <w:sz w:val="18"/>
          <w:szCs w:val="18"/>
          <w:color w:val="auto"/>
        </w:rPr>
        <w:t xml:space="preserve">. The Borrower shall at all times be in compliance in all material respects with its Investment Policies;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shall not be deemed a material change in the Investment Policies if (i) investment size (which as of the Effective Date is to normally range from between $5,000,000 and $50,000,000) proportionately increases as the size of the Borrower’s capital base changes or (ii) the Borrower and its Subsidiaries, taken as a whole, invest up to 30% of their assets in non-U.S. companies.</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Portfolio Valuation and Diversification Etc</w:t>
      </w:r>
      <w:r>
        <w:rPr>
          <w:rFonts w:ascii="Arial" w:cs="Arial" w:eastAsia="Arial" w:hAnsi="Arial"/>
          <w:sz w:val="18"/>
          <w:szCs w:val="18"/>
          <w:color w:val="auto"/>
        </w:rPr>
        <w:t>.</w:t>
      </w:r>
    </w:p>
    <w:p>
      <w:pPr>
        <w:spacing w:after="0" w:line="90" w:lineRule="exact"/>
        <w:rPr>
          <w:sz w:val="20"/>
          <w:szCs w:val="20"/>
          <w:color w:val="auto"/>
        </w:rPr>
      </w:pPr>
    </w:p>
    <w:p>
      <w:pPr>
        <w:ind w:right="160" w:firstLine="906"/>
        <w:spacing w:after="0" w:line="254" w:lineRule="auto"/>
        <w:tabs>
          <w:tab w:leader="none" w:pos="1137"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Industry Classification Groups</w:t>
      </w:r>
      <w:r>
        <w:rPr>
          <w:rFonts w:ascii="Arial" w:cs="Arial" w:eastAsia="Arial" w:hAnsi="Arial"/>
          <w:sz w:val="18"/>
          <w:szCs w:val="18"/>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46" w:lineRule="exact"/>
        <w:rPr>
          <w:rFonts w:ascii="Arial" w:cs="Arial" w:eastAsia="Arial" w:hAnsi="Arial"/>
          <w:sz w:val="18"/>
          <w:szCs w:val="18"/>
          <w:color w:val="auto"/>
        </w:rPr>
      </w:pPr>
    </w:p>
    <w:p>
      <w:pPr>
        <w:ind w:left="1160" w:hanging="254"/>
        <w:spacing w:after="0"/>
        <w:tabs>
          <w:tab w:leader="none" w:pos="116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Portfolio Valuation Etc</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28"/>
        <w:spacing w:after="0" w:line="298" w:lineRule="auto"/>
        <w:tabs>
          <w:tab w:leader="none" w:pos="1101"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Settlement Date Basis</w:t>
      </w:r>
      <w:r>
        <w:rPr>
          <w:rFonts w:ascii="Arial" w:cs="Arial" w:eastAsia="Arial" w:hAnsi="Arial"/>
          <w:sz w:val="16"/>
          <w:szCs w:val="16"/>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investment shall be included as a Portfolio Investment to the extent it has not been paid for in full.</w:t>
      </w:r>
    </w:p>
    <w:p>
      <w:pPr>
        <w:spacing w:after="0" w:line="99"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76</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23" w:name="page124"/>
    <w:bookmarkEnd w:id="123"/>
    <w:p>
      <w:pPr>
        <w:ind w:left="1140" w:hanging="252"/>
        <w:spacing w:after="0"/>
        <w:tabs>
          <w:tab w:leader="none" w:pos="114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Determination of Values</w:t>
      </w:r>
      <w:r>
        <w:rPr>
          <w:rFonts w:ascii="Arial" w:cs="Arial" w:eastAsia="Arial" w:hAnsi="Arial"/>
          <w:sz w:val="16"/>
          <w:szCs w:val="16"/>
          <w:color w:val="auto"/>
        </w:rPr>
        <w:t>. The Borrower will conduct reviews of the value to be assigned to each of its Portfolio Investments as follows:</w:t>
      </w:r>
    </w:p>
    <w:p>
      <w:pPr>
        <w:spacing w:after="0" w:line="113" w:lineRule="exact"/>
        <w:rPr>
          <w:rFonts w:ascii="Arial" w:cs="Arial" w:eastAsia="Arial" w:hAnsi="Arial"/>
          <w:sz w:val="16"/>
          <w:szCs w:val="16"/>
          <w:color w:val="auto"/>
        </w:rPr>
      </w:pPr>
    </w:p>
    <w:p>
      <w:pPr>
        <w:ind w:left="900" w:right="80" w:firstLine="420"/>
        <w:spacing w:after="0" w:line="306" w:lineRule="auto"/>
        <w:tabs>
          <w:tab w:leader="none" w:pos="1601"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Quoted Investments - External Review</w:t>
      </w:r>
      <w:r>
        <w:rPr>
          <w:rFonts w:ascii="Arial" w:cs="Arial" w:eastAsia="Arial" w:hAnsi="Arial"/>
          <w:sz w:val="16"/>
          <w:szCs w:val="16"/>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25" w:lineRule="exact"/>
        <w:rPr>
          <w:rFonts w:ascii="Arial" w:cs="Arial" w:eastAsia="Arial" w:hAnsi="Arial"/>
          <w:sz w:val="16"/>
          <w:szCs w:val="16"/>
          <w:color w:val="auto"/>
        </w:rPr>
      </w:pPr>
    </w:p>
    <w:p>
      <w:pPr>
        <w:ind w:left="1460" w:right="200" w:firstLine="399"/>
        <w:spacing w:after="0" w:line="268" w:lineRule="auto"/>
        <w:tabs>
          <w:tab w:leader="none" w:pos="2138" w:val="left"/>
        </w:tabs>
        <w:numPr>
          <w:ilvl w:val="2"/>
          <w:numId w:val="128"/>
        </w:numPr>
        <w:rPr>
          <w:rFonts w:ascii="Arial" w:cs="Arial" w:eastAsia="Arial" w:hAnsi="Arial"/>
          <w:sz w:val="18"/>
          <w:szCs w:val="18"/>
          <w:color w:val="auto"/>
        </w:rPr>
      </w:pPr>
      <w:r>
        <w:rPr>
          <w:rFonts w:ascii="Arial" w:cs="Arial" w:eastAsia="Arial" w:hAnsi="Arial"/>
          <w:sz w:val="18"/>
          <w:szCs w:val="18"/>
          <w:color w:val="auto"/>
        </w:rPr>
        <w:t>in the case of public and 144A securities, the average of the bid prices as determined by two Approved Dealers selected by the Borrower,</w:t>
      </w:r>
    </w:p>
    <w:p>
      <w:pPr>
        <w:spacing w:after="0" w:line="50" w:lineRule="exact"/>
        <w:rPr>
          <w:rFonts w:ascii="Arial" w:cs="Arial" w:eastAsia="Arial" w:hAnsi="Arial"/>
          <w:sz w:val="18"/>
          <w:szCs w:val="18"/>
          <w:color w:val="auto"/>
        </w:rPr>
      </w:pPr>
    </w:p>
    <w:p>
      <w:pPr>
        <w:ind w:left="2100" w:hanging="241"/>
        <w:spacing w:after="0"/>
        <w:tabs>
          <w:tab w:leader="none" w:pos="210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in the case of bank loans, the bid price as determined by one Approved Dealer selected by the Borrower,</w:t>
      </w:r>
    </w:p>
    <w:p>
      <w:pPr>
        <w:spacing w:after="0" w:line="90" w:lineRule="exact"/>
        <w:rPr>
          <w:rFonts w:ascii="Arial" w:cs="Arial" w:eastAsia="Arial" w:hAnsi="Arial"/>
          <w:sz w:val="18"/>
          <w:szCs w:val="18"/>
          <w:color w:val="auto"/>
        </w:rPr>
      </w:pPr>
    </w:p>
    <w:p>
      <w:pPr>
        <w:ind w:left="1460" w:right="440" w:firstLine="399"/>
        <w:spacing w:after="0" w:line="268" w:lineRule="auto"/>
        <w:tabs>
          <w:tab w:leader="none" w:pos="2099" w:val="left"/>
        </w:tabs>
        <w:numPr>
          <w:ilvl w:val="2"/>
          <w:numId w:val="128"/>
        </w:numPr>
        <w:rPr>
          <w:rFonts w:ascii="Arial" w:cs="Arial" w:eastAsia="Arial" w:hAnsi="Arial"/>
          <w:sz w:val="18"/>
          <w:szCs w:val="18"/>
          <w:color w:val="auto"/>
        </w:rPr>
      </w:pPr>
      <w:r>
        <w:rPr>
          <w:rFonts w:ascii="Arial" w:cs="Arial" w:eastAsia="Arial" w:hAnsi="Arial"/>
          <w:sz w:val="18"/>
          <w:szCs w:val="18"/>
          <w:color w:val="auto"/>
        </w:rPr>
        <w:t>in the case of any Portfolio Investment traded on an exchange, the closing price for such Portfolio Investment most recently posted on such exchange, and</w:t>
      </w:r>
    </w:p>
    <w:p>
      <w:pPr>
        <w:spacing w:after="0" w:line="50" w:lineRule="exact"/>
        <w:rPr>
          <w:rFonts w:ascii="Arial" w:cs="Arial" w:eastAsia="Arial" w:hAnsi="Arial"/>
          <w:sz w:val="18"/>
          <w:szCs w:val="18"/>
          <w:color w:val="auto"/>
        </w:rPr>
      </w:pPr>
    </w:p>
    <w:p>
      <w:pPr>
        <w:ind w:left="2100" w:hanging="241"/>
        <w:spacing w:after="0"/>
        <w:tabs>
          <w:tab w:leader="none" w:pos="2100" w:val="left"/>
        </w:tabs>
        <w:numPr>
          <w:ilvl w:val="2"/>
          <w:numId w:val="128"/>
        </w:numPr>
        <w:rPr>
          <w:rFonts w:ascii="Arial" w:cs="Arial" w:eastAsia="Arial" w:hAnsi="Arial"/>
          <w:sz w:val="16"/>
          <w:szCs w:val="16"/>
          <w:color w:val="auto"/>
        </w:rPr>
      </w:pPr>
      <w:r>
        <w:rPr>
          <w:rFonts w:ascii="Arial" w:cs="Arial" w:eastAsia="Arial" w:hAnsi="Arial"/>
          <w:sz w:val="16"/>
          <w:szCs w:val="16"/>
          <w:color w:val="auto"/>
        </w:rPr>
        <w:t>in the case of any other Portfolio Investment, the fair market value thereof as determined by an Approved Pricing Service; and</w:t>
      </w:r>
    </w:p>
    <w:p>
      <w:pPr>
        <w:spacing w:after="0" w:line="113" w:lineRule="exact"/>
        <w:rPr>
          <w:rFonts w:ascii="Arial" w:cs="Arial" w:eastAsia="Arial" w:hAnsi="Arial"/>
          <w:sz w:val="16"/>
          <w:szCs w:val="16"/>
          <w:color w:val="auto"/>
        </w:rPr>
      </w:pPr>
    </w:p>
    <w:p>
      <w:pPr>
        <w:jc w:val="both"/>
        <w:ind w:left="900" w:firstLine="420"/>
        <w:spacing w:after="0" w:line="259" w:lineRule="auto"/>
        <w:tabs>
          <w:tab w:leader="none" w:pos="1591"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Unquoted Investments- External Review</w:t>
      </w:r>
      <w:r>
        <w:rPr>
          <w:rFonts w:ascii="Arial" w:cs="Arial" w:eastAsia="Arial" w:hAnsi="Arial"/>
          <w:sz w:val="18"/>
          <w:szCs w:val="18"/>
          <w:color w:val="auto"/>
        </w:rPr>
        <w:t xml:space="preserve">. With respect to Portfolio Investments for which market quotations are not readily available, the Borrower shall request an Approved Third-Party Appraiser to assist the Board of Directors of the Borrower in determining the fair market value of such Portfolio Investments, as at the last day of each fiscal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58" w:lineRule="exact"/>
        <w:rPr>
          <w:rFonts w:ascii="Arial" w:cs="Arial" w:eastAsia="Arial" w:hAnsi="Arial"/>
          <w:sz w:val="18"/>
          <w:szCs w:val="18"/>
          <w:color w:val="auto"/>
        </w:rPr>
      </w:pPr>
    </w:p>
    <w:p>
      <w:pPr>
        <w:ind w:left="1460" w:firstLine="399"/>
        <w:spacing w:after="0" w:line="256" w:lineRule="auto"/>
        <w:tabs>
          <w:tab w:leader="none" w:pos="2099" w:val="left"/>
        </w:tabs>
        <w:numPr>
          <w:ilvl w:val="2"/>
          <w:numId w:val="129"/>
        </w:numPr>
        <w:rPr>
          <w:rFonts w:ascii="Arial" w:cs="Arial" w:eastAsia="Arial" w:hAnsi="Arial"/>
          <w:sz w:val="18"/>
          <w:szCs w:val="18"/>
          <w:color w:val="auto"/>
        </w:rPr>
      </w:pPr>
      <w:r>
        <w:rPr>
          <w:rFonts w:ascii="Arial" w:cs="Arial" w:eastAsia="Arial" w:hAnsi="Arial"/>
          <w:sz w:val="18"/>
          <w:szCs w:val="18"/>
          <w:color w:val="auto"/>
        </w:rPr>
        <w:t xml:space="preserve">the Value of any such Portfolio Investment (i.e., a Portfolio Investment for which market quotations are not readily available) acquired during a fiscal quarter shall be deemed to be equal to the cost of such Portfolio Investment until such time as the fair market value of such Portfolio Investment is determined in accordance with the foregoing provisions of this </w:t>
      </w:r>
      <w:r>
        <w:rPr>
          <w:rFonts w:ascii="Arial" w:cs="Arial" w:eastAsia="Arial" w:hAnsi="Arial"/>
          <w:sz w:val="18"/>
          <w:szCs w:val="18"/>
          <w:u w:val="single" w:color="auto"/>
          <w:color w:val="auto"/>
        </w:rPr>
        <w:t>sub-clause</w:t>
      </w:r>
      <w:r>
        <w:rPr>
          <w:rFonts w:ascii="Arial" w:cs="Arial" w:eastAsia="Arial" w:hAnsi="Arial"/>
          <w:sz w:val="18"/>
          <w:szCs w:val="18"/>
          <w:color w:val="auto"/>
        </w:rPr>
        <w:t xml:space="preserve"> (B) as at the last day of such fiscal quarter; and</w:t>
      </w:r>
    </w:p>
    <w:p>
      <w:pPr>
        <w:spacing w:after="0" w:line="61" w:lineRule="exact"/>
        <w:rPr>
          <w:rFonts w:ascii="Arial" w:cs="Arial" w:eastAsia="Arial" w:hAnsi="Arial"/>
          <w:sz w:val="18"/>
          <w:szCs w:val="18"/>
          <w:color w:val="auto"/>
        </w:rPr>
      </w:pPr>
    </w:p>
    <w:p>
      <w:pPr>
        <w:ind w:left="1460" w:right="20" w:firstLine="399"/>
        <w:spacing w:after="0" w:line="290" w:lineRule="auto"/>
        <w:tabs>
          <w:tab w:leader="none" w:pos="2099" w:val="left"/>
        </w:tabs>
        <w:numPr>
          <w:ilvl w:val="2"/>
          <w:numId w:val="129"/>
        </w:numPr>
        <w:rPr>
          <w:rFonts w:ascii="Arial" w:cs="Arial" w:eastAsia="Arial" w:hAnsi="Arial"/>
          <w:sz w:val="16"/>
          <w:szCs w:val="16"/>
          <w:color w:val="auto"/>
        </w:rPr>
      </w:pPr>
      <w:r>
        <w:rPr>
          <w:rFonts w:ascii="Arial" w:cs="Arial" w:eastAsia="Arial" w:hAnsi="Arial"/>
          <w:sz w:val="16"/>
          <w:szCs w:val="16"/>
          <w:color w:val="auto"/>
        </w:rPr>
        <w:t>notwithstanding the foregoing, the Board of Directors of the Borrower may, without the assistance of an Approved Third-Party Appraiser, determine the fair market value of such unquoted Portfolio Investments so long as the aggregate Value thereof so determined does not at any time exceed 10% of the aggregate Borrowing Base, except that the fair market value of any Portfolio Investment that has been determined without the assistance of an Approved Third-Party Appraiser as at the last day of any fiscal quarter shall be deemed to be zero as at the last day of the immediately succeeding fiscal quarter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w:t>
      </w:r>
    </w:p>
    <w:p>
      <w:pPr>
        <w:spacing w:after="0" w:line="104"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77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24" w:name="page125"/>
    <w:bookmarkEnd w:id="124"/>
    <w:p>
      <w:pPr>
        <w:ind w:left="900" w:right="80" w:firstLine="420"/>
        <w:spacing w:after="0" w:line="288" w:lineRule="auto"/>
        <w:tabs>
          <w:tab w:leader="none" w:pos="1591"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Internal Review</w:t>
      </w:r>
      <w:r>
        <w:rPr>
          <w:rFonts w:ascii="Arial" w:cs="Arial" w:eastAsia="Arial" w:hAnsi="Arial"/>
          <w:sz w:val="16"/>
          <w:szCs w:val="16"/>
          <w:color w:val="auto"/>
        </w:rPr>
        <w:t xml:space="preserve">. The Borrower shall conduct internal reviews of all Portfolio Investments at least once each calendar week which shall take into account any events of which the Borrower has knowledge that adversely affect the value of the Portfolio Investments. If the value of any Portfolio Investment as most recently determined by the Borrower pursuant to this </w:t>
      </w:r>
      <w:r>
        <w:rPr>
          <w:rFonts w:ascii="Arial" w:cs="Arial" w:eastAsia="Arial" w:hAnsi="Arial"/>
          <w:sz w:val="16"/>
          <w:szCs w:val="16"/>
          <w:u w:val="single" w:color="auto"/>
          <w:color w:val="auto"/>
        </w:rPr>
        <w:t>Section 5.12(b)(ii)(C)</w:t>
      </w:r>
      <w:r>
        <w:rPr>
          <w:rFonts w:ascii="Arial" w:cs="Arial" w:eastAsia="Arial" w:hAnsi="Arial"/>
          <w:sz w:val="16"/>
          <w:szCs w:val="16"/>
          <w:color w:val="auto"/>
        </w:rPr>
        <w:t xml:space="preserve"> is lower than the value of such Portfolio Investment as most recently determined pursuant to </w:t>
      </w:r>
      <w:r>
        <w:rPr>
          <w:rFonts w:ascii="Arial" w:cs="Arial" w:eastAsia="Arial" w:hAnsi="Arial"/>
          <w:sz w:val="16"/>
          <w:szCs w:val="16"/>
          <w:u w:val="single" w:color="auto"/>
          <w:color w:val="auto"/>
        </w:rPr>
        <w:t>Section 5.12(b)(ii)(A)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such lower value shall be deemed to be the “Value” of such Portfolio Investment for purposes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37" w:lineRule="exact"/>
        <w:rPr>
          <w:rFonts w:ascii="Arial" w:cs="Arial" w:eastAsia="Arial" w:hAnsi="Arial"/>
          <w:sz w:val="16"/>
          <w:szCs w:val="16"/>
          <w:color w:val="auto"/>
        </w:rPr>
      </w:pPr>
    </w:p>
    <w:p>
      <w:pPr>
        <w:ind w:left="900" w:firstLine="420"/>
        <w:spacing w:after="0" w:line="356" w:lineRule="auto"/>
        <w:tabs>
          <w:tab w:leader="none" w:pos="1601" w:val="left"/>
        </w:tabs>
        <w:numPr>
          <w:ilvl w:val="0"/>
          <w:numId w:val="130"/>
        </w:numPr>
        <w:rPr>
          <w:rFonts w:ascii="Arial" w:cs="Arial" w:eastAsia="Arial" w:hAnsi="Arial"/>
          <w:sz w:val="15"/>
          <w:szCs w:val="15"/>
          <w:color w:val="auto"/>
        </w:rPr>
      </w:pPr>
      <w:r>
        <w:rPr>
          <w:rFonts w:ascii="Arial" w:cs="Arial" w:eastAsia="Arial" w:hAnsi="Arial"/>
          <w:sz w:val="15"/>
          <w:szCs w:val="15"/>
          <w:u w:val="single" w:color="auto"/>
          <w:color w:val="auto"/>
        </w:rPr>
        <w:t>Failure to Determine Values</w:t>
      </w:r>
      <w:r>
        <w:rPr>
          <w:rFonts w:ascii="Arial" w:cs="Arial" w:eastAsia="Arial" w:hAnsi="Arial"/>
          <w:sz w:val="15"/>
          <w:szCs w:val="15"/>
          <w:color w:val="auto"/>
        </w:rPr>
        <w:t xml:space="preserve">. If the Borrower shall fail to determine the value of any Portfolio Investment as at any date pursuant to the requirements of the foregoing </w:t>
      </w:r>
      <w:r>
        <w:rPr>
          <w:rFonts w:ascii="Arial" w:cs="Arial" w:eastAsia="Arial" w:hAnsi="Arial"/>
          <w:sz w:val="15"/>
          <w:szCs w:val="15"/>
          <w:u w:val="single" w:color="auto"/>
          <w:color w:val="auto"/>
        </w:rPr>
        <w:t>sub-clauses (A)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(C)</w:t>
      </w:r>
      <w:r>
        <w:rPr>
          <w:rFonts w:ascii="Arial" w:cs="Arial" w:eastAsia="Arial" w:hAnsi="Arial"/>
          <w:sz w:val="15"/>
          <w:szCs w:val="15"/>
          <w:color w:val="auto"/>
        </w:rPr>
        <w:t>, then the “Value” of such Portfolio Investment as at such date shall be deemed to be zero.</w:t>
      </w:r>
    </w:p>
    <w:p>
      <w:pPr>
        <w:spacing w:after="0" w:line="1" w:lineRule="exact"/>
        <w:rPr>
          <w:rFonts w:ascii="Arial" w:cs="Arial" w:eastAsia="Arial" w:hAnsi="Arial"/>
          <w:sz w:val="15"/>
          <w:szCs w:val="15"/>
          <w:color w:val="auto"/>
        </w:rPr>
      </w:pPr>
    </w:p>
    <w:p>
      <w:pPr>
        <w:ind w:left="1580" w:hanging="260"/>
        <w:spacing w:after="0"/>
        <w:tabs>
          <w:tab w:leader="none" w:pos="158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Testing of Values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0" w:right="40" w:firstLine="399"/>
        <w:spacing w:after="0" w:line="254" w:lineRule="auto"/>
        <w:tabs>
          <w:tab w:leader="none" w:pos="209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For the second calendar month immediately following the end of each fiscal quarter (the last such fiscal quarter is referred to herein as, the “</w:t>
      </w:r>
      <w:r>
        <w:rPr>
          <w:rFonts w:ascii="Arial" w:cs="Arial" w:eastAsia="Arial" w:hAnsi="Arial"/>
          <w:sz w:val="18"/>
          <w:szCs w:val="18"/>
          <w:u w:val="single" w:color="auto"/>
          <w:color w:val="auto"/>
        </w:rPr>
        <w:t>Testing Quarter</w:t>
      </w:r>
      <w:r>
        <w:rPr>
          <w:rFonts w:ascii="Arial" w:cs="Arial" w:eastAsia="Arial" w:hAnsi="Arial"/>
          <w:sz w:val="18"/>
          <w:szCs w:val="18"/>
          <w:color w:val="auto"/>
        </w:rPr>
        <w:t xml:space="preserve">”), the Administrative Agent shall cause an Approved Third-Party Appraiser selected by the Administrative Agent to value such number of Unquoted Investments (as defined below) (selected by the Administrative Agent) that collectively have an aggregate Calculation Value equal to at least 10% of the Calculation Value of all Unquoted Investments at the end of such Testing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66" w:lineRule="exact"/>
        <w:rPr>
          <w:sz w:val="20"/>
          <w:szCs w:val="20"/>
          <w:color w:val="auto"/>
        </w:rPr>
      </w:pPr>
    </w:p>
    <w:p>
      <w:pPr>
        <w:ind w:left="1460" w:right="100" w:firstLine="399"/>
        <w:spacing w:after="0" w:line="331" w:lineRule="auto"/>
        <w:tabs>
          <w:tab w:leader="none" w:pos="20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if the difference between (xx) 125% of the Covered Debt Amount (net of any Cash Collateral) and (yy) the aggregate value of all Portfolio Investments that have been assigned a value pursuant to </w:t>
      </w:r>
      <w:r>
        <w:rPr>
          <w:rFonts w:ascii="Arial" w:cs="Arial" w:eastAsia="Arial" w:hAnsi="Arial"/>
          <w:sz w:val="16"/>
          <w:szCs w:val="16"/>
          <w:u w:val="single" w:color="auto"/>
          <w:color w:val="auto"/>
        </w:rPr>
        <w:t>Section 5.12(b)(ii)(A)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Quoted Investments</w:t>
      </w:r>
      <w:r>
        <w:rPr>
          <w:rFonts w:ascii="Arial" w:cs="Arial" w:eastAsia="Arial" w:hAnsi="Arial"/>
          <w:sz w:val="16"/>
          <w:szCs w:val="16"/>
          <w:color w:val="auto"/>
        </w:rPr>
        <w:t>”) minus</w:t>
      </w:r>
    </w:p>
    <w:p>
      <w:pPr>
        <w:spacing w:after="0" w:line="73"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78</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25" w:name="page126"/>
    <w:bookmarkEnd w:id="125"/>
    <w:p>
      <w:pPr>
        <w:ind w:left="1460" w:right="160" w:firstLine="399"/>
        <w:spacing w:after="0" w:line="259" w:lineRule="auto"/>
        <w:tabs>
          <w:tab w:leader="none" w:pos="2109"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Cash Collateral is greater than 10% of the Calculation Value of all Portfolio Investments assigned a value pursuant to </w:t>
      </w:r>
      <w:r>
        <w:rPr>
          <w:rFonts w:ascii="Arial" w:cs="Arial" w:eastAsia="Arial" w:hAnsi="Arial"/>
          <w:sz w:val="18"/>
          <w:szCs w:val="18"/>
          <w:u w:val="single" w:color="auto"/>
          <w:color w:val="auto"/>
        </w:rPr>
        <w:t>Section 5.12(b)(ii)(B)</w:t>
      </w:r>
      <w:r>
        <w:rPr>
          <w:rFonts w:ascii="Arial" w:cs="Arial" w:eastAsia="Arial" w:hAnsi="Arial"/>
          <w:sz w:val="18"/>
          <w:szCs w:val="18"/>
          <w:color w:val="auto"/>
        </w:rPr>
        <w:t xml:space="preserve"> (“</w:t>
      </w:r>
      <w:r>
        <w:rPr>
          <w:rFonts w:ascii="Arial" w:cs="Arial" w:eastAsia="Arial" w:hAnsi="Arial"/>
          <w:sz w:val="18"/>
          <w:szCs w:val="18"/>
          <w:u w:val="single" w:color="auto"/>
          <w:color w:val="auto"/>
        </w:rPr>
        <w:t>Unquoted Investments</w:t>
      </w:r>
      <w:r>
        <w:rPr>
          <w:rFonts w:ascii="Arial" w:cs="Arial" w:eastAsia="Arial" w:hAnsi="Arial"/>
          <w:sz w:val="18"/>
          <w:szCs w:val="18"/>
          <w:color w:val="auto"/>
        </w:rPr>
        <w:t>”), then the Administrative Agent shall cause an Approved Third-Party Appraiser selected by the Administrative Agent to value the lesser of:</w:t>
      </w:r>
    </w:p>
    <w:p>
      <w:pPr>
        <w:spacing w:after="0" w:line="58" w:lineRule="exact"/>
        <w:rPr>
          <w:rFonts w:ascii="Arial" w:cs="Arial" w:eastAsia="Arial" w:hAnsi="Arial"/>
          <w:sz w:val="18"/>
          <w:szCs w:val="18"/>
          <w:color w:val="auto"/>
        </w:rPr>
      </w:pPr>
    </w:p>
    <w:p>
      <w:pPr>
        <w:ind w:left="1920" w:right="720" w:firstLine="370"/>
        <w:spacing w:after="0" w:line="331" w:lineRule="auto"/>
        <w:tabs>
          <w:tab w:leader="none" w:pos="2541" w:val="left"/>
        </w:tabs>
        <w:numPr>
          <w:ilvl w:val="1"/>
          <w:numId w:val="132"/>
        </w:numPr>
        <w:rPr>
          <w:rFonts w:ascii="Arial" w:cs="Arial" w:eastAsia="Arial" w:hAnsi="Arial"/>
          <w:sz w:val="16"/>
          <w:szCs w:val="16"/>
          <w:color w:val="auto"/>
        </w:rPr>
      </w:pPr>
      <w:r>
        <w:rPr>
          <w:rFonts w:ascii="Arial" w:cs="Arial" w:eastAsia="Arial" w:hAnsi="Arial"/>
          <w:sz w:val="16"/>
          <w:szCs w:val="16"/>
          <w:color w:val="auto"/>
        </w:rPr>
        <w:t>such number of additional Unquoted Investments (selected by the Administrative Agent) that collectively have an aggregate Calculation Value equal to at least 15% of the Calculation Value of all Unquoted Investments; and</w:t>
      </w:r>
    </w:p>
    <w:p>
      <w:pPr>
        <w:spacing w:after="0" w:line="5" w:lineRule="exact"/>
        <w:rPr>
          <w:rFonts w:ascii="Arial" w:cs="Arial" w:eastAsia="Arial" w:hAnsi="Arial"/>
          <w:sz w:val="16"/>
          <w:szCs w:val="16"/>
          <w:color w:val="auto"/>
        </w:rPr>
      </w:pPr>
    </w:p>
    <w:p>
      <w:pPr>
        <w:ind w:left="1920" w:right="200" w:firstLine="370"/>
        <w:spacing w:after="0" w:line="306" w:lineRule="auto"/>
        <w:tabs>
          <w:tab w:leader="none" w:pos="2541"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such number of additional Unquoted Investments that have a Calculation Value equal to 125% of the Covered Debt Amount (net of any Cash Collateral) when added to the sum of (xx) the aggregate value of all Quoted Investments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(yy) the aggregate value of all Unquoted Investments valued by an Approved Third-Party Appraiser selected by the Administrative Agent.</w:t>
      </w:r>
    </w:p>
    <w:p>
      <w:pPr>
        <w:spacing w:after="0" w:line="25" w:lineRule="exact"/>
        <w:rPr>
          <w:sz w:val="20"/>
          <w:szCs w:val="20"/>
          <w:color w:val="auto"/>
        </w:rPr>
      </w:pPr>
    </w:p>
    <w:p>
      <w:pPr>
        <w:ind w:left="1460" w:firstLine="399"/>
        <w:spacing w:after="0" w:line="283" w:lineRule="auto"/>
        <w:tabs>
          <w:tab w:leader="none" w:pos="2099"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If the aggregate value of all Quoted Investments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Unquoted Investments valued by an Approved Third-Party Appraiser selected by the Administrative Agent is not at least 125% of the Covered Debt Amount (net of any Cash Collateral), then, with respect to any Unquoted Investment currently held by the Borrower that was last valued by the Approved Third-Party Appraiser selected by the Administrative Agent in the most recent Administrative Agent Appraisal Testing Month (as defined below), the Borrower has the option to</w:t>
      </w:r>
    </w:p>
    <w:p>
      <w:pPr>
        <w:spacing w:after="0" w:line="2" w:lineRule="exact"/>
        <w:rPr>
          <w:rFonts w:ascii="Arial" w:cs="Arial" w:eastAsia="Arial" w:hAnsi="Arial"/>
          <w:sz w:val="16"/>
          <w:szCs w:val="16"/>
          <w:color w:val="auto"/>
        </w:rPr>
      </w:pPr>
    </w:p>
    <w:p>
      <w:pPr>
        <w:ind w:left="1460" w:right="220" w:firstLine="8"/>
        <w:spacing w:after="0" w:line="292" w:lineRule="auto"/>
        <w:tabs>
          <w:tab w:leader="none" w:pos="169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value such Unquoted Investment at the lower of (i) the value established by the Approved Third-Party Appraiser selected by the Administrative Agent as of the last Administrative Agent Appraisal Testing Month, applied to the current principal balance or (ii) the Board of Directors’ current value; and/or (b) request that the Approved Third-Party Appraiser selected by the Administrative Agent re-value such Unquoted Investment (and then value such Unquoted Investment at such re-valued value). If the Borrower complies with the foregoing, the Administrative Agent shall not cause the valuation of any further Unquoted Investments for the relevant quarter.</w:t>
      </w:r>
    </w:p>
    <w:p>
      <w:pPr>
        <w:spacing w:after="0" w:line="35" w:lineRule="exact"/>
        <w:rPr>
          <w:rFonts w:ascii="Arial" w:cs="Arial" w:eastAsia="Arial" w:hAnsi="Arial"/>
          <w:sz w:val="16"/>
          <w:szCs w:val="16"/>
          <w:color w:val="auto"/>
        </w:rPr>
      </w:pPr>
    </w:p>
    <w:p>
      <w:pPr>
        <w:ind w:left="1460" w:right="20" w:firstLine="399"/>
        <w:spacing w:after="0" w:line="288" w:lineRule="auto"/>
        <w:tabs>
          <w:tab w:leader="none" w:pos="2089" w:val="left"/>
        </w:tabs>
        <w:numPr>
          <w:ilvl w:val="1"/>
          <w:numId w:val="134"/>
        </w:numPr>
        <w:rPr>
          <w:rFonts w:ascii="Arial" w:cs="Arial" w:eastAsia="Arial" w:hAnsi="Arial"/>
          <w:sz w:val="16"/>
          <w:szCs w:val="16"/>
          <w:color w:val="auto"/>
        </w:rPr>
      </w:pPr>
      <w:r>
        <w:rPr>
          <w:rFonts w:ascii="Arial" w:cs="Arial" w:eastAsia="Arial" w:hAnsi="Arial"/>
          <w:sz w:val="16"/>
          <w:szCs w:val="16"/>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Arial" w:cs="Arial" w:eastAsia="Arial" w:hAnsi="Arial"/>
          <w:sz w:val="16"/>
          <w:szCs w:val="16"/>
          <w:u w:val="single" w:color="auto"/>
          <w:color w:val="auto"/>
        </w:rPr>
        <w:t>Administrative Agent Appraisal Testing Month</w:t>
      </w:r>
      <w:r>
        <w:rPr>
          <w:rFonts w:ascii="Arial" w:cs="Arial" w:eastAsia="Arial" w:hAnsi="Arial"/>
          <w:sz w:val="16"/>
          <w:szCs w:val="16"/>
          <w:color w:val="auto"/>
        </w:rPr>
        <w:t>”) and would be reflected in the Borrowing Base Certificate for such month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Approved Third-Party Appraiser delivers such valuation at least seven (7) Business Days before the 20</w:t>
      </w:r>
      <w:r>
        <w:rPr>
          <w:rFonts w:ascii="Arial" w:cs="Arial" w:eastAsia="Arial" w:hAnsi="Arial"/>
          <w:sz w:val="10"/>
          <w:szCs w:val="10"/>
          <w:color w:val="auto"/>
        </w:rPr>
        <w:t>th</w:t>
      </w:r>
      <w:r>
        <w:rPr>
          <w:rFonts w:ascii="Arial" w:cs="Arial" w:eastAsia="Arial" w:hAnsi="Arial"/>
          <w:sz w:val="16"/>
          <w:szCs w:val="16"/>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2011, then (A) the Administrative Agent would initiate the testing of Values (using the December 31, 2011 Calculation Values for purposes of determining the scope of the testing under </w:t>
      </w:r>
      <w:r>
        <w:rPr>
          <w:rFonts w:ascii="Arial" w:cs="Arial" w:eastAsia="Arial" w:hAnsi="Arial"/>
          <w:sz w:val="16"/>
          <w:szCs w:val="16"/>
          <w:u w:val="single" w:color="auto"/>
          <w:color w:val="auto"/>
        </w:rPr>
        <w:t>clauses (E)(x)</w:t>
      </w:r>
      <w:r>
        <w:rPr>
          <w:rFonts w:ascii="Arial" w:cs="Arial" w:eastAsia="Arial" w:hAnsi="Arial"/>
          <w:sz w:val="16"/>
          <w:szCs w:val="16"/>
          <w:color w:val="auto"/>
        </w:rPr>
        <w:t xml:space="preserve"> and</w:t>
      </w:r>
    </w:p>
    <w:p>
      <w:pPr>
        <w:spacing w:after="0" w:line="105"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79</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26" w:name="page127"/>
    <w:bookmarkEnd w:id="126"/>
    <w:p>
      <w:pPr>
        <w:ind w:left="1460" w:right="180"/>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(E)(y))</w:t>
      </w:r>
      <w:r>
        <w:rPr>
          <w:rFonts w:ascii="Arial" w:cs="Arial" w:eastAsia="Arial" w:hAnsi="Arial"/>
          <w:sz w:val="18"/>
          <w:szCs w:val="18"/>
          <w:color w:val="auto"/>
        </w:rPr>
        <w:t xml:space="preserve"> during the month of February with the anticipation of receiving the valuations from the applicable Approved Third-Party Appraiser(s) on or after February 28, 2012 and (B)(xx) if such valuations were received before the 7</w:t>
      </w:r>
      <w:r>
        <w:rPr>
          <w:rFonts w:ascii="Arial" w:cs="Arial" w:eastAsia="Arial" w:hAnsi="Arial"/>
          <w:sz w:val="11"/>
          <w:szCs w:val="11"/>
          <w:color w:val="auto"/>
        </w:rPr>
        <w:t>th</w:t>
      </w:r>
      <w:r>
        <w:rPr>
          <w:rFonts w:ascii="Arial" w:cs="Arial" w:eastAsia="Arial" w:hAnsi="Arial"/>
          <w:sz w:val="18"/>
          <w:szCs w:val="18"/>
          <w:color w:val="auto"/>
        </w:rPr>
        <w:t xml:space="preserve"> Business Day before March 20, 2012, such valuations would be included in the March 20, 2012 Borrowing Base Certificate covering the month of February, or (yy) if such valuations were received after such time, they would be included in the April 20, 2012 Borrowing Base Certificate for the month of March.</w:t>
      </w:r>
    </w:p>
    <w:p>
      <w:pPr>
        <w:spacing w:after="0" w:line="66" w:lineRule="exact"/>
        <w:rPr>
          <w:sz w:val="20"/>
          <w:szCs w:val="20"/>
          <w:color w:val="auto"/>
        </w:rPr>
      </w:pPr>
    </w:p>
    <w:p>
      <w:pPr>
        <w:ind w:left="1460" w:right="160"/>
        <w:spacing w:after="0" w:line="268" w:lineRule="auto"/>
        <w:rPr>
          <w:sz w:val="20"/>
          <w:szCs w:val="20"/>
          <w:color w:val="auto"/>
        </w:rPr>
      </w:pPr>
      <w:r>
        <w:rPr>
          <w:rFonts w:ascii="Arial" w:cs="Arial" w:eastAsia="Arial" w:hAnsi="Arial"/>
          <w:sz w:val="18"/>
          <w:szCs w:val="18"/>
          <w:color w:val="auto"/>
        </w:rPr>
        <w:t xml:space="preserve">For the avoidance of doubt, all calculations of value pursuant to this </w:t>
      </w:r>
      <w:r>
        <w:rPr>
          <w:rFonts w:ascii="Arial" w:cs="Arial" w:eastAsia="Arial" w:hAnsi="Arial"/>
          <w:sz w:val="18"/>
          <w:szCs w:val="18"/>
          <w:u w:val="single" w:color="auto"/>
          <w:color w:val="auto"/>
        </w:rPr>
        <w:t>Section 5.12(b)(ii)(E)</w:t>
      </w:r>
      <w:r>
        <w:rPr>
          <w:rFonts w:ascii="Arial" w:cs="Arial" w:eastAsia="Arial" w:hAnsi="Arial"/>
          <w:sz w:val="18"/>
          <w:szCs w:val="18"/>
          <w:color w:val="auto"/>
        </w:rPr>
        <w:t xml:space="preserve"> shall be determined without application of the Advance Rates.</w:t>
      </w:r>
    </w:p>
    <w:p>
      <w:pPr>
        <w:spacing w:after="0" w:line="51" w:lineRule="exact"/>
        <w:rPr>
          <w:sz w:val="20"/>
          <w:szCs w:val="20"/>
          <w:color w:val="auto"/>
        </w:rPr>
      </w:pPr>
    </w:p>
    <w:p>
      <w:pPr>
        <w:ind w:left="900" w:right="40" w:firstLine="420"/>
        <w:spacing w:after="0" w:line="283" w:lineRule="auto"/>
        <w:tabs>
          <w:tab w:leader="none" w:pos="1571"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Valuation Dispute Resolution</w:t>
      </w:r>
      <w:r>
        <w:rPr>
          <w:rFonts w:ascii="Arial" w:cs="Arial" w:eastAsia="Arial" w:hAnsi="Arial"/>
          <w:sz w:val="16"/>
          <w:szCs w:val="16"/>
          <w:color w:val="auto"/>
        </w:rPr>
        <w:t xml:space="preserve">. Notwithstanding the foregoing, the Administrative Agent shall at any time have the right to request any Portfolio Investment with a value assigned by the Borrower pursuant to </w:t>
      </w:r>
      <w:r>
        <w:rPr>
          <w:rFonts w:ascii="Arial" w:cs="Arial" w:eastAsia="Arial" w:hAnsi="Arial"/>
          <w:sz w:val="16"/>
          <w:szCs w:val="16"/>
          <w:u w:val="single" w:color="auto"/>
          <w:color w:val="auto"/>
        </w:rPr>
        <w:t>Section 5.12(b)(ii)(B)</w:t>
      </w:r>
      <w:r>
        <w:rPr>
          <w:rFonts w:ascii="Arial" w:cs="Arial" w:eastAsia="Arial" w:hAnsi="Arial"/>
          <w:sz w:val="16"/>
          <w:szCs w:val="16"/>
          <w:color w:val="auto"/>
        </w:rPr>
        <w:t xml:space="preserve"> be independently valued by an Approved Third-Party Appraiser retained by the Administrative Agent. There shall be no limit on the number of such appraisals requested by the Administrative Agent and the reasonable and documented out-of-pocket costs of any such valuation shall be at the expense of the Borrower. If the difference between the Borrower’s valuation pursuant to </w:t>
      </w:r>
      <w:r>
        <w:rPr>
          <w:rFonts w:ascii="Arial" w:cs="Arial" w:eastAsia="Arial" w:hAnsi="Arial"/>
          <w:sz w:val="16"/>
          <w:szCs w:val="16"/>
          <w:u w:val="single" w:color="auto"/>
          <w:color w:val="auto"/>
        </w:rPr>
        <w:t>Section 5.12(b)(ii)(B)</w:t>
      </w:r>
      <w:r>
        <w:rPr>
          <w:rFonts w:ascii="Arial" w:cs="Arial" w:eastAsia="Arial" w:hAnsi="Arial"/>
          <w:sz w:val="16"/>
          <w:szCs w:val="16"/>
          <w:color w:val="auto"/>
        </w:rPr>
        <w:t xml:space="preserve"> and the valuation of any Approved Third-Party Appraiser retained by the Administrative Agent pursuant to </w:t>
      </w:r>
      <w:r>
        <w:rPr>
          <w:rFonts w:ascii="Arial" w:cs="Arial" w:eastAsia="Arial" w:hAnsi="Arial"/>
          <w:sz w:val="16"/>
          <w:szCs w:val="16"/>
          <w:u w:val="single" w:color="auto"/>
          <w:color w:val="auto"/>
        </w:rPr>
        <w:t>Section 5.12(b)(ii)(E)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is (1) less than 5% of the value thereof, then the Borrower’s valuation shall be used,</w:t>
      </w:r>
    </w:p>
    <w:p>
      <w:pPr>
        <w:ind w:left="900" w:right="140" w:firstLine="6"/>
        <w:spacing w:after="0" w:line="253" w:lineRule="auto"/>
        <w:tabs>
          <w:tab w:leader="none" w:pos="114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retain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145" w:lineRule="exact"/>
        <w:rPr>
          <w:sz w:val="20"/>
          <w:szCs w:val="20"/>
          <w:color w:val="auto"/>
        </w:rPr>
      </w:pPr>
    </w:p>
    <w:p>
      <w:pPr>
        <w:ind w:right="140" w:firstLine="906"/>
        <w:spacing w:after="0" w:line="298" w:lineRule="auto"/>
        <w:tabs>
          <w:tab w:leader="none" w:pos="1137"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Investment Company Diversification and Tax Requirements</w:t>
      </w:r>
      <w:r>
        <w:rPr>
          <w:rFonts w:ascii="Arial" w:cs="Arial" w:eastAsia="Arial" w:hAnsi="Arial"/>
          <w:sz w:val="16"/>
          <w:szCs w:val="16"/>
          <w:color w:val="auto"/>
        </w:rPr>
        <w:t>. The Borrower will, and will cause its Subsidiaries (other than Financing Subsidiaries that are exempt from the Investment Company Act) at all times to (i) comply in all material respects with the portfolio diversification and similar requirements set forth in the Investment Company Act applicable to business development companies and (ii) subject to applicable grace periods set forth in the Code, comply with the portfolio diversification and similar requirements set forth in the Code applicable to RIC’s.</w:t>
      </w:r>
    </w:p>
    <w:p>
      <w:pPr>
        <w:spacing w:after="0" w:line="112" w:lineRule="exact"/>
        <w:rPr>
          <w:rFonts w:ascii="Arial" w:cs="Arial" w:eastAsia="Arial" w:hAnsi="Arial"/>
          <w:sz w:val="16"/>
          <w:szCs w:val="16"/>
          <w:color w:val="auto"/>
        </w:rPr>
      </w:pPr>
    </w:p>
    <w:p>
      <w:pPr>
        <w:ind w:right="140" w:firstLine="906"/>
        <w:spacing w:after="0" w:line="298" w:lineRule="auto"/>
        <w:tabs>
          <w:tab w:leader="none" w:pos="1147"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Commitments under Portfolio Investments</w:t>
      </w:r>
      <w:r>
        <w:rPr>
          <w:rFonts w:ascii="Arial" w:cs="Arial" w:eastAsia="Arial" w:hAnsi="Arial"/>
          <w:sz w:val="16"/>
          <w:szCs w:val="16"/>
          <w:color w:val="auto"/>
        </w:rPr>
        <w:t>. The Borrower will, and will cause its Subsidiaries to, acquire Portfolio Investments (it being understood that neither (x) the receipt of Portfolio Investments as part of a restructuring or workout nor (y) any new or additional borrowing under an existing Portfolio Investment shall constitute an “acquisition” of such Portfolio Investments) constituting revolving credit facilities or delayed draw term loans with revolving or future commitments only if the aggregate commitments or future commitments</w:t>
      </w:r>
    </w:p>
    <w:p>
      <w:pPr>
        <w:spacing w:after="0" w:line="99"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80</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27" w:name="page128"/>
    <w:bookmarkEnd w:id="12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such revolving credit facilities or delayed draw term loans (excluding discretionary future commitments, such as accordions and commitment increase options) does not exceed (i) prior to the Commitment Termination Date, 20% of the aggregate Commitment amount at the time of acquisition and (ii) following the Commitment Termination Date, 20% of the Revolving Credit Exposure at the time of acquisition.</w:t>
      </w:r>
    </w:p>
    <w:p>
      <w:pPr>
        <w:spacing w:after="0" w:line="140" w:lineRule="exact"/>
        <w:rPr>
          <w:sz w:val="20"/>
          <w:szCs w:val="20"/>
          <w:color w:val="auto"/>
        </w:rPr>
      </w:pPr>
    </w:p>
    <w:p>
      <w:pPr>
        <w:jc w:val="both"/>
        <w:ind w:right="320" w:firstLine="898"/>
        <w:spacing w:after="0" w:line="259"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Calculation of Borrowing Base</w:t>
      </w:r>
      <w:r>
        <w:rPr>
          <w:rFonts w:ascii="Arial" w:cs="Arial" w:eastAsia="Arial" w:hAnsi="Arial"/>
          <w:sz w:val="18"/>
          <w:szCs w:val="18"/>
          <w:color w:val="auto"/>
        </w:rPr>
        <w:t>. For purposes of this Agreement, the “</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shall be determined, as at any date of determination, as the sum of the Advance Rates of the Value of each Portfolio Investment (excluding any Cash Collateral held by the Administrative Agent pursuant to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or the last paragraph of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40" w:lineRule="exact"/>
        <w:rPr>
          <w:sz w:val="20"/>
          <w:szCs w:val="20"/>
          <w:color w:val="auto"/>
        </w:rPr>
      </w:pPr>
    </w:p>
    <w:p>
      <w:pPr>
        <w:ind w:right="20" w:firstLine="906"/>
        <w:spacing w:after="0" w:line="254" w:lineRule="auto"/>
        <w:tabs>
          <w:tab w:leader="none" w:pos="113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Advance Rate applicable to that portion of the aggregate Value of the Portfolio Investments in a consolidated group of corporations or other entities (collectively, a “</w:t>
      </w:r>
      <w:r>
        <w:rPr>
          <w:rFonts w:ascii="Arial" w:cs="Arial" w:eastAsia="Arial" w:hAnsi="Arial"/>
          <w:sz w:val="18"/>
          <w:szCs w:val="18"/>
          <w:u w:val="single" w:color="auto"/>
          <w:color w:val="auto"/>
        </w:rPr>
        <w:t>Consolidated Group</w:t>
      </w:r>
      <w:r>
        <w:rPr>
          <w:rFonts w:ascii="Arial" w:cs="Arial" w:eastAsia="Arial" w:hAnsi="Arial"/>
          <w:sz w:val="18"/>
          <w:szCs w:val="18"/>
          <w:color w:val="auto"/>
        </w:rPr>
        <w:t xml:space="preserve">”), in accordance with GAAP, that exceeds 10% of Shareholders’ Equity of the Borrower (which, for purposes of this calculation shall exclude the aggregate amount of investments in, and advances to, Financing Subsidiaries) shall be 50% of the Advance Rate otherwise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Portfolio Investments in a single Consolidated Group designated by the Borrower to the Administrative Agent such 10% figure shall be increased to 12.5%;</w:t>
      </w:r>
    </w:p>
    <w:p>
      <w:pPr>
        <w:spacing w:after="0" w:line="146" w:lineRule="exact"/>
        <w:rPr>
          <w:rFonts w:ascii="Arial" w:cs="Arial" w:eastAsia="Arial" w:hAnsi="Arial"/>
          <w:sz w:val="18"/>
          <w:szCs w:val="18"/>
          <w:color w:val="auto"/>
        </w:rPr>
      </w:pPr>
    </w:p>
    <w:p>
      <w:pPr>
        <w:ind w:right="360" w:firstLine="906"/>
        <w:spacing w:after="0" w:line="259"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Advance Rate applicable to that portion of the aggregate Value of the Portfolio Investments of all issuers in a Consolidated Group exceeding 20% of Shareholders’ Equity of the Borrower (which, for purposes of this calculation shall exclude the aggregate amount of investments in, and advances to, Financing Subsidiaries) shall be 0%;</w:t>
      </w:r>
    </w:p>
    <w:p>
      <w:pPr>
        <w:spacing w:after="0" w:line="139" w:lineRule="exact"/>
        <w:rPr>
          <w:rFonts w:ascii="Arial" w:cs="Arial" w:eastAsia="Arial" w:hAnsi="Arial"/>
          <w:sz w:val="18"/>
          <w:szCs w:val="18"/>
          <w:color w:val="auto"/>
        </w:rPr>
      </w:pPr>
    </w:p>
    <w:p>
      <w:pPr>
        <w:ind w:right="20" w:firstLine="906"/>
        <w:spacing w:after="0" w:line="294" w:lineRule="auto"/>
        <w:tabs>
          <w:tab w:leader="none" w:pos="113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the Advance Rate applicable to that portion of the aggregate Value of the Portfolio Investments in any single Industry Classification Group that exceeds 20% of Shareholders’ Equity of the Borrower (which for purposes of this calculation shall exclude the aggregate amount of investments in, and advances to, Financing Subsidiaries) shall be 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Portfolio Investments in a single Industry Classification Group from time to time designated by the Borrower to the Administrative Agent such 20% figure shall be increased to 30% and, accordingly, only to the extent that the Value for such single Industry Classification Group exceeds 30% of the Shareholders’ Equity shall the Advance Rate applicable to such excess Value be 0%;</w:t>
      </w:r>
    </w:p>
    <w:p>
      <w:pPr>
        <w:spacing w:after="0" w:line="115" w:lineRule="exact"/>
        <w:rPr>
          <w:rFonts w:ascii="Arial" w:cs="Arial" w:eastAsia="Arial" w:hAnsi="Arial"/>
          <w:sz w:val="16"/>
          <w:szCs w:val="16"/>
          <w:color w:val="auto"/>
        </w:rPr>
      </w:pPr>
    </w:p>
    <w:p>
      <w:pPr>
        <w:ind w:right="20" w:firstLine="906"/>
        <w:spacing w:after="0" w:line="306" w:lineRule="auto"/>
        <w:tabs>
          <w:tab w:leader="none" w:pos="114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06" w:lineRule="exact"/>
        <w:rPr>
          <w:rFonts w:ascii="Arial" w:cs="Arial" w:eastAsia="Arial" w:hAnsi="Arial"/>
          <w:sz w:val="16"/>
          <w:szCs w:val="16"/>
          <w:color w:val="auto"/>
        </w:rPr>
      </w:pPr>
    </w:p>
    <w:p>
      <w:pPr>
        <w:ind w:right="440" w:firstLine="906"/>
        <w:spacing w:after="0" w:line="268" w:lineRule="auto"/>
        <w:tabs>
          <w:tab w:leader="none" w:pos="113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Performing Non-Cash Pay High Yield Securities, Performing Non-Cash Pay Mezzanine Investments, Equity Interests and Non-Performing Portfolio Investments shall not exceed 25%;</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81</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28" w:name="page129"/>
    <w:bookmarkEnd w:id="128"/>
    <w:p>
      <w:pPr>
        <w:ind w:right="520" w:firstLine="906"/>
        <w:spacing w:after="0" w:line="268" w:lineRule="auto"/>
        <w:tabs>
          <w:tab w:leader="none" w:pos="1118"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portion of the Borrowing Base attributable to Equity Interests shall not exceed 15% (it being understood that in no event shall Equity Interests of Financing Subsidiaries be included in the Borrowing Base);</w:t>
      </w:r>
    </w:p>
    <w:p>
      <w:pPr>
        <w:spacing w:after="0" w:line="131" w:lineRule="exact"/>
        <w:rPr>
          <w:rFonts w:ascii="Arial" w:cs="Arial" w:eastAsia="Arial" w:hAnsi="Arial"/>
          <w:sz w:val="18"/>
          <w:szCs w:val="18"/>
          <w:color w:val="auto"/>
        </w:rPr>
      </w:pPr>
    </w:p>
    <w:p>
      <w:pPr>
        <w:ind w:right="300" w:firstLine="906"/>
        <w:spacing w:after="0" w:line="259"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 and</w:t>
      </w:r>
    </w:p>
    <w:p>
      <w:pPr>
        <w:spacing w:after="0" w:line="139" w:lineRule="exact"/>
        <w:rPr>
          <w:rFonts w:ascii="Arial" w:cs="Arial" w:eastAsia="Arial" w:hAnsi="Arial"/>
          <w:sz w:val="18"/>
          <w:szCs w:val="18"/>
          <w:color w:val="auto"/>
        </w:rPr>
      </w:pPr>
    </w:p>
    <w:p>
      <w:pPr>
        <w:ind w:right="280" w:firstLine="906"/>
        <w:spacing w:after="0" w:line="259"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terms have the following meanings:</w:t>
      </w:r>
    </w:p>
    <w:p>
      <w:pPr>
        <w:spacing w:after="0" w:line="171" w:lineRule="exact"/>
        <w:rPr>
          <w:sz w:val="20"/>
          <w:szCs w:val="20"/>
          <w:color w:val="auto"/>
        </w:rPr>
      </w:pPr>
    </w:p>
    <w:p>
      <w:pPr>
        <w:ind w:right="64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means, as to any Portfolio Investment and subject to adjustment as provided in </w:t>
      </w:r>
      <w:r>
        <w:rPr>
          <w:rFonts w:ascii="Arial" w:cs="Arial" w:eastAsia="Arial" w:hAnsi="Arial"/>
          <w:sz w:val="18"/>
          <w:szCs w:val="18"/>
          <w:u w:val="single" w:color="auto"/>
          <w:color w:val="auto"/>
        </w:rPr>
        <w:t>Section 5.13(a)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the following percentages with respect to such Portfolio Investment:</w:t>
      </w:r>
    </w:p>
    <w:p>
      <w:pPr>
        <w:spacing w:after="0" w:line="170" w:lineRule="exact"/>
        <w:rPr>
          <w:sz w:val="20"/>
          <w:szCs w:val="20"/>
          <w:color w:val="auto"/>
        </w:rPr>
      </w:pPr>
    </w:p>
    <w:tbl>
      <w:tblPr>
        <w:tblLayout w:type="fixed"/>
        <w:tblInd w:w="1360" w:type="dxa"/>
        <w:tblCellMar>
          <w:top w:w="0" w:type="dxa"/>
          <w:left w:w="0" w:type="dxa"/>
          <w:bottom w:w="0" w:type="dxa"/>
          <w:right w:w="0" w:type="dxa"/>
        </w:tblCellMar>
      </w:tblPr>
      <w:tr>
        <w:trPr>
          <w:trHeight w:val="159"/>
        </w:trPr>
        <w:tc>
          <w:tcPr>
            <w:tcW w:w="11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Portfolio Investment</w:t>
            </w:r>
          </w:p>
        </w:tc>
        <w:tc>
          <w:tcPr>
            <w:tcW w:w="5420" w:type="dxa"/>
            <w:vAlign w:val="bottom"/>
          </w:tcPr>
          <w:p>
            <w:pPr>
              <w:spacing w:after="0"/>
              <w:rPr>
                <w:sz w:val="13"/>
                <w:szCs w:val="13"/>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3"/>
                <w:szCs w:val="13"/>
                <w:color w:val="auto"/>
                <w:w w:val="89"/>
              </w:rPr>
              <w:t>Quoted</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Unquoted</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Cash, Cash Equivalents and Short-Term U.S. Government Securities</w:t>
            </w: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n.a.</w:t>
            </w:r>
          </w:p>
        </w:tc>
        <w:tc>
          <w:tcPr>
            <w:tcW w:w="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Long-Term U.S. Government Securities</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95%</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First Lien Bank Loans</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Performing Second Lien Bank Loans</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75%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Cash Pay High Yield Securities</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Performing Cash Pay Mezzanine Investments</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65%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Non-Cash Pay High Yield Securities</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Performing Non-Cash Pay Mezzanine Investments</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55%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First Lien Bank Loans</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Non-Performing Second Lien Bank Loans</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40%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High Yield Securities</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Non-Performing Mezzanine Investments</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30%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Common Equity</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Non-Performing Common Equity</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Finance Obligations and Finance Leases</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Loans</w:t>
      </w:r>
      <w:r>
        <w:rPr>
          <w:rFonts w:ascii="Arial" w:cs="Arial" w:eastAsia="Arial" w:hAnsi="Arial"/>
          <w:sz w:val="18"/>
          <w:szCs w:val="18"/>
          <w:color w:val="auto"/>
        </w:rPr>
        <w:t>” means debt obligations (including term loans, revolving loans, debtor-in-possession financings, the funded and unfunded portion of revolving credit lines and letter of credit facilities and other similar loans and investments including interim loans and senior subordinated loans) which are generally under a syndicated loan or credit facility.</w:t>
      </w:r>
    </w:p>
    <w:p>
      <w:pPr>
        <w:spacing w:after="0" w:line="140" w:lineRule="exact"/>
        <w:rPr>
          <w:sz w:val="20"/>
          <w:szCs w:val="20"/>
          <w:color w:val="auto"/>
        </w:rPr>
      </w:pPr>
    </w:p>
    <w:p>
      <w:pPr>
        <w:ind w:right="400" w:firstLine="898"/>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73"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82</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29" w:name="page130"/>
    <w:bookmarkEnd w:id="12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171" w:lineRule="exact"/>
        <w:rPr>
          <w:sz w:val="20"/>
          <w:szCs w:val="20"/>
          <w:color w:val="auto"/>
        </w:rPr>
      </w:pPr>
    </w:p>
    <w:p>
      <w:pPr>
        <w:ind w:right="10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Bank Loan</w:t>
      </w:r>
      <w:r>
        <w:rPr>
          <w:rFonts w:ascii="Arial" w:cs="Arial" w:eastAsia="Arial" w:hAnsi="Arial"/>
          <w:sz w:val="18"/>
          <w:szCs w:val="18"/>
          <w:color w:val="auto"/>
        </w:rPr>
        <w:t>” means a Bank Loan that is entitled to the benefit of a first lien and first priority perfected security interest on a substantial portion of the assets of the respective borrower and guarantors obligated in respect thereof.</w:t>
      </w:r>
    </w:p>
    <w:p>
      <w:pPr>
        <w:spacing w:after="0" w:line="132" w:lineRule="exact"/>
        <w:rPr>
          <w:sz w:val="20"/>
          <w:szCs w:val="20"/>
          <w:color w:val="auto"/>
        </w:rPr>
      </w:pPr>
    </w:p>
    <w:p>
      <w:pPr>
        <w:ind w:right="24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Yield Securities</w:t>
      </w:r>
      <w:r>
        <w:rPr>
          <w:rFonts w:ascii="Arial" w:cs="Arial" w:eastAsia="Arial" w:hAnsi="Arial"/>
          <w:sz w:val="18"/>
          <w:szCs w:val="18"/>
          <w:color w:val="auto"/>
        </w:rPr>
        <w:t>” means debt Securities and Preferred Stock, in each case (a) issued by public or private issuers, (b) issued pursuant to an effective registration statement or pursuant to Rule 144A under the Securities Act (or any successor provision thereunder) and (c) that are not Cash Equivalents, Mezzanine Investments or Bank Loans.</w:t>
      </w:r>
    </w:p>
    <w:p>
      <w:pPr>
        <w:spacing w:after="0" w:line="140" w:lineRule="exact"/>
        <w:rPr>
          <w:sz w:val="20"/>
          <w:szCs w:val="20"/>
          <w:color w:val="auto"/>
        </w:rPr>
      </w:pPr>
    </w:p>
    <w:p>
      <w:pPr>
        <w:ind w:right="86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U.S. Government Securities</w:t>
      </w:r>
      <w:r>
        <w:rPr>
          <w:rFonts w:ascii="Arial" w:cs="Arial" w:eastAsia="Arial" w:hAnsi="Arial"/>
          <w:sz w:val="18"/>
          <w:szCs w:val="18"/>
          <w:color w:val="auto"/>
        </w:rPr>
        <w:t>” means U.S. Government Securities maturing more than one year from the applicable date of determination.</w:t>
      </w:r>
    </w:p>
    <w:p>
      <w:pPr>
        <w:spacing w:after="0" w:line="132" w:lineRule="exact"/>
        <w:rPr>
          <w:sz w:val="20"/>
          <w:szCs w:val="20"/>
          <w:color w:val="auto"/>
        </w:rPr>
      </w:pPr>
    </w:p>
    <w:p>
      <w:pPr>
        <w:jc w:val="both"/>
        <w:ind w:right="60" w:firstLine="89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Mezzanine Investments</w:t>
      </w:r>
      <w:r>
        <w:rPr>
          <w:rFonts w:ascii="Arial" w:cs="Arial" w:eastAsia="Arial" w:hAnsi="Arial"/>
          <w:sz w:val="18"/>
          <w:szCs w:val="18"/>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43" w:lineRule="exact"/>
        <w:rPr>
          <w:sz w:val="20"/>
          <w:szCs w:val="20"/>
          <w:color w:val="auto"/>
        </w:rPr>
      </w:pPr>
    </w:p>
    <w:p>
      <w:pPr>
        <w:ind w:right="2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Common Equity</w:t>
      </w:r>
      <w:r>
        <w:rPr>
          <w:rFonts w:ascii="Arial" w:cs="Arial" w:eastAsia="Arial" w:hAnsi="Arial"/>
          <w:sz w:val="18"/>
          <w:szCs w:val="18"/>
          <w:color w:val="auto"/>
        </w:rPr>
        <w:t>” means Capital Stock (other than Preferred Stock) and warrants of an issuer having any debt outstanding that is non-Performing.</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First Lien Bank Loans</w:t>
      </w:r>
      <w:r>
        <w:rPr>
          <w:rFonts w:ascii="Arial" w:cs="Arial" w:eastAsia="Arial" w:hAnsi="Arial"/>
          <w:sz w:val="18"/>
          <w:szCs w:val="18"/>
          <w:color w:val="auto"/>
        </w:rPr>
        <w:t>” means First Lien Bank Loans other than Performing First Lien Bank Loans.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High Yield Securities</w:t>
      </w:r>
      <w:r>
        <w:rPr>
          <w:rFonts w:ascii="Arial" w:cs="Arial" w:eastAsia="Arial" w:hAnsi="Arial"/>
          <w:sz w:val="18"/>
          <w:szCs w:val="18"/>
          <w:color w:val="auto"/>
        </w:rPr>
        <w:t>” means High Yield Securities other than Performing High Yield Securities.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Mezzanine Investments</w:t>
      </w:r>
      <w:r>
        <w:rPr>
          <w:rFonts w:ascii="Arial" w:cs="Arial" w:eastAsia="Arial" w:hAnsi="Arial"/>
          <w:sz w:val="18"/>
          <w:szCs w:val="18"/>
          <w:color w:val="auto"/>
        </w:rPr>
        <w:t>” means Mezzanine Investments other than Performing Mezzanine Investments.</w:t>
      </w:r>
    </w:p>
    <w:p>
      <w:pPr>
        <w:spacing w:after="0" w:line="171" w:lineRule="exact"/>
        <w:rPr>
          <w:sz w:val="20"/>
          <w:szCs w:val="20"/>
          <w:color w:val="auto"/>
        </w:rPr>
      </w:pPr>
    </w:p>
    <w:p>
      <w:pPr>
        <w:ind w:right="16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Portfolio Investment</w:t>
      </w:r>
      <w:r>
        <w:rPr>
          <w:rFonts w:ascii="Arial" w:cs="Arial" w:eastAsia="Arial" w:hAnsi="Arial"/>
          <w:sz w:val="18"/>
          <w:szCs w:val="18"/>
          <w:color w:val="auto"/>
        </w:rPr>
        <w:t>” means Portfolio Investments for which the issuer is in default of any payment obligations of principal or interest in respect thereof after the expiration of any applicable grace period.</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Second Lien Bank Loans</w:t>
      </w:r>
      <w:r>
        <w:rPr>
          <w:rFonts w:ascii="Arial" w:cs="Arial" w:eastAsia="Arial" w:hAnsi="Arial"/>
          <w:sz w:val="18"/>
          <w:szCs w:val="18"/>
          <w:color w:val="auto"/>
        </w:rPr>
        <w:t>” means Second Lien Bank Loans other than Performing Second Lien Bank Loans.</w:t>
      </w:r>
    </w:p>
    <w:p>
      <w:pPr>
        <w:spacing w:after="0" w:line="171" w:lineRule="exact"/>
        <w:rPr>
          <w:sz w:val="20"/>
          <w:szCs w:val="20"/>
          <w:color w:val="auto"/>
        </w:rPr>
      </w:pPr>
    </w:p>
    <w:p>
      <w:pPr>
        <w:ind w:right="80" w:firstLine="89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w:t>
      </w:r>
      <w:r>
        <w:rPr>
          <w:rFonts w:ascii="Arial" w:cs="Arial" w:eastAsia="Arial" w:hAnsi="Arial"/>
          <w:sz w:val="16"/>
          <w:szCs w:val="16"/>
          <w:color w:val="auto"/>
        </w:rPr>
        <w:t>” means (a) with respect to any Portfolio Investment that is debt (or any other debt), the issuer of such Portfolio Investment (or other debt) is not in default of any payment obligations of principal or interest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99"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83</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30" w:name="page131"/>
    <w:bookmarkEnd w:id="130"/>
    <w:p>
      <w:pPr>
        <w:ind w:right="6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Performing Cash Pay High Yield Securities</w:t>
      </w:r>
      <w:r>
        <w:rPr>
          <w:rFonts w:ascii="Arial" w:cs="Arial" w:eastAsia="Arial" w:hAnsi="Arial"/>
          <w:sz w:val="18"/>
          <w:szCs w:val="18"/>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40"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Cash Pay Mezzanine Investments</w:t>
      </w:r>
      <w:r>
        <w:rPr>
          <w:rFonts w:ascii="Arial" w:cs="Arial" w:eastAsia="Arial" w:hAnsi="Arial"/>
          <w:sz w:val="18"/>
          <w:szCs w:val="18"/>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 Common Equity</w:t>
      </w:r>
      <w:r>
        <w:rPr>
          <w:rFonts w:ascii="Arial" w:cs="Arial" w:eastAsia="Arial" w:hAnsi="Arial"/>
          <w:sz w:val="16"/>
          <w:szCs w:val="16"/>
          <w:color w:val="auto"/>
        </w:rPr>
        <w:t>” means Capital Stock (other than Preferred Stock) and warrants of an issuer all of whose outstanding debt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Performing.</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First Lien Bank Loans</w:t>
      </w:r>
      <w:r>
        <w:rPr>
          <w:rFonts w:ascii="Arial" w:cs="Arial" w:eastAsia="Arial" w:hAnsi="Arial"/>
          <w:sz w:val="18"/>
          <w:szCs w:val="18"/>
          <w:color w:val="auto"/>
        </w:rPr>
        <w:t>” means First Lien Bank Loans which are Performing.</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 Non-Cash Pay High Yield Securities</w:t>
      </w:r>
      <w:r>
        <w:rPr>
          <w:rFonts w:ascii="Arial" w:cs="Arial" w:eastAsia="Arial" w:hAnsi="Arial"/>
          <w:sz w:val="16"/>
          <w:szCs w:val="16"/>
          <w:color w:val="auto"/>
        </w:rPr>
        <w:t>” means Performing High Yield Securities other than Performing Cash Pay High Yield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 Non-Cash Pay Mezzanine Investments</w:t>
      </w:r>
      <w:r>
        <w:rPr>
          <w:rFonts w:ascii="Arial" w:cs="Arial" w:eastAsia="Arial" w:hAnsi="Arial"/>
          <w:sz w:val="16"/>
          <w:szCs w:val="16"/>
          <w:color w:val="auto"/>
        </w:rPr>
        <w:t>” means Performing Mezzanine Investments other than Performing Cash Pay Mezzanine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Second Lien Bank Loans</w:t>
      </w:r>
      <w:r>
        <w:rPr>
          <w:rFonts w:ascii="Arial" w:cs="Arial" w:eastAsia="Arial" w:hAnsi="Arial"/>
          <w:sz w:val="18"/>
          <w:szCs w:val="18"/>
          <w:color w:val="auto"/>
        </w:rPr>
        <w:t>” means Second Lien Bank Loans which are Performing.</w:t>
      </w:r>
    </w:p>
    <w:p>
      <w:pPr>
        <w:spacing w:after="0" w:line="171" w:lineRule="exact"/>
        <w:rPr>
          <w:sz w:val="20"/>
          <w:szCs w:val="20"/>
          <w:color w:val="auto"/>
        </w:rPr>
      </w:pPr>
    </w:p>
    <w:p>
      <w:pPr>
        <w:ind w:firstLine="89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43" w:lineRule="exact"/>
        <w:rPr>
          <w:sz w:val="20"/>
          <w:szCs w:val="20"/>
          <w:color w:val="auto"/>
        </w:rPr>
      </w:pPr>
    </w:p>
    <w:p>
      <w:pPr>
        <w:ind w:right="280" w:firstLine="89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Bank Loan</w:t>
      </w:r>
      <w:r>
        <w:rPr>
          <w:rFonts w:ascii="Arial" w:cs="Arial" w:eastAsia="Arial" w:hAnsi="Arial"/>
          <w:sz w:val="18"/>
          <w:szCs w:val="18"/>
          <w:color w:val="auto"/>
        </w:rPr>
        <w:t>” means a Bank Loan that is entitled to the benefit of a second lien and second priority perfected security interest on a substantial portion of the assets of the respective Borrower and guarantors obligated in respect thereof.</w:t>
      </w:r>
    </w:p>
    <w:p>
      <w:pPr>
        <w:spacing w:after="0" w:line="132" w:lineRule="exact"/>
        <w:rPr>
          <w:sz w:val="20"/>
          <w:szCs w:val="20"/>
          <w:color w:val="auto"/>
        </w:rPr>
      </w:pPr>
    </w:p>
    <w:p>
      <w:pPr>
        <w:ind w:right="100" w:firstLine="89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33"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84</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31" w:name="page132"/>
    <w:bookmarkEnd w:id="13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Short-Term U.S. Government Securities</w:t>
      </w:r>
      <w:r>
        <w:rPr>
          <w:rFonts w:ascii="Arial" w:cs="Arial" w:eastAsia="Arial" w:hAnsi="Arial"/>
          <w:sz w:val="16"/>
          <w:szCs w:val="16"/>
          <w:color w:val="auto"/>
        </w:rPr>
        <w:t>” means U.S. Government Securities maturing within one year of the applicable date of determination.</w:t>
      </w:r>
    </w:p>
    <w:p>
      <w:pPr>
        <w:spacing w:after="0" w:line="194" w:lineRule="exact"/>
        <w:rPr>
          <w:sz w:val="20"/>
          <w:szCs w:val="20"/>
          <w:color w:val="auto"/>
        </w:rPr>
      </w:pPr>
    </w:p>
    <w:p>
      <w:pPr>
        <w:ind w:right="180" w:firstLine="89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Structured Finance Obligation</w:t>
      </w:r>
      <w:r>
        <w:rPr>
          <w:rFonts w:ascii="Arial" w:cs="Arial" w:eastAsia="Arial" w:hAnsi="Arial"/>
          <w:sz w:val="18"/>
          <w:szCs w:val="18"/>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with respect to any Portfolio Investment, the lower of:</w:t>
      </w:r>
    </w:p>
    <w:p>
      <w:pPr>
        <w:spacing w:after="0" w:line="90" w:lineRule="exact"/>
        <w:rPr>
          <w:sz w:val="20"/>
          <w:szCs w:val="20"/>
          <w:color w:val="auto"/>
        </w:rPr>
      </w:pPr>
    </w:p>
    <w:p>
      <w:pPr>
        <w:ind w:left="1100" w:hanging="212"/>
        <w:spacing w:after="0"/>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most recent internal market value as determined pursuant to </w:t>
      </w:r>
      <w:r>
        <w:rPr>
          <w:rFonts w:ascii="Arial" w:cs="Arial" w:eastAsia="Arial" w:hAnsi="Arial"/>
          <w:sz w:val="18"/>
          <w:szCs w:val="18"/>
          <w:u w:val="single" w:color="auto"/>
          <w:color w:val="auto"/>
        </w:rPr>
        <w:t>Section 5.12(b)(ii)(C)</w:t>
      </w:r>
      <w:r>
        <w:rPr>
          <w:rFonts w:ascii="Arial" w:cs="Arial" w:eastAsia="Arial" w:hAnsi="Arial"/>
          <w:sz w:val="18"/>
          <w:szCs w:val="18"/>
          <w:color w:val="auto"/>
        </w:rPr>
        <w:t xml:space="preserve"> and</w:t>
      </w:r>
    </w:p>
    <w:p>
      <w:pPr>
        <w:spacing w:after="0" w:line="90" w:lineRule="exact"/>
        <w:rPr>
          <w:rFonts w:ascii="Arial" w:cs="Arial" w:eastAsia="Arial" w:hAnsi="Arial"/>
          <w:sz w:val="18"/>
          <w:szCs w:val="18"/>
          <w:color w:val="auto"/>
        </w:rPr>
      </w:pPr>
    </w:p>
    <w:p>
      <w:pPr>
        <w:ind w:left="1140" w:hanging="252"/>
        <w:spacing w:after="0"/>
        <w:tabs>
          <w:tab w:leader="none" w:pos="11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most recent external market value as determined pursuant to </w:t>
      </w:r>
      <w:r>
        <w:rPr>
          <w:rFonts w:ascii="Arial" w:cs="Arial" w:eastAsia="Arial" w:hAnsi="Arial"/>
          <w:sz w:val="18"/>
          <w:szCs w:val="18"/>
          <w:u w:val="single" w:color="auto"/>
          <w:color w:val="auto"/>
        </w:rPr>
        <w:t>Section 5.12(b)(ii)(A)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171"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40" w:lineRule="exact"/>
        <w:rPr>
          <w:sz w:val="20"/>
          <w:szCs w:val="20"/>
          <w:color w:val="auto"/>
        </w:rPr>
      </w:pPr>
    </w:p>
    <w:p>
      <w:pPr>
        <w:ind w:right="180" w:firstLine="898"/>
        <w:spacing w:after="0" w:line="268"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Subject to the last sentence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the Borrower will not nor will it permit any of its Subsidiaries to, create, incur, assume or permit to exist any Indebtedness, except:</w:t>
      </w:r>
    </w:p>
    <w:p>
      <w:pPr>
        <w:spacing w:after="0" w:line="132" w:lineRule="exact"/>
        <w:rPr>
          <w:sz w:val="20"/>
          <w:szCs w:val="20"/>
          <w:color w:val="auto"/>
        </w:rPr>
      </w:pPr>
    </w:p>
    <w:p>
      <w:pPr>
        <w:ind w:left="1140" w:hanging="234"/>
        <w:spacing w:after="0"/>
        <w:tabs>
          <w:tab w:leader="none" w:pos="11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Indebtedness created hereunder;</w:t>
      </w:r>
    </w:p>
    <w:p>
      <w:pPr>
        <w:spacing w:after="0" w:line="171" w:lineRule="exact"/>
        <w:rPr>
          <w:rFonts w:ascii="Arial" w:cs="Arial" w:eastAsia="Arial" w:hAnsi="Arial"/>
          <w:sz w:val="18"/>
          <w:szCs w:val="18"/>
          <w:color w:val="auto"/>
        </w:rPr>
      </w:pPr>
    </w:p>
    <w:p>
      <w:pPr>
        <w:ind w:right="80" w:firstLine="906"/>
        <w:spacing w:after="0" w:line="254"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Secured Longer-Term Indebtedness and Unsecured Longer-Term Indebtedness so long as (i) no Default or Event of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Arial" w:cs="Arial" w:eastAsia="Arial" w:hAnsi="Arial"/>
          <w:sz w:val="18"/>
          <w:szCs w:val="18"/>
          <w:u w:val="single" w:color="auto"/>
          <w:color w:val="auto"/>
        </w:rPr>
        <w:t>Section 6.07(b)</w:t>
      </w:r>
      <w:r>
        <w:rPr>
          <w:rFonts w:ascii="Arial" w:cs="Arial" w:eastAsia="Arial" w:hAnsi="Arial"/>
          <w:sz w:val="18"/>
          <w:szCs w:val="18"/>
          <w:color w:val="auto"/>
        </w:rPr>
        <w:t>, and (iii) prior to and immediately after giving effect to the incurrence of any Secured Longer-Term Indebtedness, the Covered Debt Amount does not or would not exceed the Borrowing Base then in effect;</w:t>
      </w:r>
    </w:p>
    <w:p>
      <w:pPr>
        <w:spacing w:after="0" w:line="146" w:lineRule="exact"/>
        <w:rPr>
          <w:rFonts w:ascii="Arial" w:cs="Arial" w:eastAsia="Arial" w:hAnsi="Arial"/>
          <w:sz w:val="18"/>
          <w:szCs w:val="18"/>
          <w:color w:val="auto"/>
        </w:rPr>
      </w:pPr>
    </w:p>
    <w:p>
      <w:pPr>
        <w:ind w:left="1140" w:hanging="234"/>
        <w:spacing w:after="0"/>
        <w:tabs>
          <w:tab w:leader="none" w:pos="11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Other Permitted Indebtedness;</w:t>
      </w:r>
    </w:p>
    <w:p>
      <w:pPr>
        <w:spacing w:after="0" w:line="15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85</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32" w:name="page133"/>
    <w:bookmarkEnd w:id="132"/>
    <w:p>
      <w:pPr>
        <w:ind w:left="1160" w:hanging="254"/>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of Financing Subsidiaries;</w:t>
      </w:r>
    </w:p>
    <w:p>
      <w:pPr>
        <w:spacing w:after="0" w:line="171" w:lineRule="exact"/>
        <w:rPr>
          <w:rFonts w:ascii="Arial" w:cs="Arial" w:eastAsia="Arial" w:hAnsi="Arial"/>
          <w:sz w:val="18"/>
          <w:szCs w:val="18"/>
          <w:color w:val="auto"/>
        </w:rPr>
      </w:pPr>
    </w:p>
    <w:p>
      <w:pPr>
        <w:ind w:left="1140" w:hanging="234"/>
        <w:spacing w:after="0"/>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repurchase obligations arising in the ordinary course of business with respect to U.S. Government Securities;</w:t>
      </w:r>
    </w:p>
    <w:p>
      <w:pPr>
        <w:spacing w:after="0" w:line="171" w:lineRule="exact"/>
        <w:rPr>
          <w:rFonts w:ascii="Arial" w:cs="Arial" w:eastAsia="Arial" w:hAnsi="Arial"/>
          <w:sz w:val="18"/>
          <w:szCs w:val="18"/>
          <w:color w:val="auto"/>
        </w:rPr>
      </w:pPr>
    </w:p>
    <w:p>
      <w:pPr>
        <w:ind w:left="1120" w:hanging="214"/>
        <w:spacing w:after="0"/>
        <w:tabs>
          <w:tab w:leader="none" w:pos="11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obligations payable to clearing agencies, brokers or dealers in connection with the purchase or sale of securities in the ordinary course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165" w:lineRule="exact"/>
        <w:rPr>
          <w:sz w:val="20"/>
          <w:szCs w:val="20"/>
          <w:color w:val="auto"/>
        </w:rPr>
      </w:pPr>
    </w:p>
    <w:p>
      <w:pPr>
        <w:ind w:right="20" w:firstLine="906"/>
        <w:spacing w:after="0" w:line="294" w:lineRule="auto"/>
        <w:tabs>
          <w:tab w:leader="none" w:pos="114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Secured Shorter-Term Indebtedness and Unsecured Shorter-Term Indebtedness so long as (i) no Default or Event of Default exists at the time of the incurrence thereof, (ii) the aggregate amount (determined at the time of the incurrence of such Indebtedness) of such Indebtedness does not exceed 5% of Shareholders’ Equity, (iii) the aggregate amount of such Indebtedness, taken together with other then-outstanding Indebtedness, does not exceed the amount required to comply with the provisions of </w:t>
      </w:r>
      <w:r>
        <w:rPr>
          <w:rFonts w:ascii="Arial" w:cs="Arial" w:eastAsia="Arial" w:hAnsi="Arial"/>
          <w:sz w:val="16"/>
          <w:szCs w:val="16"/>
          <w:u w:val="single" w:color="auto"/>
          <w:color w:val="auto"/>
        </w:rPr>
        <w:t>Sections 6.07(b)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and (iv) prior to and immediately after giving effect to the incurrence of any such Indebtedness, the Covered Debt Amount does not or would not exceed the Borrowing Base then in effect;</w:t>
      </w:r>
    </w:p>
    <w:p>
      <w:pPr>
        <w:spacing w:after="0" w:line="115" w:lineRule="exact"/>
        <w:rPr>
          <w:rFonts w:ascii="Arial" w:cs="Arial" w:eastAsia="Arial" w:hAnsi="Arial"/>
          <w:sz w:val="16"/>
          <w:szCs w:val="16"/>
          <w:color w:val="auto"/>
        </w:rPr>
      </w:pPr>
    </w:p>
    <w:p>
      <w:pPr>
        <w:ind w:left="1160" w:hanging="254"/>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obligations (including Guarantees) in respect of Standard Securitization Undertakings;</w:t>
      </w:r>
    </w:p>
    <w:p>
      <w:pPr>
        <w:spacing w:after="0" w:line="171" w:lineRule="exact"/>
        <w:rPr>
          <w:rFonts w:ascii="Arial" w:cs="Arial" w:eastAsia="Arial" w:hAnsi="Arial"/>
          <w:sz w:val="18"/>
          <w:szCs w:val="18"/>
          <w:color w:val="auto"/>
        </w:rPr>
      </w:pPr>
    </w:p>
    <w:p>
      <w:pPr>
        <w:ind w:left="1120" w:hanging="214"/>
        <w:spacing w:after="0"/>
        <w:tabs>
          <w:tab w:leader="none" w:pos="11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Permitted SBIC Guarantees; and</w:t>
      </w:r>
    </w:p>
    <w:p>
      <w:pPr>
        <w:spacing w:after="0" w:line="171" w:lineRule="exact"/>
        <w:rPr>
          <w:rFonts w:ascii="Arial" w:cs="Arial" w:eastAsia="Arial" w:hAnsi="Arial"/>
          <w:sz w:val="18"/>
          <w:szCs w:val="18"/>
          <w:color w:val="auto"/>
        </w:rPr>
      </w:pPr>
    </w:p>
    <w:p>
      <w:pPr>
        <w:ind w:left="1120" w:hanging="214"/>
        <w:spacing w:after="0"/>
        <w:tabs>
          <w:tab w:leader="none" w:pos="11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other Indebtedness not to exceed $1,000,000 at any time.</w:t>
      </w:r>
    </w:p>
    <w:p>
      <w:pPr>
        <w:spacing w:after="0" w:line="171" w:lineRule="exact"/>
        <w:rPr>
          <w:sz w:val="20"/>
          <w:szCs w:val="20"/>
          <w:color w:val="auto"/>
        </w:rPr>
      </w:pPr>
    </w:p>
    <w:p>
      <w:pPr>
        <w:ind w:right="180" w:firstLine="898"/>
        <w:spacing w:after="0" w:line="254" w:lineRule="auto"/>
        <w:rPr>
          <w:sz w:val="20"/>
          <w:szCs w:val="20"/>
          <w:color w:val="auto"/>
        </w:rPr>
      </w:pPr>
      <w:r>
        <w:rPr>
          <w:rFonts w:ascii="Arial" w:cs="Arial" w:eastAsia="Arial" w:hAnsi="Arial"/>
          <w:sz w:val="18"/>
          <w:szCs w:val="18"/>
          <w:color w:val="auto"/>
        </w:rPr>
        <w:t xml:space="preserve">Notwithstanding the foregoing provisions of this Section, the Borrower will not nor will it permit any of its Subsidiaries to, create, incur, assume or permit to exist any additional Indebtedness (other than Indebtedness permitted under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unless, after giving effect to such Indebtedness, (x) Shareholders’ Equity plus Secured Longer-Term Indebtedness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Unsecured Longer Term Indebtedness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aggregate undrawn commitments with terms in excess of sixth months exceeds (y) the Value of the Portfolio Investments that cannot be converted to Cash in fewer than 10 Business Days without more than a 5% change in price.</w:t>
      </w:r>
    </w:p>
    <w:p>
      <w:pPr>
        <w:spacing w:after="0" w:line="147" w:lineRule="exact"/>
        <w:rPr>
          <w:sz w:val="20"/>
          <w:szCs w:val="20"/>
          <w:color w:val="auto"/>
        </w:rPr>
      </w:pPr>
    </w:p>
    <w:p>
      <w:pPr>
        <w:ind w:right="60" w:firstLine="898"/>
        <w:spacing w:after="0" w:line="259"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it permit any of its Subsidiaries to, create, incur, assume or permit to exist any Lien on any property or asset now owned or hereafter acquired by it, or assign or sell any income or revenues (including accounts receivable) or rights in respect of any thereof except:</w:t>
      </w:r>
    </w:p>
    <w:p>
      <w:pPr>
        <w:spacing w:after="0" w:line="140" w:lineRule="exact"/>
        <w:rPr>
          <w:sz w:val="20"/>
          <w:szCs w:val="20"/>
          <w:color w:val="auto"/>
        </w:rPr>
      </w:pPr>
    </w:p>
    <w:p>
      <w:pPr>
        <w:ind w:right="40" w:firstLine="906"/>
        <w:spacing w:after="0" w:line="306" w:lineRule="auto"/>
        <w:tabs>
          <w:tab w:leader="none" w:pos="113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Borrower existing on the date hereof and set forth in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such Lien shall extend to any other property or asset of the Borrower or any of its Subsidiaries, and (ii) any such Lien shall secure only those obligations which it secures on the date hereof and extensions, renewals and replacements thereof that do not increase the outstanding principal amount thereof;</w:t>
      </w:r>
    </w:p>
    <w:p>
      <w:pPr>
        <w:spacing w:after="0" w:line="106" w:lineRule="exact"/>
        <w:rPr>
          <w:rFonts w:ascii="Arial" w:cs="Arial" w:eastAsia="Arial" w:hAnsi="Arial"/>
          <w:sz w:val="16"/>
          <w:szCs w:val="16"/>
          <w:color w:val="auto"/>
        </w:rPr>
      </w:pPr>
    </w:p>
    <w:p>
      <w:pPr>
        <w:ind w:right="800" w:firstLine="906"/>
        <w:spacing w:after="0" w:line="268"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Liens created pursuant to this Agreement (including </w:t>
      </w:r>
      <w:r>
        <w:rPr>
          <w:rFonts w:ascii="Arial" w:cs="Arial" w:eastAsia="Arial" w:hAnsi="Arial"/>
          <w:sz w:val="18"/>
          <w:szCs w:val="18"/>
          <w:u w:val="single" w:color="auto"/>
          <w:color w:val="auto"/>
        </w:rPr>
        <w:t>Section 2.19</w:t>
      </w:r>
      <w:r>
        <w:rPr>
          <w:rFonts w:ascii="Arial" w:cs="Arial" w:eastAsia="Arial" w:hAnsi="Arial"/>
          <w:sz w:val="18"/>
          <w:szCs w:val="18"/>
          <w:color w:val="auto"/>
        </w:rPr>
        <w:t>) or any of the Security Documents (including Liens in favor of the Designated Indebtedness Holders (as defined in the Guarantee and Security Agreement));</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86</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33" w:name="page134"/>
    <w:bookmarkEnd w:id="133"/>
    <w:p>
      <w:pPr>
        <w:ind w:left="1140" w:hanging="234"/>
        <w:spacing w:after="0"/>
        <w:tabs>
          <w:tab w:leader="none" w:pos="11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on the assets of a Financing Subsidiary securing obligations of such Financing Subsidiary;</w:t>
      </w:r>
    </w:p>
    <w:p>
      <w:pPr>
        <w:spacing w:after="0" w:line="171" w:lineRule="exact"/>
        <w:rPr>
          <w:rFonts w:ascii="Arial" w:cs="Arial" w:eastAsia="Arial" w:hAnsi="Arial"/>
          <w:sz w:val="18"/>
          <w:szCs w:val="18"/>
          <w:color w:val="auto"/>
        </w:rPr>
      </w:pPr>
    </w:p>
    <w:p>
      <w:pPr>
        <w:ind w:right="520" w:firstLine="906"/>
        <w:spacing w:after="0" w:line="268" w:lineRule="auto"/>
        <w:tabs>
          <w:tab w:leader="none" w:pos="11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Liens on Special Equity Interests included in the Portfolio Investments of the Borrower but only to the extent securing obligations in the manner provided in the definition of “</w:t>
      </w:r>
      <w:r>
        <w:rPr>
          <w:rFonts w:ascii="Arial" w:cs="Arial" w:eastAsia="Arial" w:hAnsi="Arial"/>
          <w:sz w:val="18"/>
          <w:szCs w:val="18"/>
          <w:u w:val="single" w:color="auto"/>
          <w:color w:val="auto"/>
        </w:rPr>
        <w:t>Special Equity Interests</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160" w:firstLine="906"/>
        <w:spacing w:after="0" w:line="254" w:lineRule="auto"/>
        <w:tabs>
          <w:tab w:leader="none" w:pos="113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Liens securing Indebtedness or other obligations in an aggregate principal amount not exceeding $10,000,000 at any one time outstanding (which may cover Portfolio Investments, but only to the extent released from the Lien in favor of the Collateral Agent in accordance with the requirements of Section 10.03 of the Guarantee and Security Agreement), so long as at the time of incurrence of such Indebtedness or other obligations, the aggregate amount of Indebtedness permitted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does not exceed the lesser of (i) the Borrowing Base and (ii) the amount required to comply with the provisions of </w:t>
      </w:r>
      <w:r>
        <w:rPr>
          <w:rFonts w:ascii="Arial" w:cs="Arial" w:eastAsia="Arial" w:hAnsi="Arial"/>
          <w:sz w:val="18"/>
          <w:szCs w:val="18"/>
          <w:u w:val="single" w:color="auto"/>
          <w:color w:val="auto"/>
        </w:rPr>
        <w:t>Section 6.07(b)</w:t>
      </w:r>
      <w:r>
        <w:rPr>
          <w:rFonts w:ascii="Arial" w:cs="Arial" w:eastAsia="Arial" w:hAnsi="Arial"/>
          <w:sz w:val="18"/>
          <w:szCs w:val="18"/>
          <w:color w:val="auto"/>
        </w:rPr>
        <w:t>;</w:t>
      </w:r>
    </w:p>
    <w:p>
      <w:pPr>
        <w:spacing w:after="0" w:line="146" w:lineRule="exact"/>
        <w:rPr>
          <w:rFonts w:ascii="Arial" w:cs="Arial" w:eastAsia="Arial" w:hAnsi="Arial"/>
          <w:sz w:val="18"/>
          <w:szCs w:val="18"/>
          <w:color w:val="auto"/>
        </w:rPr>
      </w:pPr>
    </w:p>
    <w:p>
      <w:pPr>
        <w:ind w:left="1120" w:hanging="214"/>
        <w:spacing w:after="0"/>
        <w:tabs>
          <w:tab w:leader="none" w:pos="11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Permitted Liens; and</w:t>
      </w:r>
    </w:p>
    <w:p>
      <w:pPr>
        <w:spacing w:after="0" w:line="171" w:lineRule="exact"/>
        <w:rPr>
          <w:rFonts w:ascii="Arial" w:cs="Arial" w:eastAsia="Arial" w:hAnsi="Arial"/>
          <w:sz w:val="18"/>
          <w:szCs w:val="18"/>
          <w:color w:val="auto"/>
        </w:rPr>
      </w:pPr>
    </w:p>
    <w:p>
      <w:pPr>
        <w:ind w:left="1160" w:hanging="254"/>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Liens on Equity Interests in any SBIC Subsidiary created in favor of the SBA.</w:t>
      </w:r>
    </w:p>
    <w:p>
      <w:pPr>
        <w:spacing w:after="0" w:line="171" w:lineRule="exact"/>
        <w:rPr>
          <w:sz w:val="20"/>
          <w:szCs w:val="20"/>
          <w:color w:val="auto"/>
        </w:rPr>
      </w:pPr>
    </w:p>
    <w:p>
      <w:pPr>
        <w:ind w:right="60" w:firstLine="898"/>
        <w:spacing w:after="0" w:line="301" w:lineRule="auto"/>
        <w:rPr>
          <w:sz w:val="20"/>
          <w:szCs w:val="20"/>
          <w:color w:val="auto"/>
        </w:rPr>
      </w:pPr>
      <w:r>
        <w:rPr>
          <w:rFonts w:ascii="Arial" w:cs="Arial" w:eastAsia="Arial" w:hAnsi="Arial"/>
          <w:sz w:val="15"/>
          <w:szCs w:val="15"/>
          <w:color w:val="auto"/>
        </w:rPr>
        <w:t xml:space="preserve">SECTION 6.03. </w:t>
      </w:r>
      <w:r>
        <w:rPr>
          <w:rFonts w:ascii="Arial" w:cs="Arial" w:eastAsia="Arial" w:hAnsi="Arial"/>
          <w:sz w:val="15"/>
          <w:szCs w:val="15"/>
          <w:u w:val="single" w:color="auto"/>
          <w:color w:val="auto"/>
        </w:rPr>
        <w:t>Fundamental Changes</w:t>
      </w:r>
      <w:r>
        <w:rPr>
          <w:rFonts w:ascii="Arial" w:cs="Arial" w:eastAsia="Arial" w:hAnsi="Arial"/>
          <w:sz w:val="15"/>
          <w:szCs w:val="15"/>
          <w:color w:val="auto"/>
        </w:rPr>
        <w:t xml:space="preserve">. The Borrower will not, nor will it permit any of its Subsidiaries (other than Financing Subsidiaries or Immaterial Subsidiaries) to, enter into any transaction of merger or consolidation or amalgamation, or liquidate, wind up or dissolve itself (or suffer any liquidation or dissolution). The Borrower will not, nor will it permit any of its Subsidiaries (other than Financing Subsidiaries)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its Subsidiaries (other than Financing Subsidiaries or Immaterial Subsidiaries)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Arial" w:cs="Arial" w:eastAsia="Arial" w:hAnsi="Arial"/>
          <w:sz w:val="15"/>
          <w:szCs w:val="15"/>
          <w:u w:val="single" w:color="auto"/>
          <w:color w:val="auto"/>
        </w:rPr>
        <w:t>clauses</w:t>
      </w:r>
    </w:p>
    <w:p>
      <w:pPr>
        <w:spacing w:after="0" w:line="3" w:lineRule="exact"/>
        <w:rPr>
          <w:sz w:val="20"/>
          <w:szCs w:val="20"/>
          <w:color w:val="auto"/>
        </w:rPr>
      </w:pPr>
    </w:p>
    <w:p>
      <w:pPr>
        <w:ind w:left="260" w:hanging="252"/>
        <w:spacing w:after="0"/>
        <w:tabs>
          <w:tab w:leader="none" w:pos="260" w:val="left"/>
        </w:tabs>
        <w:numPr>
          <w:ilvl w:val="0"/>
          <w:numId w:val="146"/>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below, Portfolio Investments.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Notwithstanding the foregoing provisions of this Section:</w:t>
      </w:r>
    </w:p>
    <w:p>
      <w:pPr>
        <w:spacing w:after="0" w:line="171" w:lineRule="exact"/>
        <w:rPr>
          <w:sz w:val="20"/>
          <w:szCs w:val="20"/>
          <w:color w:val="auto"/>
        </w:rPr>
      </w:pPr>
    </w:p>
    <w:p>
      <w:pPr>
        <w:ind w:right="560" w:firstLine="906"/>
        <w:spacing w:after="0" w:line="259" w:lineRule="auto"/>
        <w:tabs>
          <w:tab w:leader="none" w:pos="113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any Subsidiary Guarantor of the Borrower may be merged or consolidated with or into the Borrower or any other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transaction shall be between a Subsidiary Guarantor and a wholly owned Subsidiary Guarantor, the wholly owned Subsidiary Guarantor shall be the continuing or surviving corporation;</w:t>
      </w:r>
    </w:p>
    <w:p>
      <w:pPr>
        <w:spacing w:after="0" w:line="139" w:lineRule="exact"/>
        <w:rPr>
          <w:rFonts w:ascii="Arial" w:cs="Arial" w:eastAsia="Arial" w:hAnsi="Arial"/>
          <w:sz w:val="18"/>
          <w:szCs w:val="18"/>
          <w:color w:val="auto"/>
        </w:rPr>
      </w:pPr>
    </w:p>
    <w:p>
      <w:pPr>
        <w:ind w:right="780" w:firstLine="906"/>
        <w:spacing w:after="0" w:line="268"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Subsidiary of the Borrower may sell, lease, transfer or otherwise dispose of any or all of its assets (upon voluntary liquidation or otherwise) to the Borrower or any wholly owned Subsidiary Guarantor of the Borrower;</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87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34" w:name="page135"/>
    <w:bookmarkEnd w:id="134"/>
    <w:p>
      <w:pPr>
        <w:ind w:right="320" w:firstLine="906"/>
        <w:spacing w:after="0" w:line="268" w:lineRule="auto"/>
        <w:tabs>
          <w:tab w:leader="none" w:pos="1137"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capital stock of any Subsidiary of the Borrower may be sold, transferred or otherwise disposed of to the Borrower or any wholly owned Subsidiary Guarantor of the Borrower;</w:t>
      </w:r>
    </w:p>
    <w:p>
      <w:pPr>
        <w:spacing w:after="0" w:line="131" w:lineRule="exact"/>
        <w:rPr>
          <w:rFonts w:ascii="Arial" w:cs="Arial" w:eastAsia="Arial" w:hAnsi="Arial"/>
          <w:sz w:val="18"/>
          <w:szCs w:val="18"/>
          <w:color w:val="auto"/>
        </w:rPr>
      </w:pPr>
    </w:p>
    <w:p>
      <w:pPr>
        <w:ind w:right="220" w:firstLine="906"/>
        <w:spacing w:after="0" w:line="259" w:lineRule="auto"/>
        <w:tabs>
          <w:tab w:leader="none" w:pos="1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the Covered Debt Amount does not exceed the Borrowing Base;</w:t>
      </w:r>
    </w:p>
    <w:p>
      <w:pPr>
        <w:spacing w:after="0" w:line="139" w:lineRule="exact"/>
        <w:rPr>
          <w:rFonts w:ascii="Arial" w:cs="Arial" w:eastAsia="Arial" w:hAnsi="Arial"/>
          <w:sz w:val="18"/>
          <w:szCs w:val="18"/>
          <w:color w:val="auto"/>
        </w:rPr>
      </w:pPr>
    </w:p>
    <w:p>
      <w:pPr>
        <w:ind w:right="80" w:firstLine="906"/>
        <w:spacing w:after="0" w:line="294" w:lineRule="auto"/>
        <w:tabs>
          <w:tab w:leader="none" w:pos="113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15" w:lineRule="exact"/>
        <w:rPr>
          <w:rFonts w:ascii="Arial" w:cs="Arial" w:eastAsia="Arial" w:hAnsi="Arial"/>
          <w:sz w:val="16"/>
          <w:szCs w:val="16"/>
          <w:color w:val="auto"/>
        </w:rPr>
      </w:pPr>
    </w:p>
    <w:p>
      <w:pPr>
        <w:ind w:right="720" w:firstLine="906"/>
        <w:spacing w:after="0" w:line="331" w:lineRule="auto"/>
        <w:tabs>
          <w:tab w:leader="none" w:pos="111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Borrower may merge or consolidate with any other Person so long as (i) the Borrower is the continuing or surviving entity in such transaction and (ii) at the time thereof and after giving effect thereto, no Default shall have occurred or be continuing; and</w:t>
      </w:r>
    </w:p>
    <w:p>
      <w:pPr>
        <w:spacing w:after="0" w:line="86" w:lineRule="exact"/>
        <w:rPr>
          <w:rFonts w:ascii="Arial" w:cs="Arial" w:eastAsia="Arial" w:hAnsi="Arial"/>
          <w:sz w:val="16"/>
          <w:szCs w:val="16"/>
          <w:color w:val="auto"/>
        </w:rPr>
      </w:pPr>
    </w:p>
    <w:p>
      <w:pPr>
        <w:ind w:right="200" w:firstLine="906"/>
        <w:spacing w:after="0" w:line="331" w:lineRule="auto"/>
        <w:tabs>
          <w:tab w:leader="none" w:pos="114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Borrower and its Subsidiaries may sell, lease, transfer or otherwise dispose of equipment or other property or assets that do not consist of Portfolio Investments so long as the aggregate amount of all such sales, leases, transfer and dispositions does not exceed $5,000,000 in any fiscal year.</w:t>
      </w:r>
    </w:p>
    <w:p>
      <w:pPr>
        <w:spacing w:after="0" w:line="8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Investments</w:t>
      </w:r>
      <w:r>
        <w:rPr>
          <w:rFonts w:ascii="Arial" w:cs="Arial" w:eastAsia="Arial" w:hAnsi="Arial"/>
          <w:sz w:val="16"/>
          <w:szCs w:val="16"/>
          <w:color w:val="auto"/>
        </w:rPr>
        <w:t>. The Borrower will not, nor will it permit any of its Subsidiaries to, acquire, make or enter into, or hold,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Investments except:</w:t>
      </w:r>
    </w:p>
    <w:p>
      <w:pPr>
        <w:spacing w:after="0" w:line="165" w:lineRule="exact"/>
        <w:rPr>
          <w:sz w:val="20"/>
          <w:szCs w:val="20"/>
          <w:color w:val="auto"/>
        </w:rPr>
      </w:pPr>
    </w:p>
    <w:p>
      <w:pPr>
        <w:ind w:left="1140" w:hanging="234"/>
        <w:spacing w:after="0"/>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operating deposit accounts with banks;</w:t>
      </w:r>
    </w:p>
    <w:p>
      <w:pPr>
        <w:spacing w:after="0" w:line="171" w:lineRule="exact"/>
        <w:rPr>
          <w:rFonts w:ascii="Arial" w:cs="Arial" w:eastAsia="Arial" w:hAnsi="Arial"/>
          <w:sz w:val="18"/>
          <w:szCs w:val="18"/>
          <w:color w:val="auto"/>
        </w:rPr>
      </w:pPr>
    </w:p>
    <w:p>
      <w:pPr>
        <w:ind w:left="1160" w:hanging="254"/>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Investments by the Borrower and the Subsidiary Guarantors in the Borrower and the Subsidiary Guarantors;</w:t>
      </w:r>
    </w:p>
    <w:p>
      <w:pPr>
        <w:spacing w:after="0" w:line="171" w:lineRule="exact"/>
        <w:rPr>
          <w:rFonts w:ascii="Arial" w:cs="Arial" w:eastAsia="Arial" w:hAnsi="Arial"/>
          <w:sz w:val="18"/>
          <w:szCs w:val="18"/>
          <w:color w:val="auto"/>
        </w:rPr>
      </w:pPr>
    </w:p>
    <w:p>
      <w:pPr>
        <w:ind w:left="1140" w:hanging="234"/>
        <w:spacing w:after="0"/>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Hedging Agreements entered into in the ordinary course of the Borrower’s financial planning and not for speculative purposes;</w:t>
      </w:r>
    </w:p>
    <w:p>
      <w:pPr>
        <w:spacing w:after="0" w:line="171" w:lineRule="exact"/>
        <w:rPr>
          <w:rFonts w:ascii="Arial" w:cs="Arial" w:eastAsia="Arial" w:hAnsi="Arial"/>
          <w:sz w:val="18"/>
          <w:szCs w:val="18"/>
          <w:color w:val="auto"/>
        </w:rPr>
      </w:pPr>
    </w:p>
    <w:p>
      <w:pPr>
        <w:ind w:right="620" w:firstLine="906"/>
        <w:spacing w:after="0" w:line="268"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Portfolio Investments by the Borrower and its Subsidiaries to the extent such Portfolio Investments are permitted under the Investment Company Act and the Borrower’s Investment Policies;</w:t>
      </w:r>
    </w:p>
    <w:p>
      <w:pPr>
        <w:spacing w:after="0" w:line="131" w:lineRule="exact"/>
        <w:rPr>
          <w:rFonts w:ascii="Arial" w:cs="Arial" w:eastAsia="Arial" w:hAnsi="Arial"/>
          <w:sz w:val="18"/>
          <w:szCs w:val="18"/>
          <w:color w:val="auto"/>
        </w:rPr>
      </w:pPr>
    </w:p>
    <w:p>
      <w:pPr>
        <w:ind w:right="220" w:firstLine="906"/>
        <w:spacing w:after="0" w:line="306" w:lineRule="auto"/>
        <w:tabs>
          <w:tab w:leader="none" w:pos="113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Investments in Financing Subsidiaries so long as, (i) after giving effect to such Investment, the Covered Debt Amount does not exceed the Borrowing Base and (ii) the sum of (x) all Investments under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that occur after the Commitment Termination Date and (y) all Investments under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below that occur after the Commitment Termination Date, shall not exceed $5,000,000 in the aggregate;</w:t>
      </w:r>
    </w:p>
    <w:p>
      <w:pPr>
        <w:spacing w:after="0" w:line="93"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88</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35" w:name="page136"/>
    <w:bookmarkEnd w:id="135"/>
    <w:p>
      <w:pPr>
        <w:ind w:left="1120" w:hanging="214"/>
        <w:spacing w:after="0"/>
        <w:tabs>
          <w:tab w:leader="none" w:pos="1120" w:val="left"/>
        </w:tabs>
        <w:numPr>
          <w:ilvl w:val="1"/>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additional Investments up to but not exceeding $50,000,000 in the aggregate;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sum of (x) all Investments under this </w:t>
      </w:r>
      <w:r>
        <w:rPr>
          <w:rFonts w:ascii="Arial" w:cs="Arial" w:eastAsia="Arial" w:hAnsi="Arial"/>
          <w:sz w:val="16"/>
          <w:szCs w:val="16"/>
          <w:u w:val="single" w:color="auto"/>
          <w:color w:val="auto"/>
        </w:rPr>
        <w:t>clause</w:t>
      </w:r>
    </w:p>
    <w:p>
      <w:pPr>
        <w:spacing w:after="0" w:line="38" w:lineRule="exact"/>
        <w:rPr>
          <w:rFonts w:ascii="Arial" w:cs="Arial" w:eastAsia="Arial" w:hAnsi="Arial"/>
          <w:sz w:val="16"/>
          <w:szCs w:val="16"/>
          <w:color w:val="auto"/>
        </w:rPr>
      </w:pPr>
    </w:p>
    <w:p>
      <w:pPr>
        <w:ind w:right="140" w:firstLine="8"/>
        <w:spacing w:after="0" w:line="260" w:lineRule="auto"/>
        <w:tabs>
          <w:tab w:leader="none" w:pos="219" w:val="left"/>
        </w:tabs>
        <w:numPr>
          <w:ilvl w:val="0"/>
          <w:numId w:val="151"/>
        </w:numPr>
        <w:rPr>
          <w:rFonts w:ascii="Arial" w:cs="Arial" w:eastAsia="Arial" w:hAnsi="Arial"/>
          <w:sz w:val="18"/>
          <w:szCs w:val="18"/>
          <w:u w:val="single" w:color="auto"/>
          <w:color w:val="auto"/>
        </w:rPr>
      </w:pPr>
      <w:r>
        <w:rPr>
          <w:rFonts w:ascii="Arial" w:cs="Arial" w:eastAsia="Arial" w:hAnsi="Arial"/>
          <w:sz w:val="18"/>
          <w:szCs w:val="18"/>
          <w:color w:val="auto"/>
        </w:rPr>
        <w:t xml:space="preserve">that occur after the Commitment Termination Date and (y) all Investments under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above that occur after the Commitment Termination Date, shall not exceed $5,000,000 in the aggregate;</w:t>
      </w:r>
    </w:p>
    <w:p>
      <w:pPr>
        <w:spacing w:after="0" w:line="139" w:lineRule="exact"/>
        <w:rPr>
          <w:rFonts w:ascii="Arial" w:cs="Arial" w:eastAsia="Arial" w:hAnsi="Arial"/>
          <w:sz w:val="18"/>
          <w:szCs w:val="18"/>
          <w:u w:val="single" w:color="auto"/>
          <w:color w:val="auto"/>
        </w:rPr>
      </w:pPr>
    </w:p>
    <w:p>
      <w:pPr>
        <w:ind w:left="1160" w:hanging="254"/>
        <w:spacing w:after="0"/>
        <w:tabs>
          <w:tab w:leader="none" w:pos="1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171" w:lineRule="exact"/>
        <w:rPr>
          <w:rFonts w:ascii="Arial" w:cs="Arial" w:eastAsia="Arial" w:hAnsi="Arial"/>
          <w:sz w:val="18"/>
          <w:szCs w:val="18"/>
          <w:color w:val="auto"/>
        </w:rPr>
      </w:pPr>
    </w:p>
    <w:p>
      <w:pPr>
        <w:ind w:left="1160" w:hanging="254"/>
        <w:spacing w:after="0"/>
        <w:tabs>
          <w:tab w:leader="none" w:pos="1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Investments described on </w:t>
      </w:r>
      <w:r>
        <w:rPr>
          <w:rFonts w:ascii="Arial" w:cs="Arial" w:eastAsia="Arial" w:hAnsi="Arial"/>
          <w:sz w:val="18"/>
          <w:szCs w:val="18"/>
          <w:u w:val="single" w:color="auto"/>
          <w:color w:val="auto"/>
        </w:rPr>
        <w:t>Schedule 3.12(b)</w:t>
      </w:r>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left="1120" w:hanging="214"/>
        <w:spacing w:after="0"/>
        <w:tabs>
          <w:tab w:leader="none" w:pos="11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Investments by a Financing Subsidiary.</w:t>
      </w:r>
    </w:p>
    <w:p>
      <w:pPr>
        <w:spacing w:after="0" w:line="171" w:lineRule="exact"/>
        <w:rPr>
          <w:sz w:val="20"/>
          <w:szCs w:val="20"/>
          <w:color w:val="auto"/>
        </w:rPr>
      </w:pPr>
    </w:p>
    <w:p>
      <w:pPr>
        <w:ind w:right="120" w:firstLine="898"/>
        <w:spacing w:after="0" w:line="291" w:lineRule="auto"/>
        <w:rPr>
          <w:sz w:val="20"/>
          <w:szCs w:val="20"/>
          <w:color w:val="auto"/>
        </w:rPr>
      </w:pPr>
      <w:r>
        <w:rPr>
          <w:rFonts w:ascii="Arial" w:cs="Arial" w:eastAsia="Arial" w:hAnsi="Arial"/>
          <w:sz w:val="16"/>
          <w:szCs w:val="16"/>
          <w:color w:val="auto"/>
        </w:rPr>
        <w:t xml:space="preserve">For purposes of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amount of dividends, distributions or other payments received in cash in respect of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20" w:lineRule="exact"/>
        <w:rPr>
          <w:sz w:val="20"/>
          <w:szCs w:val="20"/>
          <w:color w:val="auto"/>
        </w:rPr>
      </w:pPr>
    </w:p>
    <w:p>
      <w:pPr>
        <w:ind w:right="440" w:firstLine="898"/>
        <w:spacing w:after="0" w:line="331"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The Borrower will not, nor will it permit any of its Subsidiaries (other than Financing Subsidiaries) to, declare or make, or agree to pay or make, directly or indirectly, any Restricted Payment, except that the Borrower may declare and pay:</w:t>
      </w:r>
    </w:p>
    <w:p>
      <w:pPr>
        <w:spacing w:after="0" w:line="87" w:lineRule="exact"/>
        <w:rPr>
          <w:sz w:val="20"/>
          <w:szCs w:val="20"/>
          <w:color w:val="auto"/>
        </w:rPr>
      </w:pPr>
    </w:p>
    <w:p>
      <w:pPr>
        <w:ind w:left="1140" w:hanging="234"/>
        <w:spacing w:after="0"/>
        <w:tabs>
          <w:tab w:leader="none" w:pos="114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dividends with respect to the capital stock of the Borrower payable solely in additional shares of the Borrower’s common stock;</w:t>
      </w:r>
    </w:p>
    <w:p>
      <w:pPr>
        <w:spacing w:after="0" w:line="171" w:lineRule="exact"/>
        <w:rPr>
          <w:rFonts w:ascii="Arial" w:cs="Arial" w:eastAsia="Arial" w:hAnsi="Arial"/>
          <w:sz w:val="18"/>
          <w:szCs w:val="18"/>
          <w:color w:val="auto"/>
        </w:rPr>
      </w:pPr>
    </w:p>
    <w:p>
      <w:pPr>
        <w:jc w:val="both"/>
        <w:ind w:right="120" w:firstLine="906"/>
        <w:spacing w:after="0" w:line="298" w:lineRule="auto"/>
        <w:tabs>
          <w:tab w:leader="none" w:pos="1147" w:val="left"/>
        </w:tabs>
        <w:numPr>
          <w:ilvl w:val="1"/>
          <w:numId w:val="152"/>
        </w:numPr>
        <w:rPr>
          <w:rFonts w:ascii="Arial" w:cs="Arial" w:eastAsia="Arial" w:hAnsi="Arial"/>
          <w:sz w:val="16"/>
          <w:szCs w:val="16"/>
          <w:color w:val="auto"/>
        </w:rPr>
      </w:pPr>
      <w:r>
        <w:rPr>
          <w:rFonts w:ascii="Arial" w:cs="Arial" w:eastAsia="Arial" w:hAnsi="Arial"/>
          <w:sz w:val="16"/>
          <w:szCs w:val="16"/>
          <w:color w:val="auto"/>
        </w:rPr>
        <w:t>dividends and distributions in either case in cash or other property (excluding for this purpose the Borrower’s common stock) in any taxable year of the Borrower in amounts not to exceed the amount that is estimated in good faith by the Borrower to be required to (i) reduce to zero for such taxable year or for the previous taxable year, its investment company taxable income (within the meaning of Section 852(b)(2) of the Code) and reduce to zero the tax imposed by Section 852(b)(3) of the Code, and (ii) avoid federal excise taxes for such taxable year imposed by Section 4982 of the Code;</w:t>
      </w:r>
    </w:p>
    <w:p>
      <w:pPr>
        <w:spacing w:after="0" w:line="112" w:lineRule="exact"/>
        <w:rPr>
          <w:rFonts w:ascii="Arial" w:cs="Arial" w:eastAsia="Arial" w:hAnsi="Arial"/>
          <w:sz w:val="16"/>
          <w:szCs w:val="16"/>
          <w:color w:val="auto"/>
        </w:rPr>
      </w:pPr>
    </w:p>
    <w:p>
      <w:pPr>
        <w:jc w:val="both"/>
        <w:ind w:right="100" w:firstLine="906"/>
        <w:spacing w:after="0" w:line="356" w:lineRule="auto"/>
        <w:tabs>
          <w:tab w:leader="none" w:pos="1137" w:val="left"/>
        </w:tabs>
        <w:numPr>
          <w:ilvl w:val="1"/>
          <w:numId w:val="152"/>
        </w:numPr>
        <w:rPr>
          <w:rFonts w:ascii="Arial" w:cs="Arial" w:eastAsia="Arial" w:hAnsi="Arial"/>
          <w:sz w:val="15"/>
          <w:szCs w:val="15"/>
          <w:color w:val="auto"/>
        </w:rPr>
      </w:pPr>
      <w:r>
        <w:rPr>
          <w:rFonts w:ascii="Arial" w:cs="Arial" w:eastAsia="Arial" w:hAnsi="Arial"/>
          <w:sz w:val="15"/>
          <w:szCs w:val="15"/>
          <w:color w:val="auto"/>
        </w:rPr>
        <w:t xml:space="preserve">dividends and distributions in each case in cash or other property (excluding for this purpose the Borrower’s common stock) in addition to the dividends and distributions permitted under the foregoing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so long as on the date of such Restricted Payment and after giving effect thereto:</w:t>
      </w:r>
    </w:p>
    <w:p>
      <w:pPr>
        <w:spacing w:after="0" w:line="1" w:lineRule="exact"/>
        <w:rPr>
          <w:rFonts w:ascii="Arial" w:cs="Arial" w:eastAsia="Arial" w:hAnsi="Arial"/>
          <w:sz w:val="15"/>
          <w:szCs w:val="15"/>
          <w:color w:val="auto"/>
        </w:rPr>
      </w:pPr>
    </w:p>
    <w:p>
      <w:pPr>
        <w:ind w:left="1100" w:hanging="212"/>
        <w:spacing w:after="0"/>
        <w:tabs>
          <w:tab w:leader="none" w:pos="11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and</w:t>
      </w:r>
    </w:p>
    <w:p>
      <w:pPr>
        <w:spacing w:after="0" w:line="15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89</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36" w:name="page137"/>
    <w:bookmarkEnd w:id="136"/>
    <w:p>
      <w:pPr>
        <w:ind w:left="460" w:right="60" w:firstLine="428"/>
        <w:spacing w:after="0" w:line="317" w:lineRule="auto"/>
        <w:tabs>
          <w:tab w:leader="none" w:pos="1150" w:val="left"/>
        </w:tabs>
        <w:numPr>
          <w:ilvl w:val="0"/>
          <w:numId w:val="15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aggregate amount of Restricted Payments made during any taxable year of the Borrower after the date hereof under this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shall not exceed the sum of (x) an amount equal to 10% of the taxable income of the Borrower for such taxable year determined under section 852(b)(2) of the Code, but without regard to </w:t>
      </w:r>
      <w:r>
        <w:rPr>
          <w:rFonts w:ascii="Arial" w:cs="Arial" w:eastAsia="Arial" w:hAnsi="Arial"/>
          <w:sz w:val="15"/>
          <w:szCs w:val="15"/>
          <w:u w:val="single" w:color="auto"/>
          <w:color w:val="auto"/>
        </w:rPr>
        <w:t>subparagraphs (A)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(D)</w:t>
      </w:r>
      <w:r>
        <w:rPr>
          <w:rFonts w:ascii="Arial" w:cs="Arial" w:eastAsia="Arial" w:hAnsi="Arial"/>
          <w:sz w:val="15"/>
          <w:szCs w:val="15"/>
          <w:color w:val="auto"/>
        </w:rPr>
        <w:t xml:space="preserve"> thereof,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(y) the amount, if any, by which dividends and distributions made during such taxable year pursuant to the foregoing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(whether in respect of such taxable year or the previous taxable year) based upon the Borrower’s estimate of taxable income exceeded the actual amounts specified in </w:t>
      </w:r>
      <w:r>
        <w:rPr>
          <w:rFonts w:ascii="Arial" w:cs="Arial" w:eastAsia="Arial" w:hAnsi="Arial"/>
          <w:sz w:val="15"/>
          <w:szCs w:val="15"/>
          <w:u w:val="single" w:color="auto"/>
          <w:color w:val="auto"/>
        </w:rPr>
        <w:t>subclauses (i)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of such foregoing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for such taxable year.</w:t>
      </w:r>
    </w:p>
    <w:p>
      <w:pPr>
        <w:spacing w:after="0" w:line="102" w:lineRule="exact"/>
        <w:rPr>
          <w:rFonts w:ascii="Arial" w:cs="Arial" w:eastAsia="Arial" w:hAnsi="Arial"/>
          <w:sz w:val="15"/>
          <w:szCs w:val="15"/>
          <w:color w:val="auto"/>
        </w:rPr>
      </w:pPr>
    </w:p>
    <w:p>
      <w:pPr>
        <w:ind w:right="20" w:firstLine="906"/>
        <w:spacing w:after="0" w:line="288" w:lineRule="auto"/>
        <w:tabs>
          <w:tab w:leader="none" w:pos="114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other Restricted Payments so long as (i) on the date of such other Restricted Payment and after giving effect thereto (x) the Covered Debt Amount does not exceed 90% of the Borrowing Base and (y) no Default shall have occurred and be continuing and (ii) on the date of such other Restricted Payment the Borrower delivers to the Administrative Agent and each Lender a Borrowing Base Certificate as at such date demonstrating compliance with </w:t>
      </w:r>
      <w:r>
        <w:rPr>
          <w:rFonts w:ascii="Arial" w:cs="Arial" w:eastAsia="Arial" w:hAnsi="Arial"/>
          <w:sz w:val="16"/>
          <w:szCs w:val="16"/>
          <w:u w:val="single" w:color="auto"/>
          <w:color w:val="auto"/>
        </w:rPr>
        <w:t>subclause (x)</w:t>
      </w:r>
      <w:r>
        <w:rPr>
          <w:rFonts w:ascii="Arial" w:cs="Arial" w:eastAsia="Arial" w:hAnsi="Arial"/>
          <w:sz w:val="16"/>
          <w:szCs w:val="16"/>
          <w:color w:val="auto"/>
        </w:rPr>
        <w:t xml:space="preserve"> after giving effect to such Restricted Payment. For purposes of preparing such Borrowing Base Certificate, (A) the fair market value of Portfolio Investments for which market quotations are readily available shall be the most recent quotation available for such Portfolio Investment and (B) the fair market value of Portfolio Investments for which market quotations are not readily available shall be the Value set forth in the Borrowing Base Certificate most recently delivered by the Borrower to the Administrative Agent and the Lenders pursuant to </w:t>
      </w:r>
      <w:r>
        <w:rPr>
          <w:rFonts w:ascii="Arial" w:cs="Arial" w:eastAsia="Arial" w:hAnsi="Arial"/>
          <w:sz w:val="16"/>
          <w:szCs w:val="16"/>
          <w:u w:val="single" w:color="auto"/>
          <w:color w:val="auto"/>
        </w:rPr>
        <w:t>Section 5.01(d)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reduce the Value of any Portfolio Investment referred to in this </w:t>
      </w:r>
      <w:r>
        <w:rPr>
          <w:rFonts w:ascii="Arial" w:cs="Arial" w:eastAsia="Arial" w:hAnsi="Arial"/>
          <w:sz w:val="16"/>
          <w:szCs w:val="16"/>
          <w:u w:val="single" w:color="auto"/>
          <w:color w:val="auto"/>
        </w:rPr>
        <w:t>sub-clause (B)</w:t>
      </w:r>
      <w:r>
        <w:rPr>
          <w:rFonts w:ascii="Arial" w:cs="Arial" w:eastAsia="Arial" w:hAnsi="Arial"/>
          <w:sz w:val="16"/>
          <w:szCs w:val="16"/>
          <w:color w:val="auto"/>
        </w:rPr>
        <w:t xml:space="preserve"> to the extent necessary to take into account any events of which the Borrower has knowledge that adversely affect the value of such Portfolio Investment.</w:t>
      </w:r>
    </w:p>
    <w:p>
      <w:pPr>
        <w:spacing w:after="0" w:line="119" w:lineRule="exact"/>
        <w:rPr>
          <w:sz w:val="20"/>
          <w:szCs w:val="20"/>
          <w:color w:val="auto"/>
        </w:rPr>
      </w:pPr>
    </w:p>
    <w:p>
      <w:pPr>
        <w:ind w:right="40" w:firstLine="898"/>
        <w:spacing w:after="0" w:line="268" w:lineRule="auto"/>
        <w:rPr>
          <w:sz w:val="20"/>
          <w:szCs w:val="20"/>
          <w:color w:val="auto"/>
        </w:rPr>
      </w:pPr>
      <w:r>
        <w:rPr>
          <w:rFonts w:ascii="Arial" w:cs="Arial" w:eastAsia="Arial" w:hAnsi="Arial"/>
          <w:sz w:val="18"/>
          <w:szCs w:val="18"/>
          <w:color w:val="auto"/>
        </w:rPr>
        <w:t>Nothing herein shall be deemed to prohibit the payment of Restricted Payments by any Subsidiary of the Borrower to the Borrower or to any other Subsidiary Guarantor.</w:t>
      </w:r>
    </w:p>
    <w:p>
      <w:pPr>
        <w:spacing w:after="0" w:line="132" w:lineRule="exact"/>
        <w:rPr>
          <w:sz w:val="20"/>
          <w:szCs w:val="20"/>
          <w:color w:val="auto"/>
        </w:rPr>
      </w:pPr>
    </w:p>
    <w:p>
      <w:pPr>
        <w:ind w:firstLine="898"/>
        <w:spacing w:after="0" w:line="301" w:lineRule="auto"/>
        <w:rPr>
          <w:sz w:val="20"/>
          <w:szCs w:val="20"/>
          <w:color w:val="auto"/>
        </w:rPr>
      </w:pPr>
      <w:r>
        <w:rPr>
          <w:rFonts w:ascii="Arial" w:cs="Arial" w:eastAsia="Arial" w:hAnsi="Arial"/>
          <w:sz w:val="15"/>
          <w:szCs w:val="15"/>
          <w:color w:val="auto"/>
        </w:rPr>
        <w:t xml:space="preserve">SECTION 6.06. </w:t>
      </w:r>
      <w:r>
        <w:rPr>
          <w:rFonts w:ascii="Arial" w:cs="Arial" w:eastAsia="Arial" w:hAnsi="Arial"/>
          <w:sz w:val="15"/>
          <w:szCs w:val="15"/>
          <w:u w:val="single" w:color="auto"/>
          <w:color w:val="auto"/>
        </w:rPr>
        <w:t>Certain Restrictions on Subsidiaries</w:t>
      </w:r>
      <w:r>
        <w:rPr>
          <w:rFonts w:ascii="Arial" w:cs="Arial" w:eastAsia="Arial" w:hAnsi="Arial"/>
          <w:sz w:val="15"/>
          <w:szCs w:val="15"/>
          <w:color w:val="auto"/>
        </w:rPr>
        <w:t xml:space="preserve">. The Borrower will not permit any of its Subsidiaries (other than Financing Subsidiaries) to enter into or suffer to exist any indenture, agreement, instrument or other arrangement that prohibits or restrains, in each case in any material respect, or imposes materially adverse conditions upon, the incurrence or payment of Indebtedness, the granting of Liens, the declaration or payment of dividends, the making of loans, advances, guarantees or Investments or the sale, assignment, transfer or other disposition of property except for any prohibitions or restraints contained in (i) any Indebtedness permitted under </w:t>
      </w:r>
      <w:r>
        <w:rPr>
          <w:rFonts w:ascii="Arial" w:cs="Arial" w:eastAsia="Arial" w:hAnsi="Arial"/>
          <w:sz w:val="15"/>
          <w:szCs w:val="15"/>
          <w:u w:val="single" w:color="auto"/>
          <w:color w:val="auto"/>
        </w:rPr>
        <w:t>Section 6.01(b)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(g)</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prohibition or reservation set forth therein does not prohibit the performance by the Borrower or its Subsidiaries of their obligations under this Agreement, (ii) any Indebtedness permitted under </w:t>
      </w:r>
      <w:r>
        <w:rPr>
          <w:rFonts w:ascii="Arial" w:cs="Arial" w:eastAsia="Arial" w:hAnsi="Arial"/>
          <w:sz w:val="15"/>
          <w:szCs w:val="15"/>
          <w:u w:val="single" w:color="auto"/>
          <w:color w:val="auto"/>
        </w:rPr>
        <w:t>Section 6.01(c)</w:t>
      </w:r>
      <w:r>
        <w:rPr>
          <w:rFonts w:ascii="Arial" w:cs="Arial" w:eastAsia="Arial" w:hAnsi="Arial"/>
          <w:sz w:val="15"/>
          <w:szCs w:val="15"/>
          <w:color w:val="auto"/>
        </w:rPr>
        <w:t xml:space="preserve"> secured by a Lien permitted under </w:t>
      </w:r>
      <w:r>
        <w:rPr>
          <w:rFonts w:ascii="Arial" w:cs="Arial" w:eastAsia="Arial" w:hAnsi="Arial"/>
          <w:sz w:val="15"/>
          <w:szCs w:val="15"/>
          <w:u w:val="single" w:color="auto"/>
          <w:color w:val="auto"/>
        </w:rPr>
        <w:t>Section 6.02</w:t>
      </w:r>
      <w:r>
        <w:rPr>
          <w:rFonts w:ascii="Arial" w:cs="Arial" w:eastAsia="Arial" w:hAnsi="Arial"/>
          <w:sz w:val="15"/>
          <w:szCs w:val="15"/>
          <w:color w:val="auto"/>
        </w:rPr>
        <w:t xml:space="preserve"> provided that such prohibitions and restraints are applicable by their terms only to the assets that are subject to such Lien and</w:t>
      </w:r>
    </w:p>
    <w:p>
      <w:pPr>
        <w:spacing w:after="0" w:line="4" w:lineRule="exact"/>
        <w:rPr>
          <w:sz w:val="20"/>
          <w:szCs w:val="20"/>
          <w:color w:val="auto"/>
        </w:rPr>
      </w:pPr>
    </w:p>
    <w:p>
      <w:pPr>
        <w:ind w:right="180" w:firstLine="8"/>
        <w:spacing w:after="0" w:line="260" w:lineRule="auto"/>
        <w:tabs>
          <w:tab w:leader="none" w:pos="30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any Indebtedness permitted under </w:t>
      </w:r>
      <w:r>
        <w:rPr>
          <w:rFonts w:ascii="Arial" w:cs="Arial" w:eastAsia="Arial" w:hAnsi="Arial"/>
          <w:sz w:val="18"/>
          <w:szCs w:val="18"/>
          <w:u w:val="single" w:color="auto"/>
          <w:color w:val="auto"/>
        </w:rPr>
        <w:t>Section 6.01(e)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secured by a Permitted Lien provided that such prohibitions and restraints are applicable by their terms only to the assets that are subject to such Lien.</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Certain Financial Covenants</w:t>
      </w:r>
      <w:r>
        <w:rPr>
          <w:rFonts w:ascii="Arial" w:cs="Arial" w:eastAsia="Arial" w:hAnsi="Arial"/>
          <w:sz w:val="18"/>
          <w:szCs w:val="18"/>
          <w:color w:val="auto"/>
        </w:rPr>
        <w: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Minimum Shareholders’ Equity</w:t>
      </w:r>
      <w:r>
        <w:rPr>
          <w:rFonts w:ascii="Arial" w:cs="Arial" w:eastAsia="Arial" w:hAnsi="Arial"/>
          <w:sz w:val="16"/>
          <w:szCs w:val="16"/>
          <w:color w:val="auto"/>
        </w:rPr>
        <w:t>. The Borrower will not permit Shareholders’ Equity at the last day of any fiscal quarter of the Borrower to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151"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90</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37" w:name="page138"/>
    <w:bookmarkEnd w:id="137"/>
    <w:p>
      <w:pPr>
        <w:ind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than $220,000,000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25% of the net proceeds of the sale of Equity Interests by the Borrower and its Subsidiaries after the Effective Date (other than proceeds of sales of Equity Interests by and among the Borrower and its Subsidiaries).</w:t>
      </w:r>
    </w:p>
    <w:p>
      <w:pPr>
        <w:spacing w:after="0" w:line="132" w:lineRule="exact"/>
        <w:rPr>
          <w:sz w:val="20"/>
          <w:szCs w:val="20"/>
          <w:color w:val="auto"/>
        </w:rPr>
      </w:pPr>
    </w:p>
    <w:p>
      <w:pPr>
        <w:ind w:left="1160" w:hanging="254"/>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Asset Coverage Ratio</w:t>
      </w:r>
      <w:r>
        <w:rPr>
          <w:rFonts w:ascii="Arial" w:cs="Arial" w:eastAsia="Arial" w:hAnsi="Arial"/>
          <w:sz w:val="18"/>
          <w:szCs w:val="18"/>
          <w:color w:val="auto"/>
        </w:rPr>
        <w:t>. The Borrower will not permit the Asset Coverage Ratio to be less than 2.00 to 1 at any time.</w:t>
      </w:r>
    </w:p>
    <w:p>
      <w:pPr>
        <w:spacing w:after="0" w:line="171" w:lineRule="exact"/>
        <w:rPr>
          <w:rFonts w:ascii="Arial" w:cs="Arial" w:eastAsia="Arial" w:hAnsi="Arial"/>
          <w:sz w:val="18"/>
          <w:szCs w:val="18"/>
          <w:color w:val="auto"/>
        </w:rPr>
      </w:pPr>
    </w:p>
    <w:p>
      <w:pPr>
        <w:ind w:right="140" w:firstLine="906"/>
        <w:spacing w:after="0" w:line="256" w:lineRule="auto"/>
        <w:tabs>
          <w:tab w:leader="none" w:pos="1137"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Liquidity Test</w:t>
      </w:r>
      <w:r>
        <w:rPr>
          <w:rFonts w:ascii="Arial" w:cs="Arial" w:eastAsia="Arial" w:hAnsi="Arial"/>
          <w:sz w:val="18"/>
          <w:szCs w:val="18"/>
          <w:color w:val="auto"/>
        </w:rPr>
        <w:t>. The Borrower will not permit the aggregate Value of the Portfolio Investments that are Cash (excluding Cash Collateral for outstanding Letters of Credit) or that can be converted to Cash in fewer than 10 Business Days without more than a 5% change in price to be less than 15% of the Covered Debt Amount for more than 30 Business Days during any period when the Adjusted Covered Debt Balance is greater than 85% of the Adjusted Borrowing Base.</w:t>
      </w:r>
    </w:p>
    <w:p>
      <w:pPr>
        <w:spacing w:after="0" w:line="142" w:lineRule="exact"/>
        <w:rPr>
          <w:rFonts w:ascii="Arial" w:cs="Arial" w:eastAsia="Arial" w:hAnsi="Arial"/>
          <w:sz w:val="18"/>
          <w:szCs w:val="18"/>
          <w:color w:val="auto"/>
        </w:rPr>
      </w:pPr>
    </w:p>
    <w:p>
      <w:pPr>
        <w:ind w:right="60" w:firstLine="906"/>
        <w:spacing w:after="0" w:line="331" w:lineRule="auto"/>
        <w:tabs>
          <w:tab w:leader="none" w:pos="1147"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Debt to Total Assets Ratio</w:t>
      </w:r>
      <w:r>
        <w:rPr>
          <w:rFonts w:ascii="Arial" w:cs="Arial" w:eastAsia="Arial" w:hAnsi="Arial"/>
          <w:sz w:val="16"/>
          <w:szCs w:val="16"/>
          <w:color w:val="auto"/>
        </w:rPr>
        <w:t>. Prior to the Commitment Termination Date, the Borrower will not permit the Secured Debt Amount to exceed 40% of the Value of all assets (including Portfolio Investments prepayments of the Borrower), determined on an unconsolidated basis, in accordance with GAAP.</w:t>
      </w:r>
    </w:p>
    <w:p>
      <w:pPr>
        <w:spacing w:after="0" w:line="87" w:lineRule="exact"/>
        <w:rPr>
          <w:sz w:val="20"/>
          <w:szCs w:val="20"/>
          <w:color w:val="auto"/>
        </w:rPr>
      </w:pPr>
    </w:p>
    <w:p>
      <w:pPr>
        <w:ind w:right="20" w:firstLine="898"/>
        <w:spacing w:after="0" w:line="288"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The Borrower will not, and will not permit any of its Subsidiaries to enter into any transactions with any of its Affiliates, even if otherwise permitted under this Agreement, except (a) transactions in the ordinary course of business at prices and on terms and conditions not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(d) the transactions provided in the Affiliate Agreements, (e) transactions described on </w:t>
      </w:r>
      <w:r>
        <w:rPr>
          <w:rFonts w:ascii="Arial" w:cs="Arial" w:eastAsia="Arial" w:hAnsi="Arial"/>
          <w:sz w:val="16"/>
          <w:szCs w:val="16"/>
          <w:u w:val="single" w:color="auto"/>
          <w:color w:val="auto"/>
        </w:rPr>
        <w:t>Schedule 6.08</w:t>
      </w:r>
      <w:r>
        <w:rPr>
          <w:rFonts w:ascii="Arial" w:cs="Arial" w:eastAsia="Arial" w:hAnsi="Arial"/>
          <w:sz w:val="16"/>
          <w:szCs w:val="16"/>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not less favorable to the Obligors than could be obtained at the time on an arm’s-length basis from unrelated third parties.</w:t>
      </w:r>
    </w:p>
    <w:p>
      <w:pPr>
        <w:spacing w:after="0" w:line="124"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Lines of Business</w:t>
      </w:r>
      <w:r>
        <w:rPr>
          <w:rFonts w:ascii="Arial" w:cs="Arial" w:eastAsia="Arial" w:hAnsi="Arial"/>
          <w:sz w:val="18"/>
          <w:szCs w:val="18"/>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40" w:lineRule="exact"/>
        <w:rPr>
          <w:sz w:val="20"/>
          <w:szCs w:val="20"/>
          <w:color w:val="auto"/>
        </w:rPr>
      </w:pPr>
    </w:p>
    <w:p>
      <w:pPr>
        <w:ind w:right="20" w:firstLine="898"/>
        <w:spacing w:after="0" w:line="294"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No Further Negative Pledge</w:t>
      </w:r>
      <w:r>
        <w:rPr>
          <w:rFonts w:ascii="Arial" w:cs="Arial" w:eastAsia="Arial" w:hAnsi="Arial"/>
          <w:sz w:val="16"/>
          <w:szCs w:val="16"/>
          <w:color w:val="auto"/>
        </w:rPr>
        <w:t xml:space="preserve">. The Borrower will not, and will not permit any of its Subsidiaries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(b) covenants in documents creating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(including covenants with respect to the Designated</w:t>
      </w:r>
    </w:p>
    <w:p>
      <w:pPr>
        <w:spacing w:after="0" w:line="102"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91</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38" w:name="page139"/>
    <w:bookmarkEnd w:id="138"/>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Obligations or Designated Indebtedness Holders under (and, in each case, as defined in) the Security Documents) prohibiting further Liens on the assets encumbered thereby; (c) customary restrictions contained in leases not subject to a waiver; and (d)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Modifications of Longer-Term Indebtedness Documents</w:t>
      </w:r>
      <w:r>
        <w:rPr>
          <w:rFonts w:ascii="Arial" w:cs="Arial" w:eastAsia="Arial" w:hAnsi="Arial"/>
          <w:sz w:val="16"/>
          <w:szCs w:val="16"/>
          <w:color w:val="auto"/>
        </w:rPr>
        <w:t>. The Borrower will not consent to any modification, supplement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waiver of:</w:t>
      </w:r>
    </w:p>
    <w:p>
      <w:pPr>
        <w:spacing w:after="0" w:line="165" w:lineRule="exact"/>
        <w:rPr>
          <w:sz w:val="20"/>
          <w:szCs w:val="20"/>
          <w:color w:val="auto"/>
        </w:rPr>
      </w:pPr>
    </w:p>
    <w:p>
      <w:pPr>
        <w:ind w:right="80" w:firstLine="906"/>
        <w:spacing w:after="0" w:line="288" w:lineRule="auto"/>
        <w:tabs>
          <w:tab w:leader="none" w:pos="113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this Agreement, unless (i) in the case of Secured Longer 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18" w:lineRule="exact"/>
        <w:rPr>
          <w:rFonts w:ascii="Arial" w:cs="Arial" w:eastAsia="Arial" w:hAnsi="Arial"/>
          <w:sz w:val="16"/>
          <w:szCs w:val="16"/>
          <w:color w:val="auto"/>
        </w:rPr>
      </w:pPr>
    </w:p>
    <w:p>
      <w:pPr>
        <w:ind w:right="80" w:firstLine="906"/>
        <w:spacing w:after="0" w:line="259"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40" w:lineRule="exact"/>
        <w:rPr>
          <w:sz w:val="20"/>
          <w:szCs w:val="20"/>
          <w:color w:val="auto"/>
        </w:rPr>
      </w:pPr>
    </w:p>
    <w:p>
      <w:pPr>
        <w:ind w:right="80" w:firstLine="898"/>
        <w:spacing w:after="0" w:line="288"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Payments of Longer-Term Indebtedness</w:t>
      </w:r>
      <w:r>
        <w:rPr>
          <w:rFonts w:ascii="Arial" w:cs="Arial" w:eastAsia="Arial" w:hAnsi="Arial"/>
          <w:sz w:val="16"/>
          <w:szCs w:val="16"/>
          <w:color w:val="auto"/>
        </w:rPr>
        <w:t xml:space="preserve">. The Borrower will not, nor will it permit any of its Subsidiaries (other than Financing Subsidiaries)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or Unsecured Longer-Term Indebtedness (other than the refinancing of Secured Longer-Term Indebtedness or Unsecured Longer-Term Indebtedness with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except for (a) regularly scheduled payments, prepayments or redemptions of principal and interest in respect thereof required pursuant to the instruments evidencing such Indebtedness (it being understood that none of: (w) the conversion features under convertible notes; (x) the triggering and/or settlement thereof; or (y) any cash payment made in respect thereof, shall constitute a “regularly scheduled payment, prepayment or redemption of principal and interest” within the meaning of this </w:t>
      </w:r>
      <w:r>
        <w:rPr>
          <w:rFonts w:ascii="Arial" w:cs="Arial" w:eastAsia="Arial" w:hAnsi="Arial"/>
          <w:sz w:val="16"/>
          <w:szCs w:val="16"/>
          <w:u w:val="single" w:color="auto"/>
          <w:color w:val="auto"/>
        </w:rPr>
        <w:t>clause (a)</w:t>
      </w:r>
      <w:r>
        <w:rPr>
          <w:rFonts w:ascii="Arial" w:cs="Arial" w:eastAsia="Arial" w:hAnsi="Arial"/>
          <w:sz w:val="16"/>
          <w:szCs w:val="16"/>
          <w:color w:val="auto"/>
        </w:rPr>
        <w:t>), or (b) voluntary payments or prepayments of Secured Longer-Term</w:t>
      </w:r>
    </w:p>
    <w:p>
      <w:pPr>
        <w:spacing w:after="0" w:line="105"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92</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39" w:name="page140"/>
    <w:bookmarkEnd w:id="139"/>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so long as both before and after giving effect to such voluntary payment or prepayment (i) the Borrower is in pro forma compliance with the financial covenants set forth in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and (ii) no Default or Event of Default shall exist or be continuing.</w:t>
      </w:r>
    </w:p>
    <w:p>
      <w:pPr>
        <w:spacing w:after="0" w:line="132" w:lineRule="exact"/>
        <w:rPr>
          <w:sz w:val="20"/>
          <w:szCs w:val="20"/>
          <w:color w:val="auto"/>
        </w:rPr>
      </w:pPr>
    </w:p>
    <w:p>
      <w:pPr>
        <w:jc w:val="both"/>
        <w:ind w:right="400" w:firstLine="898"/>
        <w:spacing w:after="0" w:line="331"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Accounting Changes</w:t>
      </w:r>
      <w:r>
        <w:rPr>
          <w:rFonts w:ascii="Arial" w:cs="Arial" w:eastAsia="Arial" w:hAnsi="Arial"/>
          <w:sz w:val="16"/>
          <w:szCs w:val="16"/>
          <w:color w:val="auto"/>
        </w:rPr>
        <w:t>. The Borrower will not, nor will it permit any of its Subsidiaries to, make any change in (a) accounting policies or reporting practices, except as permitted under GAAP or required by law or rule or regulation of any Governmental Authority, or (b) fiscal year.</w:t>
      </w:r>
    </w:p>
    <w:p>
      <w:pPr>
        <w:spacing w:after="0" w:line="87" w:lineRule="exact"/>
        <w:rPr>
          <w:sz w:val="20"/>
          <w:szCs w:val="20"/>
          <w:color w:val="auto"/>
        </w:rPr>
      </w:pPr>
    </w:p>
    <w:p>
      <w:pPr>
        <w:ind w:right="120" w:firstLine="898"/>
        <w:spacing w:after="0" w:line="268"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SBIC Guarantee</w:t>
      </w:r>
      <w:r>
        <w:rPr>
          <w:rFonts w:ascii="Arial" w:cs="Arial" w:eastAsia="Arial" w:hAnsi="Arial"/>
          <w:sz w:val="18"/>
          <w:szCs w:val="18"/>
          <w:color w:val="auto"/>
        </w:rPr>
        <w:t>. The Borrower will not, nor will it permit any of its Subsidiaries to, cause or permit the occurrence of any event or condition that would result in any recourse to any Obligor under any Permitted SBIC Guarantee.</w:t>
      </w:r>
    </w:p>
    <w:p>
      <w:pPr>
        <w:spacing w:after="0" w:line="29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ind w:left="4740"/>
        <w:spacing w:after="0"/>
        <w:rPr>
          <w:sz w:val="20"/>
          <w:szCs w:val="20"/>
          <w:color w:val="auto"/>
        </w:rPr>
      </w:pPr>
      <w:r>
        <w:rPr>
          <w:rFonts w:ascii="Arial" w:cs="Arial" w:eastAsia="Arial" w:hAnsi="Arial"/>
          <w:sz w:val="18"/>
          <w:szCs w:val="18"/>
          <w:u w:val="single" w:color="auto"/>
          <w:color w:val="auto"/>
        </w:rPr>
        <w:t>EVENTS OF DEFAULT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171" w:lineRule="exact"/>
        <w:rPr>
          <w:sz w:val="20"/>
          <w:szCs w:val="20"/>
          <w:color w:val="auto"/>
        </w:rPr>
      </w:pPr>
    </w:p>
    <w:p>
      <w:pPr>
        <w:ind w:right="80" w:firstLine="906"/>
        <w:spacing w:after="0" w:line="306" w:lineRule="auto"/>
        <w:tabs>
          <w:tab w:leader="none" w:pos="113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on the Commitment Termination Date;</w:t>
      </w:r>
    </w:p>
    <w:p>
      <w:pPr>
        <w:spacing w:after="0" w:line="106" w:lineRule="exact"/>
        <w:rPr>
          <w:rFonts w:ascii="Arial" w:cs="Arial" w:eastAsia="Arial" w:hAnsi="Arial"/>
          <w:sz w:val="16"/>
          <w:szCs w:val="16"/>
          <w:color w:val="auto"/>
        </w:rPr>
      </w:pPr>
    </w:p>
    <w:p>
      <w:pPr>
        <w:ind w:right="20" w:firstLine="906"/>
        <w:spacing w:after="0" w:line="259"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the Borrower shall fail to pay any interest on any Loan or any fee or any other amount (other than an amount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139" w:lineRule="exact"/>
        <w:rPr>
          <w:rFonts w:ascii="Arial" w:cs="Arial" w:eastAsia="Arial" w:hAnsi="Arial"/>
          <w:sz w:val="18"/>
          <w:szCs w:val="18"/>
          <w:color w:val="auto"/>
        </w:rPr>
      </w:pPr>
    </w:p>
    <w:p>
      <w:pPr>
        <w:ind w:right="140" w:firstLine="906"/>
        <w:spacing w:after="0" w:line="298" w:lineRule="auto"/>
        <w:tabs>
          <w:tab w:leader="none" w:pos="113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12" w:lineRule="exact"/>
        <w:rPr>
          <w:rFonts w:ascii="Arial" w:cs="Arial" w:eastAsia="Arial" w:hAnsi="Arial"/>
          <w:sz w:val="16"/>
          <w:szCs w:val="16"/>
          <w:color w:val="auto"/>
        </w:rPr>
      </w:pPr>
    </w:p>
    <w:p>
      <w:pPr>
        <w:ind w:right="300" w:firstLine="906"/>
        <w:spacing w:after="0" w:line="298" w:lineRule="auto"/>
        <w:tabs>
          <w:tab w:leader="none" w:pos="114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the Borrower shall fail to observe or perform any covenant, condition or agreement contained in (i)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(with respect to the Borrower’s existence) or </w:t>
      </w:r>
      <w:r>
        <w:rPr>
          <w:rFonts w:ascii="Arial" w:cs="Arial" w:eastAsia="Arial" w:hAnsi="Arial"/>
          <w:sz w:val="16"/>
          <w:szCs w:val="16"/>
          <w:u w:val="single" w:color="auto"/>
          <w:color w:val="auto"/>
        </w:rPr>
        <w:t>Sections 5.08(a)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any Obligor shall default in the performance of any of its obligations contained in Section 7 of the Guarantee and Security Agreement or (ii) </w:t>
      </w:r>
      <w:r>
        <w:rPr>
          <w:rFonts w:ascii="Arial" w:cs="Arial" w:eastAsia="Arial" w:hAnsi="Arial"/>
          <w:sz w:val="16"/>
          <w:szCs w:val="16"/>
          <w:u w:val="single" w:color="auto"/>
          <w:color w:val="auto"/>
        </w:rPr>
        <w:t>Sections 5.01(e)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5.02</w:t>
      </w:r>
      <w:r>
        <w:rPr>
          <w:rFonts w:ascii="Arial" w:cs="Arial" w:eastAsia="Arial" w:hAnsi="Arial"/>
          <w:sz w:val="16"/>
          <w:szCs w:val="16"/>
          <w:color w:val="auto"/>
        </w:rPr>
        <w:t xml:space="preserve"> and such failure shall continue unremedied for a period of five or more days after notice thereof by the Administrative Agent (given at the request of any Lender) to the Borrower;</w:t>
      </w:r>
    </w:p>
    <w:p>
      <w:pPr>
        <w:spacing w:after="0" w:line="112" w:lineRule="exact"/>
        <w:rPr>
          <w:rFonts w:ascii="Arial" w:cs="Arial" w:eastAsia="Arial" w:hAnsi="Arial"/>
          <w:sz w:val="16"/>
          <w:szCs w:val="16"/>
          <w:color w:val="auto"/>
        </w:rPr>
      </w:pPr>
    </w:p>
    <w:p>
      <w:pPr>
        <w:ind w:left="1140" w:hanging="234"/>
        <w:spacing w:after="0"/>
        <w:tabs>
          <w:tab w:leader="none" w:pos="114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 Borrowing Base Deficiency shall occur and continue unremedied for a period of five or more Business Days after delivery of a Borrowing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Base Certificate</w:t>
      </w:r>
    </w:p>
    <w:p>
      <w:pPr>
        <w:spacing w:after="0" w:line="151"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93</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40" w:name="page141"/>
    <w:bookmarkEnd w:id="140"/>
    <w:p>
      <w:pPr>
        <w:jc w:val="both"/>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demonstrating such Borrowing Base Deficiency pursuant to </w:t>
      </w:r>
      <w:r>
        <w:rPr>
          <w:rFonts w:ascii="Arial" w:cs="Arial" w:eastAsia="Arial" w:hAnsi="Arial"/>
          <w:sz w:val="16"/>
          <w:szCs w:val="16"/>
          <w:u w:val="single" w:color="auto"/>
          <w:color w:val="auto"/>
        </w:rPr>
        <w:t>Section 5.01(e)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shall not be an Event of Default hereunder if the Borrower shall present the Administrative Agent with a reasonably feasible plan acceptable to the Administrative Agent in its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12" w:lineRule="exact"/>
        <w:rPr>
          <w:sz w:val="20"/>
          <w:szCs w:val="20"/>
          <w:color w:val="auto"/>
        </w:rPr>
      </w:pPr>
    </w:p>
    <w:p>
      <w:pPr>
        <w:jc w:val="both"/>
        <w:ind w:right="120" w:firstLine="906"/>
        <w:spacing w:after="0" w:line="306" w:lineRule="auto"/>
        <w:tabs>
          <w:tab w:leader="none" w:pos="1118" w:val="left"/>
        </w:tabs>
        <w:numPr>
          <w:ilvl w:val="1"/>
          <w:numId w:val="160"/>
        </w:numPr>
        <w:rPr>
          <w:rFonts w:ascii="Arial" w:cs="Arial" w:eastAsia="Arial" w:hAnsi="Arial"/>
          <w:sz w:val="16"/>
          <w:szCs w:val="16"/>
          <w:color w:val="auto"/>
        </w:rPr>
      </w:pPr>
      <w:r>
        <w:rPr>
          <w:rFonts w:ascii="Arial" w:cs="Arial" w:eastAsia="Arial" w:hAnsi="Arial"/>
          <w:sz w:val="16"/>
          <w:szCs w:val="16"/>
          <w:color w:val="auto"/>
        </w:rPr>
        <w:t xml:space="preserve">the Borrower or any Obligor, as applicable, shall fail to observe or perform any covenant, condition or agreement contained in this Agreement (other than those specified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(r)</w:t>
      </w:r>
      <w:r>
        <w:rPr>
          <w:rFonts w:ascii="Arial" w:cs="Arial" w:eastAsia="Arial" w:hAnsi="Arial"/>
          <w:sz w:val="16"/>
          <w:szCs w:val="16"/>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06" w:lineRule="exact"/>
        <w:rPr>
          <w:rFonts w:ascii="Arial" w:cs="Arial" w:eastAsia="Arial" w:hAnsi="Arial"/>
          <w:sz w:val="16"/>
          <w:szCs w:val="16"/>
          <w:color w:val="auto"/>
        </w:rPr>
      </w:pPr>
    </w:p>
    <w:p>
      <w:pPr>
        <w:ind w:right="100" w:firstLine="906"/>
        <w:spacing w:after="0" w:line="331" w:lineRule="auto"/>
        <w:tabs>
          <w:tab w:leader="none" w:pos="1147"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86" w:lineRule="exact"/>
        <w:rPr>
          <w:rFonts w:ascii="Arial" w:cs="Arial" w:eastAsia="Arial" w:hAnsi="Arial"/>
          <w:sz w:val="16"/>
          <w:szCs w:val="16"/>
          <w:color w:val="auto"/>
        </w:rPr>
      </w:pPr>
    </w:p>
    <w:p>
      <w:pPr>
        <w:ind w:right="80" w:firstLine="906"/>
        <w:spacing w:after="0" w:line="291" w:lineRule="auto"/>
        <w:tabs>
          <w:tab w:leader="none" w:pos="1147" w:val="left"/>
        </w:tabs>
        <w:numPr>
          <w:ilvl w:val="1"/>
          <w:numId w:val="160"/>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19" w:lineRule="exact"/>
        <w:rPr>
          <w:rFonts w:ascii="Arial" w:cs="Arial" w:eastAsia="Arial" w:hAnsi="Arial"/>
          <w:sz w:val="16"/>
          <w:szCs w:val="16"/>
          <w:color w:val="auto"/>
        </w:rPr>
      </w:pPr>
    </w:p>
    <w:p>
      <w:pPr>
        <w:ind w:right="40" w:firstLine="906"/>
        <w:spacing w:after="0" w:line="254" w:lineRule="auto"/>
        <w:tabs>
          <w:tab w:leader="none" w:pos="110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43" w:lineRule="exact"/>
        <w:rPr>
          <w:rFonts w:ascii="Arial" w:cs="Arial" w:eastAsia="Arial" w:hAnsi="Arial"/>
          <w:sz w:val="18"/>
          <w:szCs w:val="18"/>
          <w:color w:val="auto"/>
        </w:rPr>
      </w:pPr>
    </w:p>
    <w:p>
      <w:pPr>
        <w:ind w:right="160" w:firstLine="906"/>
        <w:spacing w:after="0" w:line="284" w:lineRule="auto"/>
        <w:tabs>
          <w:tab w:leader="none" w:pos="1108" w:val="left"/>
        </w:tabs>
        <w:numPr>
          <w:ilvl w:val="1"/>
          <w:numId w:val="160"/>
        </w:numPr>
        <w:rPr>
          <w:rFonts w:ascii="Arial" w:cs="Arial" w:eastAsia="Arial" w:hAnsi="Arial"/>
          <w:sz w:val="16"/>
          <w:szCs w:val="16"/>
          <w:color w:val="auto"/>
        </w:rPr>
      </w:pPr>
      <w:r>
        <w:rPr>
          <w:rFonts w:ascii="Arial" w:cs="Arial" w:eastAsia="Arial" w:hAnsi="Arial"/>
          <w:sz w:val="16"/>
          <w:szCs w:val="16"/>
          <w:color w:val="auto"/>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Article,</w:t>
      </w:r>
    </w:p>
    <w:p>
      <w:pPr>
        <w:spacing w:after="0" w:line="1" w:lineRule="exact"/>
        <w:rPr>
          <w:rFonts w:ascii="Arial" w:cs="Arial" w:eastAsia="Arial" w:hAnsi="Arial"/>
          <w:sz w:val="16"/>
          <w:szCs w:val="16"/>
          <w:color w:val="auto"/>
        </w:rPr>
      </w:pPr>
    </w:p>
    <w:p>
      <w:pPr>
        <w:ind w:right="720" w:firstLine="8"/>
        <w:spacing w:after="0" w:line="260" w:lineRule="auto"/>
        <w:tabs>
          <w:tab w:leader="none" w:pos="30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apply for or consent to the appointment of a receiver, trustee, custodian, sequestrator, conservator or similar official for the Borrower or any of its Subsidiaries</w:t>
      </w:r>
    </w:p>
    <w:p>
      <w:pPr>
        <w:spacing w:after="0" w:line="126"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94</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41" w:name="page142"/>
    <w:bookmarkEnd w:id="141"/>
    <w:p>
      <w:pPr>
        <w:ind w:right="280"/>
        <w:spacing w:after="0" w:line="33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87" w:lineRule="exact"/>
        <w:rPr>
          <w:sz w:val="20"/>
          <w:szCs w:val="20"/>
          <w:color w:val="auto"/>
        </w:rPr>
      </w:pPr>
    </w:p>
    <w:p>
      <w:pPr>
        <w:ind w:right="80" w:firstLine="906"/>
        <w:spacing w:after="0" w:line="268" w:lineRule="auto"/>
        <w:tabs>
          <w:tab w:leader="none" w:pos="114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Borrower or any of its Subsidiaries (other than Immaterial Subsidiaries) shall become unable, admit in writing its inability or fail generally to pay its debts as they become due;</w:t>
      </w:r>
    </w:p>
    <w:p>
      <w:pPr>
        <w:spacing w:after="0" w:line="131" w:lineRule="exact"/>
        <w:rPr>
          <w:rFonts w:ascii="Arial" w:cs="Arial" w:eastAsia="Arial" w:hAnsi="Arial"/>
          <w:sz w:val="18"/>
          <w:szCs w:val="18"/>
          <w:color w:val="auto"/>
        </w:rPr>
      </w:pPr>
    </w:p>
    <w:p>
      <w:pPr>
        <w:jc w:val="both"/>
        <w:ind w:right="120" w:firstLine="906"/>
        <w:spacing w:after="0" w:line="298" w:lineRule="auto"/>
        <w:tabs>
          <w:tab w:leader="none" w:pos="110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one or more judgments for the payment of money in an aggregate amount in excess of $10,000,000 shall be rendered against the 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12" w:lineRule="exact"/>
        <w:rPr>
          <w:rFonts w:ascii="Arial" w:cs="Arial" w:eastAsia="Arial" w:hAnsi="Arial"/>
          <w:sz w:val="16"/>
          <w:szCs w:val="16"/>
          <w:color w:val="auto"/>
        </w:rPr>
      </w:pPr>
    </w:p>
    <w:p>
      <w:pPr>
        <w:ind w:right="100" w:firstLine="906"/>
        <w:spacing w:after="0" w:line="268" w:lineRule="auto"/>
        <w:tabs>
          <w:tab w:leader="none" w:pos="119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 ERISA Event shall have occurred that, in the opinion of the Required Lenders, when taken together with all other ERISA Events that have occurred, could reasonably be expected to result in a Material Adverse Effect;</w:t>
      </w:r>
    </w:p>
    <w:p>
      <w:pPr>
        <w:spacing w:after="0" w:line="131" w:lineRule="exact"/>
        <w:rPr>
          <w:rFonts w:ascii="Arial" w:cs="Arial" w:eastAsia="Arial" w:hAnsi="Arial"/>
          <w:sz w:val="18"/>
          <w:szCs w:val="18"/>
          <w:color w:val="auto"/>
        </w:rPr>
      </w:pPr>
    </w:p>
    <w:p>
      <w:pPr>
        <w:ind w:left="1160" w:hanging="254"/>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71" w:lineRule="exact"/>
        <w:rPr>
          <w:rFonts w:ascii="Arial" w:cs="Arial" w:eastAsia="Arial" w:hAnsi="Arial"/>
          <w:sz w:val="18"/>
          <w:szCs w:val="18"/>
          <w:color w:val="auto"/>
        </w:rPr>
      </w:pPr>
    </w:p>
    <w:p>
      <w:pPr>
        <w:ind w:left="1160" w:hanging="254"/>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PennantPark Investment Advisers, LLC or an Affiliate thereof shall cease to be the investment advisor for the Borrower;</w:t>
      </w:r>
    </w:p>
    <w:p>
      <w:pPr>
        <w:spacing w:after="0" w:line="171" w:lineRule="exact"/>
        <w:rPr>
          <w:rFonts w:ascii="Arial" w:cs="Arial" w:eastAsia="Arial" w:hAnsi="Arial"/>
          <w:sz w:val="18"/>
          <w:szCs w:val="18"/>
          <w:color w:val="auto"/>
        </w:rPr>
      </w:pPr>
    </w:p>
    <w:p>
      <w:pPr>
        <w:ind w:firstLine="906"/>
        <w:spacing w:after="0" w:line="294" w:lineRule="auto"/>
        <w:tabs>
          <w:tab w:leader="none" w:pos="114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15" w:lineRule="exact"/>
        <w:rPr>
          <w:rFonts w:ascii="Arial" w:cs="Arial" w:eastAsia="Arial" w:hAnsi="Arial"/>
          <w:sz w:val="16"/>
          <w:szCs w:val="16"/>
          <w:color w:val="auto"/>
        </w:rPr>
      </w:pPr>
    </w:p>
    <w:p>
      <w:pPr>
        <w:ind w:right="60" w:firstLine="906"/>
        <w:spacing w:after="0" w:line="268" w:lineRule="auto"/>
        <w:tabs>
          <w:tab w:leader="none" w:pos="114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except for expiration in accordance with its terms, any of the Security Documents shall for whatever reason be terminated or cease to be in full force and effect in any material respect, or the enforceability thereof shall be contested by the Borrower;</w:t>
      </w:r>
    </w:p>
    <w:p>
      <w:pPr>
        <w:spacing w:after="0" w:line="131" w:lineRule="exact"/>
        <w:rPr>
          <w:rFonts w:ascii="Arial" w:cs="Arial" w:eastAsia="Arial" w:hAnsi="Arial"/>
          <w:sz w:val="18"/>
          <w:szCs w:val="18"/>
          <w:color w:val="auto"/>
        </w:rPr>
      </w:pPr>
    </w:p>
    <w:p>
      <w:pPr>
        <w:ind w:right="260" w:firstLine="906"/>
        <w:spacing w:after="0" w:line="259" w:lineRule="auto"/>
        <w:tabs>
          <w:tab w:leader="none" w:pos="111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the Obligors shall at any time, without the consent of the Required Lenders fail to comply with the covenant contained in </w:t>
      </w:r>
      <w:r>
        <w:rPr>
          <w:rFonts w:ascii="Arial" w:cs="Arial" w:eastAsia="Arial" w:hAnsi="Arial"/>
          <w:sz w:val="18"/>
          <w:szCs w:val="18"/>
          <w:u w:val="single" w:color="auto"/>
          <w:color w:val="auto"/>
        </w:rPr>
        <w:t>Section 5.11</w:t>
      </w:r>
      <w:r>
        <w:rPr>
          <w:rFonts w:ascii="Arial" w:cs="Arial" w:eastAsia="Arial" w:hAnsi="Arial"/>
          <w:sz w:val="18"/>
          <w:szCs w:val="18"/>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39" w:lineRule="exact"/>
        <w:rPr>
          <w:rFonts w:ascii="Arial" w:cs="Arial" w:eastAsia="Arial" w:hAnsi="Arial"/>
          <w:sz w:val="18"/>
          <w:szCs w:val="18"/>
          <w:color w:val="auto"/>
        </w:rPr>
      </w:pPr>
    </w:p>
    <w:p>
      <w:pPr>
        <w:ind w:right="180" w:firstLine="906"/>
        <w:spacing w:after="0" w:line="268" w:lineRule="auto"/>
        <w:tabs>
          <w:tab w:leader="none" w:pos="112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Borrower or any of its Subsidiaries shall cause or permit the occurrence of any condition or event that would result in any recourse to any Obligor under any Permitted SBIC Guarantee;</w:t>
      </w:r>
    </w:p>
    <w:p>
      <w:pPr>
        <w:spacing w:after="0" w:line="11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95</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42" w:name="page143"/>
    <w:bookmarkEnd w:id="142"/>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then, and in every such event (other than an event with respect to the Borrower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w:t>
      </w:r>
    </w:p>
    <w:p>
      <w:pPr>
        <w:spacing w:after="0" w:line="1" w:lineRule="exact"/>
        <w:rPr>
          <w:sz w:val="20"/>
          <w:szCs w:val="20"/>
          <w:color w:val="auto"/>
        </w:rPr>
      </w:pPr>
    </w:p>
    <w:p>
      <w:pPr>
        <w:ind w:right="40" w:firstLine="8"/>
        <w:spacing w:after="0" w:line="310" w:lineRule="auto"/>
        <w:tabs>
          <w:tab w:leader="none" w:pos="258" w:val="left"/>
        </w:tabs>
        <w:numPr>
          <w:ilvl w:val="0"/>
          <w:numId w:val="163"/>
        </w:numPr>
        <w:rPr>
          <w:rFonts w:ascii="Arial" w:cs="Arial" w:eastAsia="Arial" w:hAnsi="Arial"/>
          <w:sz w:val="15"/>
          <w:szCs w:val="15"/>
          <w:color w:val="auto"/>
        </w:rPr>
      </w:pPr>
      <w:r>
        <w:rPr>
          <w:rFonts w:ascii="Arial" w:cs="Arial" w:eastAsia="Arial" w:hAnsi="Arial"/>
          <w:sz w:val="15"/>
          <w:szCs w:val="15"/>
          <w:color w:val="auto"/>
        </w:rPr>
        <w:t xml:space="preserve">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(j)</w:t>
      </w:r>
      <w:r>
        <w:rPr>
          <w:rFonts w:ascii="Arial" w:cs="Arial" w:eastAsia="Arial" w:hAnsi="Arial"/>
          <w:sz w:val="15"/>
          <w:szCs w:val="15"/>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08" w:lineRule="exact"/>
        <w:rPr>
          <w:sz w:val="20"/>
          <w:szCs w:val="20"/>
          <w:color w:val="auto"/>
        </w:rPr>
      </w:pPr>
    </w:p>
    <w:p>
      <w:pPr>
        <w:ind w:right="60" w:firstLine="898"/>
        <w:spacing w:after="0" w:line="291" w:lineRule="auto"/>
        <w:rPr>
          <w:sz w:val="20"/>
          <w:szCs w:val="20"/>
          <w:color w:val="auto"/>
        </w:rPr>
      </w:pPr>
      <w:r>
        <w:rPr>
          <w:rFonts w:ascii="Arial" w:cs="Arial" w:eastAsia="Arial" w:hAnsi="Arial"/>
          <w:sz w:val="16"/>
          <w:szCs w:val="16"/>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of this Article.</w:t>
      </w:r>
    </w:p>
    <w:p>
      <w:pPr>
        <w:spacing w:after="0" w:line="120" w:lineRule="exact"/>
        <w:rPr>
          <w:sz w:val="20"/>
          <w:szCs w:val="20"/>
          <w:color w:val="auto"/>
        </w:rPr>
      </w:pPr>
    </w:p>
    <w:p>
      <w:pPr>
        <w:ind w:right="100" w:firstLine="898"/>
        <w:spacing w:after="0" w:line="286" w:lineRule="auto"/>
        <w:rPr>
          <w:sz w:val="20"/>
          <w:szCs w:val="20"/>
          <w:color w:val="auto"/>
        </w:rPr>
      </w:pPr>
      <w:r>
        <w:rPr>
          <w:rFonts w:ascii="Arial" w:cs="Arial" w:eastAsia="Arial" w:hAnsi="Arial"/>
          <w:sz w:val="16"/>
          <w:szCs w:val="16"/>
          <w:color w:val="auto"/>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w:t>
      </w:r>
    </w:p>
    <w:p>
      <w:pPr>
        <w:spacing w:after="0" w:line="113"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96</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43" w:name="page144"/>
    <w:bookmarkEnd w:id="143"/>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p>
    <w:p>
      <w:pPr>
        <w:spacing w:after="0" w:line="171" w:lineRule="exact"/>
        <w:rPr>
          <w:sz w:val="20"/>
          <w:szCs w:val="20"/>
          <w:color w:val="auto"/>
        </w:rPr>
      </w:pPr>
    </w:p>
    <w:p>
      <w:pPr>
        <w:ind w:right="140" w:firstLine="898"/>
        <w:spacing w:after="0" w:line="291"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Appointment of the Administrative Agent</w:t>
      </w:r>
      <w:r>
        <w:rPr>
          <w:rFonts w:ascii="Arial" w:cs="Arial" w:eastAsia="Arial" w:hAnsi="Arial"/>
          <w:sz w:val="16"/>
          <w:szCs w:val="16"/>
          <w:color w:val="auto"/>
        </w:rPr>
        <w:t>. Each of the Lenders and the Issuing Bank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20" w:lineRule="exact"/>
        <w:rPr>
          <w:sz w:val="20"/>
          <w:szCs w:val="20"/>
          <w:color w:val="auto"/>
        </w:rPr>
      </w:pPr>
    </w:p>
    <w:p>
      <w:pPr>
        <w:ind w:right="240" w:firstLine="898"/>
        <w:spacing w:after="0" w:line="256"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Capacity as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43" w:lineRule="exact"/>
        <w:rPr>
          <w:sz w:val="20"/>
          <w:szCs w:val="20"/>
          <w:color w:val="auto"/>
        </w:rPr>
      </w:pPr>
    </w:p>
    <w:p>
      <w:pPr>
        <w:ind w:right="20" w:firstLine="898"/>
        <w:spacing w:after="0" w:line="287"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Limitation of Duties; Exculpation</w:t>
      </w:r>
      <w:r>
        <w:rPr>
          <w:rFonts w:ascii="Arial" w:cs="Arial" w:eastAsia="Arial" w:hAnsi="Arial"/>
          <w:sz w:val="16"/>
          <w:szCs w:val="16"/>
          <w:color w:val="auto"/>
        </w:rPr>
        <w:t>.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gross negligence or willful misconduct. The Administrative Agent shall be deemed not to have knowledge of any Default unless and until written notice thereof is given to the Administrative Agent by the Borrower or a Lender, and the Administrative</w:t>
      </w:r>
    </w:p>
    <w:p>
      <w:pPr>
        <w:spacing w:after="0" w:line="108"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97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44" w:name="page145"/>
    <w:bookmarkEnd w:id="144"/>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herein or therein, other than to confirm receipt of items expressly required to be delivered to the Administrative Agent.</w:t>
      </w:r>
    </w:p>
    <w:p>
      <w:pPr>
        <w:spacing w:after="0" w:line="144" w:lineRule="exact"/>
        <w:rPr>
          <w:sz w:val="20"/>
          <w:szCs w:val="20"/>
          <w:color w:val="auto"/>
        </w:rPr>
      </w:pPr>
    </w:p>
    <w:p>
      <w:pPr>
        <w:ind w:right="100" w:firstLine="898"/>
        <w:spacing w:after="0" w:line="291"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Reliance</w:t>
      </w:r>
      <w:r>
        <w:rPr>
          <w:rFonts w:ascii="Arial" w:cs="Arial" w:eastAsia="Arial" w:hAnsi="Arial"/>
          <w:sz w:val="16"/>
          <w:szCs w:val="16"/>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20" w:lineRule="exact"/>
        <w:rPr>
          <w:sz w:val="20"/>
          <w:szCs w:val="20"/>
          <w:color w:val="auto"/>
        </w:rPr>
      </w:pPr>
    </w:p>
    <w:p>
      <w:pPr>
        <w:ind w:right="20" w:firstLine="898"/>
        <w:spacing w:after="0" w:line="290"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Sub-Agents</w:t>
      </w:r>
      <w:r>
        <w:rPr>
          <w:rFonts w:ascii="Arial" w:cs="Arial" w:eastAsia="Arial" w:hAnsi="Arial"/>
          <w:sz w:val="16"/>
          <w:szCs w:val="16"/>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gross negligence or willful misconduct in the selection of such sub-agents.</w:t>
      </w:r>
    </w:p>
    <w:p>
      <w:pPr>
        <w:spacing w:after="0" w:line="118"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Resignation; Successor Administrative Agent</w:t>
      </w:r>
      <w:r>
        <w:rPr>
          <w:rFonts w:ascii="Arial" w:cs="Arial" w:eastAsia="Arial" w:hAnsi="Arial"/>
          <w:sz w:val="16"/>
          <w:szCs w:val="16"/>
          <w:color w:val="auto"/>
        </w:rPr>
        <w:t>. The Administrative Agent may resign at any time by notifying the Lenders, the Issuing Bank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w:t>
      </w:r>
    </w:p>
    <w:p>
      <w:pPr>
        <w:spacing w:after="0" w:line="110"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98</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45" w:name="page146"/>
    <w:bookmarkEnd w:id="145"/>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shall continue in effect for its benefit in respect of any actions taken or omitted to be taken by it while it was acting as Administrative Agent.</w:t>
      </w:r>
    </w:p>
    <w:p>
      <w:pPr>
        <w:spacing w:after="0" w:line="144"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Any resignation by SunTrust as Administrative Agent pursuant to this Section shall also constitute its resignation as Issuing Bank and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20"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Reliance by Lenders</w:t>
      </w:r>
      <w:r>
        <w:rPr>
          <w:rFonts w:ascii="Arial" w:cs="Arial" w:eastAsia="Arial" w:hAnsi="Arial"/>
          <w:sz w:val="16"/>
          <w:szCs w:val="16"/>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1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40" w:lineRule="exact"/>
        <w:rPr>
          <w:sz w:val="20"/>
          <w:szCs w:val="20"/>
          <w:color w:val="auto"/>
        </w:rPr>
      </w:pPr>
    </w:p>
    <w:p>
      <w:pPr>
        <w:ind w:right="80" w:firstLine="898"/>
        <w:spacing w:after="0" w:line="298"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Modifications to Loan Documents</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the prior consent of each Lender, the Administrative Agent shall not (except as provided herein or in the Security Documents) release all or substantially all</w:t>
      </w:r>
    </w:p>
    <w:p>
      <w:pPr>
        <w:spacing w:after="0" w:line="99" w:lineRule="exact"/>
        <w:rPr>
          <w:sz w:val="20"/>
          <w:szCs w:val="20"/>
          <w:color w:val="auto"/>
        </w:rPr>
      </w:pPr>
    </w:p>
    <w:p>
      <w:pPr>
        <w:spacing w:after="0"/>
        <w:tabs>
          <w:tab w:leader="none" w:pos="56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99</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46" w:name="page147"/>
    <w:bookmarkEnd w:id="146"/>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to release any Lien covering property that is the subject of either a disposition of property permitted hereunder or a disposition to which the Required Lenders have consented.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 Electronic Communications</w:t>
      </w:r>
      <w:r>
        <w:rPr>
          <w:rFonts w:ascii="Arial" w:cs="Arial" w:eastAsia="Arial" w:hAnsi="Arial"/>
          <w:sz w:val="18"/>
          <w:szCs w:val="18"/>
          <w:color w:val="auto"/>
        </w:rPr>
        <w:t>.</w:t>
      </w:r>
    </w:p>
    <w:p>
      <w:pPr>
        <w:spacing w:after="0" w:line="90" w:lineRule="exact"/>
        <w:rPr>
          <w:sz w:val="20"/>
          <w:szCs w:val="20"/>
          <w:color w:val="auto"/>
        </w:rPr>
      </w:pPr>
    </w:p>
    <w:p>
      <w:pPr>
        <w:ind w:right="120" w:firstLine="906"/>
        <w:spacing w:after="0" w:line="259" w:lineRule="auto"/>
        <w:tabs>
          <w:tab w:leader="none" w:pos="1137"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 if to the Borrower, to it at:</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Attention: Aviv Efrat, Chief Financial Officer</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Telecopy Number: (212) 905-1075</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Telephone: (212) 905-1000</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 if to the Administrative Agent or Swingline Lender, to it at:</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303 Peachtree Street, N. E.</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Attention: Robert Ashcom</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Telecopy Number: (404) 581-1775</w:t>
      </w:r>
    </w:p>
    <w:p>
      <w:pPr>
        <w:spacing w:after="0" w:line="16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with a copy to:</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Agency Services</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303 Peachtree Street, N. E./ 25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Telecopy Number: (404) 658-4906</w:t>
      </w:r>
    </w:p>
    <w:p>
      <w:pPr>
        <w:spacing w:after="0" w:line="151"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100</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47" w:name="page148"/>
    <w:bookmarkEnd w:id="14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(iii) if to the Issuing Bank, to it at:</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303 Peachtree Street, N. E./ 25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Telecopy Number: (404) 658-4906</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(iv) if to any other Lender, to it at its address (or telecopy number) set forth in its Administrative Questionnaire.</w:t>
      </w:r>
    </w:p>
    <w:p>
      <w:pPr>
        <w:spacing w:after="0" w:line="171" w:lineRule="exact"/>
        <w:rPr>
          <w:sz w:val="20"/>
          <w:szCs w:val="20"/>
          <w:color w:val="auto"/>
        </w:rPr>
      </w:pPr>
    </w:p>
    <w:p>
      <w:pPr>
        <w:ind w:right="40" w:firstLine="898"/>
        <w:spacing w:after="0" w:line="256" w:lineRule="auto"/>
        <w:rPr>
          <w:sz w:val="20"/>
          <w:szCs w:val="20"/>
          <w:color w:val="auto"/>
        </w:rPr>
      </w:pPr>
      <w:r>
        <w:rPr>
          <w:rFonts w:ascii="Arial" w:cs="Arial" w:eastAsia="Arial" w:hAnsi="Arial"/>
          <w:sz w:val="18"/>
          <w:szCs w:val="18"/>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shall be effective as provided in said </w:t>
      </w:r>
      <w:r>
        <w:rPr>
          <w:rFonts w:ascii="Arial" w:cs="Arial" w:eastAsia="Arial" w:hAnsi="Arial"/>
          <w:sz w:val="18"/>
          <w:szCs w:val="18"/>
          <w:u w:val="single" w:color="auto"/>
          <w:color w:val="auto"/>
        </w:rPr>
        <w:t>paragraph (b)</w:t>
      </w:r>
      <w:r>
        <w:rPr>
          <w:rFonts w:ascii="Arial" w:cs="Arial" w:eastAsia="Arial" w:hAnsi="Arial"/>
          <w:sz w:val="18"/>
          <w:szCs w:val="18"/>
          <w:color w:val="auto"/>
        </w:rPr>
        <w:t>.</w:t>
      </w:r>
    </w:p>
    <w:p>
      <w:pPr>
        <w:spacing w:after="0" w:line="143" w:lineRule="exact"/>
        <w:rPr>
          <w:sz w:val="20"/>
          <w:szCs w:val="20"/>
          <w:color w:val="auto"/>
        </w:rPr>
      </w:pPr>
    </w:p>
    <w:p>
      <w:pPr>
        <w:ind w:right="120" w:firstLine="906"/>
        <w:spacing w:after="0" w:line="291" w:lineRule="auto"/>
        <w:tabs>
          <w:tab w:leader="none" w:pos="1147"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Issuing Bank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Issuing Bank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if such Lender or the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20" w:lineRule="exact"/>
        <w:rPr>
          <w:sz w:val="20"/>
          <w:szCs w:val="20"/>
          <w:color w:val="auto"/>
        </w:rPr>
      </w:pPr>
    </w:p>
    <w:p>
      <w:pPr>
        <w:ind w:right="20" w:firstLine="906"/>
        <w:spacing w:after="0" w:line="291" w:lineRule="auto"/>
        <w:tabs>
          <w:tab w:leader="none" w:pos="110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notification that such notice or communication is available and identifying the website address therefor.</w:t>
      </w:r>
    </w:p>
    <w:p>
      <w:pPr>
        <w:spacing w:after="0" w:line="120" w:lineRule="exact"/>
        <w:rPr>
          <w:sz w:val="20"/>
          <w:szCs w:val="20"/>
          <w:color w:val="auto"/>
        </w:rPr>
      </w:pPr>
    </w:p>
    <w:p>
      <w:pPr>
        <w:ind w:right="160" w:firstLine="898"/>
        <w:spacing w:after="0" w:line="254" w:lineRule="auto"/>
        <w:rPr>
          <w:sz w:val="20"/>
          <w:szCs w:val="20"/>
          <w:color w:val="auto"/>
        </w:rPr>
      </w:pPr>
      <w:r>
        <w:rPr>
          <w:rFonts w:ascii="Arial" w:cs="Arial" w:eastAsia="Arial" w:hAnsi="Arial"/>
          <w:sz w:val="18"/>
          <w:szCs w:val="18"/>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w:t>
      </w:r>
    </w:p>
    <w:p>
      <w:pPr>
        <w:spacing w:after="0" w:line="133"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48" w:name="page149"/>
    <w:bookmarkEnd w:id="148"/>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is” and “as available”. None of the Administrative Agent or its Related Parties warrant the accuracy, adequacy, or completeness of the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47" w:lineRule="exact"/>
        <w:rPr>
          <w:sz w:val="20"/>
          <w:szCs w:val="20"/>
          <w:color w:val="auto"/>
        </w:rPr>
      </w:pPr>
    </w:p>
    <w:p>
      <w:pPr>
        <w:ind w:right="120" w:firstLine="906"/>
        <w:spacing w:after="0" w:line="310" w:lineRule="auto"/>
        <w:tabs>
          <w:tab w:leader="none" w:pos="1137" w:val="left"/>
        </w:tabs>
        <w:numPr>
          <w:ilvl w:val="0"/>
          <w:numId w:val="167"/>
        </w:numPr>
        <w:rPr>
          <w:rFonts w:ascii="Arial" w:cs="Arial" w:eastAsia="Arial" w:hAnsi="Arial"/>
          <w:sz w:val="15"/>
          <w:szCs w:val="15"/>
          <w:color w:val="auto"/>
        </w:rPr>
      </w:pPr>
      <w:r>
        <w:rPr>
          <w:rFonts w:ascii="Arial" w:cs="Arial" w:eastAsia="Arial" w:hAnsi="Arial"/>
          <w:sz w:val="15"/>
          <w:szCs w:val="15"/>
          <w:u w:val="single" w:color="auto"/>
          <w:color w:val="auto"/>
        </w:rPr>
        <w:t>Private Side Information Contacts</w:t>
      </w:r>
      <w:r>
        <w:rPr>
          <w:rFonts w:ascii="Arial" w:cs="Arial" w:eastAsia="Arial" w:hAnsi="Arial"/>
          <w:sz w:val="15"/>
          <w:szCs w:val="15"/>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07" w:lineRule="exact"/>
        <w:rPr>
          <w:rFonts w:ascii="Arial" w:cs="Arial" w:eastAsia="Arial" w:hAnsi="Arial"/>
          <w:sz w:val="15"/>
          <w:szCs w:val="15"/>
          <w:color w:val="auto"/>
        </w:rPr>
      </w:pPr>
    </w:p>
    <w:p>
      <w:pPr>
        <w:ind w:firstLine="906"/>
        <w:spacing w:after="0" w:line="254"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Documents to he Delivered under Sections 5.01 and 5.12(a)</w:t>
      </w:r>
      <w:r>
        <w:rPr>
          <w:rFonts w:ascii="Arial" w:cs="Arial" w:eastAsia="Arial" w:hAnsi="Arial"/>
          <w:sz w:val="18"/>
          <w:szCs w:val="18"/>
          <w:color w:val="auto"/>
        </w:rPr>
        <w:t xml:space="preserve">. For so long as an Intralinks™ or equivalent website is available to each of the Lenders hereunder, the Borrower may satisfy its obligation to deliver documents to the Administrative Agent or the Lenders under </w:t>
      </w:r>
      <w:r>
        <w:rPr>
          <w:rFonts w:ascii="Arial" w:cs="Arial" w:eastAsia="Arial" w:hAnsi="Arial"/>
          <w:sz w:val="18"/>
          <w:szCs w:val="18"/>
          <w:u w:val="single" w:color="auto"/>
          <w:color w:val="auto"/>
        </w:rPr>
        <w:t>Sections 5.01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5.12(a)</w:t>
      </w:r>
      <w:r>
        <w:rPr>
          <w:rFonts w:ascii="Arial" w:cs="Arial" w:eastAsia="Arial" w:hAnsi="Arial"/>
          <w:sz w:val="18"/>
          <w:szCs w:val="18"/>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have no responsibility to maintain access to Intralinks™ or an equivalent website.</w:t>
      </w:r>
    </w:p>
    <w:p>
      <w:pPr>
        <w:spacing w:after="0" w:line="22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90" w:lineRule="exact"/>
        <w:rPr>
          <w:sz w:val="20"/>
          <w:szCs w:val="20"/>
          <w:color w:val="auto"/>
        </w:rPr>
      </w:pPr>
    </w:p>
    <w:p>
      <w:pPr>
        <w:ind w:right="60" w:firstLine="906"/>
        <w:spacing w:after="0" w:line="288" w:lineRule="auto"/>
        <w:tabs>
          <w:tab w:leader="none" w:pos="1137"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No Deemed Waivers Remedies Cumulative</w:t>
      </w:r>
      <w:r>
        <w:rPr>
          <w:rFonts w:ascii="Arial" w:cs="Arial" w:eastAsia="Arial" w:hAnsi="Arial"/>
          <w:sz w:val="16"/>
          <w:szCs w:val="16"/>
          <w:color w:val="auto"/>
        </w:rPr>
        <w:t xml:space="preserve">. No failure or delay by the Administrative Agent the Issuing Bank, the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the Swingline Lender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w:t>
      </w:r>
    </w:p>
    <w:p>
      <w:pPr>
        <w:spacing w:after="0" w:line="110"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49" w:name="page150"/>
    <w:bookmarkEnd w:id="149"/>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construed as a waiver of any Default, regardless of whether the Administrative Agent, the Swingline Lender, any Lender or the Issuing Bank may have had notice or knowledge of such Default at the time.</w:t>
      </w:r>
    </w:p>
    <w:p>
      <w:pPr>
        <w:spacing w:after="0" w:line="132" w:lineRule="exact"/>
        <w:rPr>
          <w:sz w:val="20"/>
          <w:szCs w:val="20"/>
          <w:color w:val="auto"/>
        </w:rPr>
      </w:pPr>
    </w:p>
    <w:p>
      <w:pPr>
        <w:jc w:val="both"/>
        <w:ind w:right="100" w:firstLine="906"/>
        <w:spacing w:after="0" w:line="259" w:lineRule="auto"/>
        <w:tabs>
          <w:tab w:leader="none" w:pos="1147"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Amendments to this Agreement</w:t>
      </w:r>
      <w:r>
        <w:rPr>
          <w:rFonts w:ascii="Arial" w:cs="Arial" w:eastAsia="Arial" w:hAnsi="Arial"/>
          <w:sz w:val="18"/>
          <w:szCs w:val="18"/>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w:t>
      </w:r>
    </w:p>
    <w:p>
      <w:pPr>
        <w:spacing w:after="0" w:line="58" w:lineRule="exact"/>
        <w:rPr>
          <w:rFonts w:ascii="Arial" w:cs="Arial" w:eastAsia="Arial" w:hAnsi="Arial"/>
          <w:sz w:val="18"/>
          <w:szCs w:val="18"/>
          <w:color w:val="auto"/>
        </w:rPr>
      </w:pPr>
    </w:p>
    <w:p>
      <w:pPr>
        <w:ind w:left="1100" w:hanging="212"/>
        <w:spacing w:after="0"/>
        <w:tabs>
          <w:tab w:leader="none" w:pos="11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increase the Commitment of any Lender without the written consent of such Lender,</w:t>
      </w:r>
    </w:p>
    <w:p>
      <w:pPr>
        <w:spacing w:after="0" w:line="90" w:lineRule="exact"/>
        <w:rPr>
          <w:rFonts w:ascii="Arial" w:cs="Arial" w:eastAsia="Arial" w:hAnsi="Arial"/>
          <w:sz w:val="18"/>
          <w:szCs w:val="18"/>
          <w:color w:val="auto"/>
        </w:rPr>
      </w:pPr>
    </w:p>
    <w:p>
      <w:pPr>
        <w:ind w:left="460" w:right="440" w:firstLine="428"/>
        <w:spacing w:after="0" w:line="268" w:lineRule="auto"/>
        <w:tabs>
          <w:tab w:leader="none" w:pos="115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reduce the principal amount of any Loan or LC Disbursement or reduce the rate of interest thereon, or reduce any fees payable hereunder, without the written consent of each Lender affected thereby,</w:t>
      </w:r>
    </w:p>
    <w:p>
      <w:pPr>
        <w:spacing w:after="0" w:line="50" w:lineRule="exact"/>
        <w:rPr>
          <w:rFonts w:ascii="Arial" w:cs="Arial" w:eastAsia="Arial" w:hAnsi="Arial"/>
          <w:sz w:val="18"/>
          <w:szCs w:val="18"/>
          <w:color w:val="auto"/>
        </w:rPr>
      </w:pPr>
    </w:p>
    <w:p>
      <w:pPr>
        <w:ind w:left="460" w:right="60" w:firstLine="428"/>
        <w:spacing w:after="0" w:line="259" w:lineRule="auto"/>
        <w:tabs>
          <w:tab w:leader="none" w:pos="119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58" w:lineRule="exact"/>
        <w:rPr>
          <w:rFonts w:ascii="Arial" w:cs="Arial" w:eastAsia="Arial" w:hAnsi="Arial"/>
          <w:sz w:val="18"/>
          <w:szCs w:val="18"/>
          <w:color w:val="auto"/>
        </w:rPr>
      </w:pPr>
    </w:p>
    <w:p>
      <w:pPr>
        <w:ind w:left="460" w:right="100" w:firstLine="428"/>
        <w:spacing w:after="0" w:line="268" w:lineRule="auto"/>
        <w:tabs>
          <w:tab w:leader="none" w:pos="118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in a manner that would alter the pro rata sharing of payments, or making of disbursements, required thereby without the written consent of each Lender affected thereby, or</w:t>
      </w:r>
    </w:p>
    <w:p>
      <w:pPr>
        <w:spacing w:after="0" w:line="50" w:lineRule="exact"/>
        <w:rPr>
          <w:rFonts w:ascii="Arial" w:cs="Arial" w:eastAsia="Arial" w:hAnsi="Arial"/>
          <w:sz w:val="18"/>
          <w:szCs w:val="18"/>
          <w:color w:val="auto"/>
        </w:rPr>
      </w:pPr>
    </w:p>
    <w:p>
      <w:pPr>
        <w:ind w:left="460" w:right="260" w:firstLine="428"/>
        <w:spacing w:after="0" w:line="259" w:lineRule="auto"/>
        <w:tabs>
          <w:tab w:leader="none" w:pos="11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change any of the provisions of this Section or the percentage in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40"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(x)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and</w:t>
      </w:r>
    </w:p>
    <w:p>
      <w:pPr>
        <w:spacing w:after="0" w:line="1" w:lineRule="exact"/>
        <w:rPr>
          <w:sz w:val="20"/>
          <w:szCs w:val="20"/>
          <w:color w:val="auto"/>
        </w:rPr>
      </w:pPr>
    </w:p>
    <w:p>
      <w:pPr>
        <w:ind w:right="180" w:firstLine="8"/>
        <w:spacing w:after="0" w:line="253" w:lineRule="auto"/>
        <w:tabs>
          <w:tab w:leader="none" w:pos="24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the consent of Lenders holding not less than two-thirds of the Revolving Credit Exposure and unused Commitments will be required (A) for any adverse change affecting the provisions of this Agreement relating to the Borrowing Base (including the definitions used therein), or the provisions of </w:t>
      </w:r>
      <w:r>
        <w:rPr>
          <w:rFonts w:ascii="Arial" w:cs="Arial" w:eastAsia="Arial" w:hAnsi="Arial"/>
          <w:sz w:val="18"/>
          <w:szCs w:val="18"/>
          <w:u w:val="single" w:color="auto"/>
          <w:color w:val="auto"/>
        </w:rPr>
        <w:t>Section 5.12(c)</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for any release of any material portion of the Collateral other than for fair value or as otherwise permitted hereunder or under the other Loan Documents.</w:t>
      </w:r>
    </w:p>
    <w:p>
      <w:pPr>
        <w:spacing w:after="0" w:line="147" w:lineRule="exact"/>
        <w:rPr>
          <w:sz w:val="20"/>
          <w:szCs w:val="20"/>
          <w:color w:val="auto"/>
        </w:rPr>
      </w:pPr>
    </w:p>
    <w:p>
      <w:pPr>
        <w:ind w:right="120" w:firstLine="898"/>
        <w:spacing w:after="0" w:line="306" w:lineRule="auto"/>
        <w:rPr>
          <w:sz w:val="20"/>
          <w:szCs w:val="20"/>
          <w:color w:val="auto"/>
        </w:rPr>
      </w:pPr>
      <w:r>
        <w:rPr>
          <w:rFonts w:ascii="Arial" w:cs="Arial" w:eastAsia="Arial" w:hAnsi="Arial"/>
          <w:sz w:val="16"/>
          <w:szCs w:val="16"/>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w:t>
      </w:r>
    </w:p>
    <w:p>
      <w:pPr>
        <w:spacing w:after="0" w:line="93"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103</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50" w:name="page151"/>
    <w:bookmarkEnd w:id="150"/>
    <w:p>
      <w:pPr>
        <w:ind w:firstLine="906"/>
        <w:spacing w:after="0" w:line="286" w:lineRule="auto"/>
        <w:tabs>
          <w:tab w:leader="none" w:pos="1137"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Amendments to Security Documents</w:t>
      </w:r>
      <w:r>
        <w:rPr>
          <w:rFonts w:ascii="Arial" w:cs="Arial" w:eastAsia="Arial" w:hAnsi="Arial"/>
          <w:sz w:val="16"/>
          <w:szCs w:val="16"/>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Arial" w:cs="Arial" w:eastAsia="Arial" w:hAnsi="Arial"/>
          <w:sz w:val="16"/>
          <w:szCs w:val="16"/>
          <w:u w:val="single" w:color="auto"/>
          <w:color w:val="auto"/>
        </w:rPr>
        <w:t>Section 2.08(e)</w:t>
      </w:r>
      <w:r>
        <w:rPr>
          <w:rFonts w:ascii="Arial" w:cs="Arial" w:eastAsia="Arial" w:hAnsi="Arial"/>
          <w:sz w:val="16"/>
          <w:szCs w:val="16"/>
          <w:color w:val="auto"/>
        </w:rPr>
        <w:t xml:space="preserve"> to an amount not greater than $600,000,000) except pursuant to an agreement or agreements in writing entered into by the Borrower, and by the Collateral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to release any Lien covering property (and to release any such guarantor) that is the subject of either a disposition of property permitted hereunder or a disposition to which the Required Lenders have consented.</w:t>
      </w:r>
    </w:p>
    <w:p>
      <w:pPr>
        <w:spacing w:after="0" w:line="123" w:lineRule="exact"/>
        <w:rPr>
          <w:rFonts w:ascii="Arial" w:cs="Arial" w:eastAsia="Arial" w:hAnsi="Arial"/>
          <w:sz w:val="16"/>
          <w:szCs w:val="16"/>
          <w:color w:val="auto"/>
        </w:rPr>
      </w:pPr>
    </w:p>
    <w:p>
      <w:pPr>
        <w:ind w:right="40" w:firstLine="906"/>
        <w:spacing w:after="0" w:line="291" w:lineRule="auto"/>
        <w:tabs>
          <w:tab w:leader="none" w:pos="1147"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Replacement of Non-Consenting Lender</w:t>
      </w:r>
      <w:r>
        <w:rPr>
          <w:rFonts w:ascii="Arial" w:cs="Arial" w:eastAsia="Arial" w:hAnsi="Arial"/>
          <w:sz w:val="16"/>
          <w:szCs w:val="16"/>
          <w:color w:val="auto"/>
        </w:rPr>
        <w:t xml:space="preserve">. If, in connection with any proposed change, waiver, discharge or termination to any of the provisions of this Agreement as contemplated by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Arial" w:cs="Arial" w:eastAsia="Arial" w:hAnsi="Arial"/>
          <w:sz w:val="16"/>
          <w:szCs w:val="16"/>
          <w:u w:val="single" w:color="auto"/>
          <w:color w:val="auto"/>
        </w:rPr>
        <w:t>Section 2.19(b)</w:t>
      </w:r>
      <w:r>
        <w:rPr>
          <w:rFonts w:ascii="Arial" w:cs="Arial" w:eastAsia="Arial" w:hAnsi="Arial"/>
          <w:sz w:val="16"/>
          <w:szCs w:val="16"/>
          <w:color w:val="auto"/>
        </w:rPr>
        <w:t xml:space="preserve"> so long as at the time of such replacement, each such replacement Lender consents to the proposed change, waiver, discharge or termination.</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90" w:lineRule="exact"/>
        <w:rPr>
          <w:sz w:val="20"/>
          <w:szCs w:val="20"/>
          <w:color w:val="auto"/>
        </w:rPr>
      </w:pPr>
    </w:p>
    <w:p>
      <w:pPr>
        <w:ind w:right="80" w:firstLine="906"/>
        <w:spacing w:after="0" w:line="288" w:lineRule="auto"/>
        <w:tabs>
          <w:tab w:leader="none" w:pos="1137"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 shall pay (i) all reasonable out-of-pocket costs and expenses incurred by the Administrative Agent, the Collateral Agent and their Affiliates, including the reasonable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out-of-pocket expenses incurred by the Issuing Bank in connection with the issuance, amendment, renewal or extension of any Letter of Credit or any demand for payment thereunder, (iii) all out-of-pocket expenses incurred by the Administrative Agent, the Issuing Bank, the Swingline Lender or any Lender, including the fees, charges and disbursements of any counsel for the Administrative Agent, the Issuing Bank, the Swingline Lender or any Lender, in connection with the enforcement or protection of its rights in connection with this Agreement</w:t>
      </w:r>
    </w:p>
    <w:p>
      <w:pPr>
        <w:spacing w:after="0" w:line="110"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51" w:name="page152"/>
    <w:bookmarkEnd w:id="151"/>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the other Loan Documents, including its rights under this Section, or in connection with the Loans made or Letters of Credit issued hereunder, including all such out-of-pocket expenses incurred during any workout, restructuring or negotiations in respect thereof and (iv) and all costs, expenses, taxes, assessments and other charges incurred in connection with any filing, registration, recording or perfection of any security interest contemplated by any Security Document or any other document referred to therein.</w:t>
      </w:r>
    </w:p>
    <w:p>
      <w:pPr>
        <w:spacing w:after="0" w:line="143" w:lineRule="exact"/>
        <w:rPr>
          <w:sz w:val="20"/>
          <w:szCs w:val="20"/>
          <w:color w:val="auto"/>
        </w:rPr>
      </w:pPr>
    </w:p>
    <w:p>
      <w:pPr>
        <w:ind w:right="20" w:firstLine="906"/>
        <w:spacing w:after="0" w:line="284" w:lineRule="auto"/>
        <w:tabs>
          <w:tab w:leader="none" w:pos="1147"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xml:space="preserve">. The Borrower shall indemnify the Administrative Agent, the Issuing Bank, the Swingline Lender and each Lender, and each Related Party of any of the foregoing Persons (each such Person being called an “Indemnitee”)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willful misconduct or gross negligence of such Indemnitee. Notwithstanding the foregoing, it is understood and agreed that indemnification for Taxes is subject to the provisions of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126" w:lineRule="exact"/>
        <w:rPr>
          <w:sz w:val="20"/>
          <w:szCs w:val="20"/>
          <w:color w:val="auto"/>
        </w:rPr>
      </w:pPr>
    </w:p>
    <w:p>
      <w:pPr>
        <w:ind w:right="100" w:firstLine="898"/>
        <w:spacing w:after="0" w:line="306" w:lineRule="auto"/>
        <w:rPr>
          <w:sz w:val="20"/>
          <w:szCs w:val="20"/>
          <w:color w:val="auto"/>
        </w:rPr>
      </w:pPr>
      <w:r>
        <w:rPr>
          <w:rFonts w:ascii="Arial" w:cs="Arial" w:eastAsia="Arial" w:hAnsi="Arial"/>
          <w:sz w:val="16"/>
          <w:szCs w:val="16"/>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limitation shall not be deemed to impair or affect the Obligations of the Borrower under the preceding provisions of this subsection.</w:t>
      </w:r>
    </w:p>
    <w:p>
      <w:pPr>
        <w:spacing w:after="0" w:line="93"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105</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52" w:name="page153"/>
    <w:bookmarkEnd w:id="152"/>
    <w:p>
      <w:pPr>
        <w:ind w:firstLine="906"/>
        <w:spacing w:after="0" w:line="294" w:lineRule="auto"/>
        <w:tabs>
          <w:tab w:leader="none" w:pos="1137"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Reimbursement by Lenders</w:t>
      </w:r>
      <w:r>
        <w:rPr>
          <w:rFonts w:ascii="Arial" w:cs="Arial" w:eastAsia="Arial" w:hAnsi="Arial"/>
          <w:sz w:val="16"/>
          <w:szCs w:val="16"/>
          <w:color w:val="auto"/>
        </w:rPr>
        <w:t xml:space="preserve">. To the extent that the Borrower fails to pay any amount required to be paid by it to the Administrative Agent, the Issuing Bank or the Swingline Lender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each Lender severally agrees to pay to the Administrative Agent, the Issuing Bank or the Swingline Lender, as the case may be, such Lender’s Applicable Percentage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the Issuing Bank or the Swingline Lender in its capacity as such.</w:t>
      </w:r>
    </w:p>
    <w:p>
      <w:pPr>
        <w:spacing w:after="0" w:line="115" w:lineRule="exact"/>
        <w:rPr>
          <w:rFonts w:ascii="Arial" w:cs="Arial" w:eastAsia="Arial" w:hAnsi="Arial"/>
          <w:sz w:val="16"/>
          <w:szCs w:val="16"/>
          <w:color w:val="auto"/>
        </w:rPr>
      </w:pPr>
    </w:p>
    <w:p>
      <w:pPr>
        <w:ind w:right="60" w:firstLine="906"/>
        <w:spacing w:after="0" w:line="290" w:lineRule="auto"/>
        <w:tabs>
          <w:tab w:leader="none" w:pos="1147"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willful misconduct or gross negligence of such Indemnitee, as determined by a final, non-appealable judgment of a court of competent jurisdiction.</w:t>
      </w:r>
    </w:p>
    <w:p>
      <w:pPr>
        <w:spacing w:after="0" w:line="117" w:lineRule="exact"/>
        <w:rPr>
          <w:rFonts w:ascii="Arial" w:cs="Arial" w:eastAsia="Arial" w:hAnsi="Arial"/>
          <w:sz w:val="16"/>
          <w:szCs w:val="16"/>
          <w:color w:val="auto"/>
        </w:rPr>
      </w:pPr>
    </w:p>
    <w:p>
      <w:pPr>
        <w:ind w:left="1140" w:hanging="234"/>
        <w:spacing w:after="0"/>
        <w:tabs>
          <w:tab w:leader="none" w:pos="114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written demand therefor.</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90" w:lineRule="exact"/>
        <w:rPr>
          <w:sz w:val="20"/>
          <w:szCs w:val="20"/>
          <w:color w:val="auto"/>
        </w:rPr>
      </w:pPr>
    </w:p>
    <w:p>
      <w:pPr>
        <w:ind w:right="60" w:firstLine="906"/>
        <w:spacing w:after="0" w:line="288" w:lineRule="auto"/>
        <w:tabs>
          <w:tab w:leader="none" w:pos="1137" w:val="left"/>
        </w:tabs>
        <w:numPr>
          <w:ilvl w:val="1"/>
          <w:numId w:val="176"/>
        </w:numPr>
        <w:rPr>
          <w:rFonts w:ascii="Arial" w:cs="Arial" w:eastAsia="Arial" w:hAnsi="Arial"/>
          <w:sz w:val="16"/>
          <w:szCs w:val="16"/>
          <w:color w:val="auto"/>
        </w:rPr>
      </w:pPr>
      <w:r>
        <w:rPr>
          <w:rFonts w:ascii="Arial" w:cs="Arial" w:eastAsia="Arial" w:hAnsi="Arial"/>
          <w:sz w:val="16"/>
          <w:szCs w:val="16"/>
          <w:u w:val="single" w:color="auto"/>
          <w:color w:val="auto"/>
        </w:rPr>
        <w:t>Assignments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 the Related Parties of each of the Administrative Agent, the Issuing Bank and the Lenders) any legal or equitable right, remedy or claim under or by reason of this Agreement.</w:t>
      </w:r>
    </w:p>
    <w:p>
      <w:pPr>
        <w:spacing w:after="0" w:line="204" w:lineRule="exact"/>
        <w:rPr>
          <w:rFonts w:ascii="Arial" w:cs="Arial" w:eastAsia="Arial" w:hAnsi="Arial"/>
          <w:sz w:val="16"/>
          <w:szCs w:val="16"/>
          <w:color w:val="auto"/>
        </w:rPr>
      </w:pPr>
    </w:p>
    <w:p>
      <w:pPr>
        <w:ind w:left="1160" w:hanging="254"/>
        <w:spacing w:after="0"/>
        <w:tabs>
          <w:tab w:leader="none" w:pos="1160"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360" w:firstLine="428"/>
        <w:spacing w:after="0" w:line="268" w:lineRule="auto"/>
        <w:tabs>
          <w:tab w:leader="none" w:pos="1101"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Assignments Generally</w:t>
      </w:r>
      <w:r>
        <w:rPr>
          <w:rFonts w:ascii="Arial" w:cs="Arial" w:eastAsia="Arial" w:hAnsi="Arial"/>
          <w:sz w:val="18"/>
          <w:szCs w:val="18"/>
          <w:color w:val="auto"/>
        </w:rPr>
        <w:t xml:space="preserve">. Subject to the conditions set forth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any Lender may assign to one or more assignees (other than natural persons or any Defaulting Lender) all or a portion of its rights and obligations under this Agreement</w:t>
      </w:r>
    </w:p>
    <w:p>
      <w:pPr>
        <w:spacing w:after="0" w:line="118"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106</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53" w:name="page154"/>
    <w:bookmarkEnd w:id="153"/>
    <w:p>
      <w:pPr>
        <w:ind w:left="46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(including all or a portion of its Commitments and the Loans and LC Exposure at the time owing to it) with the prior written consent (such consent not to be unreasonably withheld or delayed) of:</w:t>
      </w:r>
    </w:p>
    <w:p>
      <w:pPr>
        <w:spacing w:after="0" w:line="51" w:lineRule="exact"/>
        <w:rPr>
          <w:sz w:val="20"/>
          <w:szCs w:val="20"/>
          <w:color w:val="auto"/>
        </w:rPr>
      </w:pPr>
    </w:p>
    <w:p>
      <w:pPr>
        <w:jc w:val="both"/>
        <w:ind w:left="900" w:firstLine="420"/>
        <w:spacing w:after="0" w:line="256" w:lineRule="auto"/>
        <w:tabs>
          <w:tab w:leader="none" w:pos="160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an Affiliate of a Lender, or, if an Event of Default has occurred and is continuing, any other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be deemed to have consented to any such assignment unless it shall have objected thereto by written notice to the Administrative Agent within five Business Days after having received notice thereof; and</w:t>
      </w:r>
    </w:p>
    <w:p>
      <w:pPr>
        <w:spacing w:after="0" w:line="61" w:lineRule="exact"/>
        <w:rPr>
          <w:rFonts w:ascii="Arial" w:cs="Arial" w:eastAsia="Arial" w:hAnsi="Arial"/>
          <w:sz w:val="18"/>
          <w:szCs w:val="18"/>
          <w:color w:val="auto"/>
        </w:rPr>
      </w:pPr>
    </w:p>
    <w:p>
      <w:pPr>
        <w:ind w:left="1600" w:hanging="280"/>
        <w:spacing w:after="0"/>
        <w:tabs>
          <w:tab w:leader="none" w:pos="16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Administrative Agent and the Issuing Bank.</w:t>
      </w:r>
    </w:p>
    <w:p>
      <w:pPr>
        <w:spacing w:after="0" w:line="90" w:lineRule="exact"/>
        <w:rPr>
          <w:rFonts w:ascii="Arial" w:cs="Arial" w:eastAsia="Arial" w:hAnsi="Arial"/>
          <w:sz w:val="18"/>
          <w:szCs w:val="18"/>
          <w:color w:val="auto"/>
        </w:rPr>
      </w:pPr>
    </w:p>
    <w:p>
      <w:pPr>
        <w:ind w:left="1140" w:hanging="252"/>
        <w:spacing w:after="0"/>
        <w:tabs>
          <w:tab w:leader="none" w:pos="114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Certain Conditions to Assignments</w:t>
      </w:r>
      <w:r>
        <w:rPr>
          <w:rFonts w:ascii="Arial" w:cs="Arial" w:eastAsia="Arial" w:hAnsi="Arial"/>
          <w:sz w:val="18"/>
          <w:szCs w:val="18"/>
          <w:color w:val="auto"/>
        </w:rPr>
        <w:t>. Assignments shall be subject to the following additional conditions:</w:t>
      </w:r>
    </w:p>
    <w:p>
      <w:pPr>
        <w:spacing w:after="0" w:line="90" w:lineRule="exact"/>
        <w:rPr>
          <w:rFonts w:ascii="Arial" w:cs="Arial" w:eastAsia="Arial" w:hAnsi="Arial"/>
          <w:sz w:val="18"/>
          <w:szCs w:val="18"/>
          <w:color w:val="auto"/>
        </w:rPr>
      </w:pPr>
    </w:p>
    <w:p>
      <w:pPr>
        <w:ind w:left="900" w:right="160" w:firstLine="420"/>
        <w:spacing w:after="0" w:line="317" w:lineRule="auto"/>
        <w:tabs>
          <w:tab w:leader="none" w:pos="1601" w:val="left"/>
        </w:tabs>
        <w:numPr>
          <w:ilvl w:val="1"/>
          <w:numId w:val="179"/>
        </w:numPr>
        <w:rPr>
          <w:rFonts w:ascii="Arial" w:cs="Arial" w:eastAsia="Arial" w:hAnsi="Arial"/>
          <w:sz w:val="15"/>
          <w:szCs w:val="15"/>
          <w:color w:val="auto"/>
        </w:rPr>
      </w:pPr>
      <w:r>
        <w:rPr>
          <w:rFonts w:ascii="Arial" w:cs="Arial" w:eastAsia="Arial" w:hAnsi="Arial"/>
          <w:sz w:val="15"/>
          <w:szCs w:val="15"/>
          <w:color w:val="auto"/>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consent of the Borrower shall be required if an Event of Default has occurred and is continuing;</w:t>
      </w:r>
    </w:p>
    <w:p>
      <w:pPr>
        <w:spacing w:after="0" w:line="21" w:lineRule="exact"/>
        <w:rPr>
          <w:rFonts w:ascii="Arial" w:cs="Arial" w:eastAsia="Arial" w:hAnsi="Arial"/>
          <w:sz w:val="15"/>
          <w:szCs w:val="15"/>
          <w:color w:val="auto"/>
        </w:rPr>
      </w:pPr>
    </w:p>
    <w:p>
      <w:pPr>
        <w:ind w:left="900" w:right="60" w:firstLine="420"/>
        <w:spacing w:after="0" w:line="331" w:lineRule="auto"/>
        <w:tabs>
          <w:tab w:leader="none" w:pos="1591" w:val="left"/>
        </w:tabs>
        <w:numPr>
          <w:ilvl w:val="1"/>
          <w:numId w:val="179"/>
        </w:numPr>
        <w:rPr>
          <w:rFonts w:ascii="Arial" w:cs="Arial" w:eastAsia="Arial" w:hAnsi="Arial"/>
          <w:sz w:val="16"/>
          <w:szCs w:val="16"/>
          <w:color w:val="auto"/>
        </w:rPr>
      </w:pPr>
      <w:r>
        <w:rPr>
          <w:rFonts w:ascii="Arial" w:cs="Arial" w:eastAsia="Arial" w:hAnsi="Arial"/>
          <w:sz w:val="16"/>
          <w:szCs w:val="16"/>
          <w:color w:val="auto"/>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5" w:lineRule="exact"/>
        <w:rPr>
          <w:rFonts w:ascii="Arial" w:cs="Arial" w:eastAsia="Arial" w:hAnsi="Arial"/>
          <w:sz w:val="16"/>
          <w:szCs w:val="16"/>
          <w:color w:val="auto"/>
        </w:rPr>
      </w:pPr>
    </w:p>
    <w:p>
      <w:pPr>
        <w:ind w:left="900" w:right="100" w:firstLine="420"/>
        <w:spacing w:after="0" w:line="306" w:lineRule="auto"/>
        <w:tabs>
          <w:tab w:leader="none" w:pos="1591"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the parties to each assignment shall execute and deliver to the Administrative Agent an Assignment and Assumption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together with a processing and recordation fee of U.S. $3,500 (which fee shall not be payable in connection with an assignment to a Lender or to an Affiliate of a Lender), for which the Borrower and the Guarantors shall not be obligated; and</w:t>
      </w:r>
    </w:p>
    <w:p>
      <w:pPr>
        <w:spacing w:after="0" w:line="25" w:lineRule="exact"/>
        <w:rPr>
          <w:rFonts w:ascii="Arial" w:cs="Arial" w:eastAsia="Arial" w:hAnsi="Arial"/>
          <w:sz w:val="16"/>
          <w:szCs w:val="16"/>
          <w:color w:val="auto"/>
        </w:rPr>
      </w:pPr>
    </w:p>
    <w:p>
      <w:pPr>
        <w:ind w:left="900" w:right="460" w:firstLine="420"/>
        <w:spacing w:after="0" w:line="268" w:lineRule="auto"/>
        <w:tabs>
          <w:tab w:leader="none" w:pos="160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assignee, if it shall not already be a Lender of the applicable Class, shall deliver to the Administrative Agent an Administrative Questionnaire.</w:t>
      </w:r>
    </w:p>
    <w:p>
      <w:pPr>
        <w:spacing w:after="0" w:line="50" w:lineRule="exact"/>
        <w:rPr>
          <w:rFonts w:ascii="Arial" w:cs="Arial" w:eastAsia="Arial" w:hAnsi="Arial"/>
          <w:sz w:val="18"/>
          <w:szCs w:val="18"/>
          <w:color w:val="auto"/>
        </w:rPr>
      </w:pPr>
    </w:p>
    <w:p>
      <w:pPr>
        <w:ind w:left="460" w:right="120" w:firstLine="428"/>
        <w:spacing w:after="0" w:line="298" w:lineRule="auto"/>
        <w:tabs>
          <w:tab w:leader="none" w:pos="1198"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Effectiveness of Assignments</w:t>
      </w:r>
      <w:r>
        <w:rPr>
          <w:rFonts w:ascii="Arial" w:cs="Arial" w:eastAsia="Arial" w:hAnsi="Arial"/>
          <w:sz w:val="16"/>
          <w:szCs w:val="16"/>
          <w:color w:val="auto"/>
        </w:rPr>
        <w:t xml:space="preserve">. Subject to acceptance and recording thereof pursuant to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w:t>
      </w:r>
    </w:p>
    <w:p>
      <w:pPr>
        <w:spacing w:after="0" w:line="99"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107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54" w:name="page155"/>
    <w:bookmarkEnd w:id="154"/>
    <w:p>
      <w:pPr>
        <w:ind w:left="460" w:right="1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Arial" w:cs="Arial" w:eastAsia="Arial" w:hAnsi="Arial"/>
          <w:sz w:val="16"/>
          <w:szCs w:val="16"/>
          <w:u w:val="single" w:color="auto"/>
          <w:color w:val="auto"/>
        </w:rPr>
        <w:t>Section 9.04(b)(ii)</w:t>
      </w:r>
      <w:r>
        <w:rPr>
          <w:rFonts w:ascii="Arial" w:cs="Arial" w:eastAsia="Arial" w:hAnsi="Arial"/>
          <w:sz w:val="16"/>
          <w:szCs w:val="16"/>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Issuing Bank,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25" w:lineRule="exact"/>
        <w:rPr>
          <w:sz w:val="20"/>
          <w:szCs w:val="20"/>
          <w:color w:val="auto"/>
        </w:rPr>
      </w:pPr>
    </w:p>
    <w:p>
      <w:pPr>
        <w:ind w:right="160" w:firstLine="906"/>
        <w:spacing w:after="0" w:line="290" w:lineRule="auto"/>
        <w:tabs>
          <w:tab w:leader="none" w:pos="1137"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Maintenance of Registers by Administrative Agent</w:t>
      </w:r>
      <w:r>
        <w:rPr>
          <w:rFonts w:ascii="Arial" w:cs="Arial" w:eastAsia="Arial" w:hAnsi="Arial"/>
          <w:sz w:val="16"/>
          <w:szCs w:val="16"/>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Arial" w:cs="Arial" w:eastAsia="Arial" w:hAnsi="Arial"/>
          <w:sz w:val="16"/>
          <w:szCs w:val="16"/>
          <w:u w:val="single" w:color="auto"/>
          <w:color w:val="auto"/>
        </w:rPr>
        <w:t>Registers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Registers shall be conclusive absent manifest error, and the Borrower, the Administrative Agent, the Issuing Bank and the Lenders may treat each Person whose name is recorded in the Registers pursuant to the terms hereof as a Lender hereunder for all purposes of this Agreement, notwithstanding notice to the contrary. The Registers shall be available for inspection by the Borrower, the Issuing Bank and any Lender, at any reasonable time and from time to time upon reasonable prior notice.</w:t>
      </w:r>
    </w:p>
    <w:p>
      <w:pPr>
        <w:spacing w:after="0" w:line="117" w:lineRule="exact"/>
        <w:rPr>
          <w:rFonts w:ascii="Arial" w:cs="Arial" w:eastAsia="Arial" w:hAnsi="Arial"/>
          <w:sz w:val="16"/>
          <w:szCs w:val="16"/>
          <w:color w:val="auto"/>
        </w:rPr>
      </w:pPr>
    </w:p>
    <w:p>
      <w:pPr>
        <w:ind w:right="40" w:firstLine="906"/>
        <w:spacing w:after="0" w:line="294" w:lineRule="auto"/>
        <w:tabs>
          <w:tab w:leader="none" w:pos="1147"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Acceptance of Assignments by Administrative Agent</w:t>
      </w:r>
      <w:r>
        <w:rPr>
          <w:rFonts w:ascii="Arial" w:cs="Arial" w:eastAsia="Arial" w:hAnsi="Arial"/>
          <w:sz w:val="16"/>
          <w:szCs w:val="16"/>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any written consent to such assignment required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02"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108</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55" w:name="page156"/>
    <w:bookmarkEnd w:id="155"/>
    <w:p>
      <w:pPr>
        <w:ind w:firstLine="906"/>
        <w:spacing w:after="0" w:line="286" w:lineRule="auto"/>
        <w:tabs>
          <w:tab w:leader="none" w:pos="1137"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Special Purposes Vehicles</w:t>
      </w:r>
      <w:r>
        <w:rPr>
          <w:rFonts w:ascii="Arial" w:cs="Arial" w:eastAsia="Arial" w:hAnsi="Arial"/>
          <w:sz w:val="16"/>
          <w:szCs w:val="16"/>
          <w:color w:val="auto"/>
        </w:rPr>
        <w:t>. 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26" w:lineRule="exact"/>
        <w:rPr>
          <w:sz w:val="20"/>
          <w:szCs w:val="20"/>
          <w:color w:val="auto"/>
        </w:rPr>
      </w:pPr>
    </w:p>
    <w:p>
      <w:pPr>
        <w:ind w:right="40" w:firstLine="898"/>
        <w:spacing w:after="0" w:line="285" w:lineRule="auto"/>
        <w:rPr>
          <w:sz w:val="20"/>
          <w:szCs w:val="20"/>
          <w:color w:val="auto"/>
        </w:rPr>
      </w:pPr>
      <w:r>
        <w:rPr>
          <w:rFonts w:ascii="Arial" w:cs="Arial" w:eastAsia="Arial" w:hAnsi="Arial"/>
          <w:sz w:val="16"/>
          <w:szCs w:val="16"/>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consent of the SPC or of any such assignee shall be required for amendments or waivers hereunder except for those amendments or waivers for which the consent of participants is required under </w:t>
      </w:r>
      <w:r>
        <w:rPr>
          <w:rFonts w:ascii="Arial" w:cs="Arial" w:eastAsia="Arial" w:hAnsi="Arial"/>
          <w:sz w:val="16"/>
          <w:szCs w:val="16"/>
          <w:u w:val="single" w:color="auto"/>
          <w:color w:val="auto"/>
        </w:rPr>
        <w:t>paragraph (1)</w:t>
      </w:r>
      <w:r>
        <w:rPr>
          <w:rFonts w:ascii="Arial" w:cs="Arial" w:eastAsia="Arial" w:hAnsi="Arial"/>
          <w:sz w:val="16"/>
          <w:szCs w:val="16"/>
          <w:color w:val="auto"/>
        </w:rPr>
        <w:t xml:space="preserve"> below, and (ii) disclose on a confidential basis (in the same manner described in </w:t>
      </w:r>
      <w:r>
        <w:rPr>
          <w:rFonts w:ascii="Arial" w:cs="Arial" w:eastAsia="Arial" w:hAnsi="Arial"/>
          <w:sz w:val="16"/>
          <w:szCs w:val="16"/>
          <w:u w:val="single" w:color="auto"/>
          <w:color w:val="auto"/>
        </w:rPr>
        <w:t>Section 9.13(b)</w:t>
      </w:r>
      <w:r>
        <w:rPr>
          <w:rFonts w:ascii="Arial" w:cs="Arial" w:eastAsia="Arial" w:hAnsi="Arial"/>
          <w:sz w:val="16"/>
          <w:szCs w:val="16"/>
          <w:color w:val="auto"/>
        </w:rPr>
        <w:t>) any non-public information relating to its Loans to any rating agency, commercial paper dealer or provider of a surety, guarantee or credit or liquidity enhancement to such SPC.</w:t>
      </w:r>
    </w:p>
    <w:p>
      <w:pPr>
        <w:spacing w:after="0" w:line="116"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109</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56" w:name="page157"/>
    <w:bookmarkEnd w:id="156"/>
    <w:p>
      <w:pPr>
        <w:ind w:right="20" w:firstLine="906"/>
        <w:spacing w:after="0" w:line="283" w:lineRule="auto"/>
        <w:tabs>
          <w:tab w:leader="none" w:pos="1118"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Participations</w:t>
      </w:r>
      <w:r>
        <w:rPr>
          <w:rFonts w:ascii="Arial" w:cs="Arial" w:eastAsia="Arial" w:hAnsi="Arial"/>
          <w:sz w:val="16"/>
          <w:szCs w:val="16"/>
          <w:color w:val="auto"/>
        </w:rPr>
        <w:t xml:space="preserve">. Any Lender may, with the consent of the Borrower (such consent not to be unreasonably withheld or delayed), sell participations to one or more banks or other entities (a “Participant”) in all or a portion of such Lender’s rights and obligations under this Agreement and the other Loan Documents (including all or a portion of its Commitments and the Loans and LC Disbursements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not be entitled to receive any greater payment under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Participant shall be entitled to the benefits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unless the Borrower is notified of the participation granted to such Participant and such Participant shall have complied with the requirements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as if such Participant is a Lender. To the extent permitted by law, each Participant also shall be entitled to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as though it were a Lender; provided such Participant agrees to be subject to </w:t>
      </w: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as though it were a Lender hereunder.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2"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110</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57" w:name="page158"/>
    <w:bookmarkEnd w:id="157"/>
    <w:p>
      <w:pPr>
        <w:ind w:right="20" w:firstLine="906"/>
        <w:spacing w:after="0" w:line="253"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Limitations on Rights of Participants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paragraphs (e)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44" w:lineRule="exact"/>
        <w:rPr>
          <w:rFonts w:ascii="Arial" w:cs="Arial" w:eastAsia="Arial" w:hAnsi="Arial"/>
          <w:sz w:val="18"/>
          <w:szCs w:val="18"/>
          <w:color w:val="auto"/>
        </w:rPr>
      </w:pPr>
    </w:p>
    <w:p>
      <w:pPr>
        <w:ind w:right="140" w:firstLine="906"/>
        <w:spacing w:after="0" w:line="298" w:lineRule="auto"/>
        <w:tabs>
          <w:tab w:leader="none" w:pos="1147"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assignee for such Lender as a party hereto.</w:t>
      </w:r>
    </w:p>
    <w:p>
      <w:pPr>
        <w:spacing w:after="0" w:line="112" w:lineRule="exact"/>
        <w:rPr>
          <w:rFonts w:ascii="Arial" w:cs="Arial" w:eastAsia="Arial" w:hAnsi="Arial"/>
          <w:sz w:val="16"/>
          <w:szCs w:val="16"/>
          <w:color w:val="auto"/>
        </w:rPr>
      </w:pPr>
    </w:p>
    <w:p>
      <w:pPr>
        <w:ind w:right="140" w:firstLine="906"/>
        <w:spacing w:after="0" w:line="331" w:lineRule="auto"/>
        <w:tabs>
          <w:tab w:leader="none" w:pos="1108"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No Assignments to the Borrower or Affiliates</w:t>
      </w:r>
      <w:r>
        <w:rPr>
          <w:rFonts w:ascii="Arial" w:cs="Arial" w:eastAsia="Arial" w:hAnsi="Arial"/>
          <w:sz w:val="16"/>
          <w:szCs w:val="16"/>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87" w:lineRule="exact"/>
        <w:rPr>
          <w:sz w:val="20"/>
          <w:szCs w:val="20"/>
          <w:color w:val="auto"/>
        </w:rPr>
      </w:pPr>
    </w:p>
    <w:p>
      <w:pPr>
        <w:ind w:right="40" w:firstLine="898"/>
        <w:spacing w:after="0" w:line="309" w:lineRule="auto"/>
        <w:rPr>
          <w:sz w:val="20"/>
          <w:szCs w:val="20"/>
          <w:color w:val="auto"/>
        </w:rPr>
      </w:pPr>
      <w:r>
        <w:rPr>
          <w:rFonts w:ascii="Arial" w:cs="Arial" w:eastAsia="Arial" w:hAnsi="Arial"/>
          <w:sz w:val="15"/>
          <w:szCs w:val="15"/>
          <w:color w:val="auto"/>
        </w:rPr>
        <w:t xml:space="preserve">SECTION 9.05. </w:t>
      </w:r>
      <w:r>
        <w:rPr>
          <w:rFonts w:ascii="Arial" w:cs="Arial" w:eastAsia="Arial" w:hAnsi="Arial"/>
          <w:sz w:val="15"/>
          <w:szCs w:val="15"/>
          <w:u w:val="single" w:color="auto"/>
          <w:color w:val="auto"/>
        </w:rPr>
        <w:t>Survival</w:t>
      </w:r>
      <w:r>
        <w:rPr>
          <w:rFonts w:ascii="Arial" w:cs="Arial" w:eastAsia="Arial" w:hAnsi="Arial"/>
          <w:sz w:val="15"/>
          <w:szCs w:val="15"/>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5"/>
          <w:szCs w:val="15"/>
          <w:u w:val="single" w:color="auto"/>
          <w:color w:val="auto"/>
        </w:rPr>
        <w:t>Sections 2.14</w:t>
      </w:r>
      <w:r>
        <w:rPr>
          <w:rFonts w:ascii="Arial" w:cs="Arial" w:eastAsia="Arial" w:hAnsi="Arial"/>
          <w:sz w:val="15"/>
          <w:szCs w:val="15"/>
          <w:color w:val="auto"/>
        </w:rPr>
        <w:t xml:space="preserve">, </w:t>
      </w:r>
      <w:r>
        <w:rPr>
          <w:rFonts w:ascii="Arial" w:cs="Arial" w:eastAsia="Arial" w:hAnsi="Arial"/>
          <w:sz w:val="15"/>
          <w:szCs w:val="15"/>
          <w:u w:val="single" w:color="auto"/>
          <w:color w:val="auto"/>
        </w:rPr>
        <w:t>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2.16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9.03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90" w:lineRule="exact"/>
        <w:rPr>
          <w:sz w:val="20"/>
          <w:szCs w:val="20"/>
          <w:color w:val="auto"/>
        </w:rPr>
      </w:pPr>
    </w:p>
    <w:p>
      <w:pPr>
        <w:ind w:right="680" w:firstLine="906"/>
        <w:spacing w:after="0" w:line="331" w:lineRule="auto"/>
        <w:tabs>
          <w:tab w:leader="none" w:pos="1137"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This Agreement may be executed in counterparts (and by different parties hereto on different counterparts), each of which shall constitute an original, but all of which when taken together shall constitute a single</w:t>
      </w:r>
    </w:p>
    <w:p>
      <w:pPr>
        <w:spacing w:after="0" w:line="73" w:lineRule="exact"/>
        <w:rPr>
          <w:sz w:val="20"/>
          <w:szCs w:val="20"/>
          <w:color w:val="auto"/>
        </w:rPr>
      </w:pPr>
    </w:p>
    <w:p>
      <w:pPr>
        <w:spacing w:after="0"/>
        <w:tabs>
          <w:tab w:leader="none" w:pos="560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111</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58" w:name="page159"/>
    <w:bookmarkEnd w:id="158"/>
    <w:p>
      <w:pPr>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Arial" w:cs="Arial" w:eastAsia="Arial" w:hAnsi="Arial"/>
          <w:sz w:val="15"/>
          <w:szCs w:val="15"/>
          <w:u w:val="single" w:color="auto"/>
          <w:color w:val="auto"/>
        </w:rPr>
        <w:t>Section 4.01</w:t>
      </w:r>
      <w:r>
        <w:rPr>
          <w:rFonts w:ascii="Arial" w:cs="Arial" w:eastAsia="Arial" w:hAnsi="Arial"/>
          <w:sz w:val="15"/>
          <w:szCs w:val="15"/>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04" w:lineRule="exact"/>
        <w:rPr>
          <w:sz w:val="20"/>
          <w:szCs w:val="20"/>
          <w:color w:val="auto"/>
        </w:rPr>
      </w:pPr>
    </w:p>
    <w:p>
      <w:pPr>
        <w:ind w:right="120" w:firstLine="906"/>
        <w:spacing w:after="0" w:line="294" w:lineRule="auto"/>
        <w:tabs>
          <w:tab w:leader="none" w:pos="1147"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Electronic Execution of Assignments</w:t>
      </w:r>
      <w:r>
        <w:rPr>
          <w:rFonts w:ascii="Arial" w:cs="Arial" w:eastAsia="Arial" w:hAnsi="Arial"/>
          <w:sz w:val="16"/>
          <w:szCs w:val="16"/>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15" w:lineRule="exact"/>
        <w:rPr>
          <w:sz w:val="20"/>
          <w:szCs w:val="20"/>
          <w:color w:val="auto"/>
        </w:rPr>
      </w:pPr>
    </w:p>
    <w:p>
      <w:pPr>
        <w:ind w:right="120" w:firstLine="898"/>
        <w:spacing w:after="0" w:line="306"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06" w:lineRule="exact"/>
        <w:rPr>
          <w:sz w:val="20"/>
          <w:szCs w:val="20"/>
          <w:color w:val="auto"/>
        </w:rPr>
      </w:pPr>
    </w:p>
    <w:p>
      <w:pPr>
        <w:ind w:right="40" w:firstLine="898"/>
        <w:spacing w:after="0" w:line="287"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Arial" w:cs="Arial" w:eastAsia="Arial" w:hAnsi="Arial"/>
          <w:sz w:val="16"/>
          <w:szCs w:val="16"/>
          <w:u w:val="single" w:color="auto"/>
          <w:color w:val="auto"/>
        </w:rPr>
        <w:t>Sections 2.17(d)</w:t>
      </w:r>
      <w:r>
        <w:rPr>
          <w:rFonts w:ascii="Arial" w:cs="Arial" w:eastAsia="Arial" w:hAnsi="Arial"/>
          <w:sz w:val="16"/>
          <w:szCs w:val="16"/>
          <w:color w:val="auto"/>
        </w:rPr>
        <w:t xml:space="preserve"> and, pending such payment, shall be segregated by such Defaulting Lender from its other funds and deemed held in trust for the benefit of Administrative Agent, the Issuing Bank,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w:t>
      </w:r>
    </w:p>
    <w:p>
      <w:pPr>
        <w:spacing w:after="0" w:line="324"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112</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59" w:name="page160"/>
    <w:bookmarkEnd w:id="15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9.09.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90" w:lineRule="exact"/>
        <w:rPr>
          <w:sz w:val="20"/>
          <w:szCs w:val="20"/>
          <w:color w:val="auto"/>
        </w:rPr>
      </w:pPr>
    </w:p>
    <w:p>
      <w:pPr>
        <w:ind w:left="1140" w:hanging="234"/>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 of the State of New York.</w:t>
      </w:r>
    </w:p>
    <w:p>
      <w:pPr>
        <w:spacing w:after="0" w:line="171" w:lineRule="exact"/>
        <w:rPr>
          <w:rFonts w:ascii="Arial" w:cs="Arial" w:eastAsia="Arial" w:hAnsi="Arial"/>
          <w:sz w:val="18"/>
          <w:szCs w:val="18"/>
          <w:color w:val="auto"/>
        </w:rPr>
      </w:pPr>
    </w:p>
    <w:p>
      <w:pPr>
        <w:ind w:right="80" w:firstLine="906"/>
        <w:spacing w:after="0" w:line="288" w:lineRule="auto"/>
        <w:tabs>
          <w:tab w:leader="none" w:pos="1147"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 or its properties in the courts of any jurisdiction.</w:t>
      </w:r>
    </w:p>
    <w:p>
      <w:pPr>
        <w:spacing w:after="0" w:line="123" w:lineRule="exact"/>
        <w:rPr>
          <w:rFonts w:ascii="Arial" w:cs="Arial" w:eastAsia="Arial" w:hAnsi="Arial"/>
          <w:sz w:val="16"/>
          <w:szCs w:val="16"/>
          <w:color w:val="auto"/>
        </w:rPr>
      </w:pPr>
    </w:p>
    <w:p>
      <w:pPr>
        <w:jc w:val="both"/>
        <w:ind w:right="200" w:firstLine="906"/>
        <w:spacing w:after="0" w:line="298" w:lineRule="auto"/>
        <w:tabs>
          <w:tab w:leader="none" w:pos="1137"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Waiver of Venue</w:t>
      </w:r>
      <w:r>
        <w:rPr>
          <w:rFonts w:ascii="Arial" w:cs="Arial" w:eastAsia="Arial" w:hAnsi="Arial"/>
          <w:sz w:val="16"/>
          <w:szCs w:val="16"/>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12" w:lineRule="exact"/>
        <w:rPr>
          <w:rFonts w:ascii="Arial" w:cs="Arial" w:eastAsia="Arial" w:hAnsi="Arial"/>
          <w:sz w:val="16"/>
          <w:szCs w:val="16"/>
          <w:color w:val="auto"/>
        </w:rPr>
      </w:pPr>
    </w:p>
    <w:p>
      <w:pPr>
        <w:ind w:left="1160" w:hanging="254"/>
        <w:spacing w:after="0"/>
        <w:tabs>
          <w:tab w:leader="none" w:pos="116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Service of Process</w:t>
      </w:r>
      <w:r>
        <w:rPr>
          <w:rFonts w:ascii="Arial" w:cs="Arial" w:eastAsia="Arial" w:hAnsi="Arial"/>
          <w:sz w:val="16"/>
          <w:szCs w:val="16"/>
          <w:color w:val="auto"/>
        </w:rPr>
        <w:t>. Each party to this Agreement (i) irrevocably consents to service of process in the manner provided for notices in</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and (ii) agrees that service as provided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44" w:lineRule="exact"/>
        <w:rPr>
          <w:sz w:val="20"/>
          <w:szCs w:val="20"/>
          <w:color w:val="auto"/>
        </w:rPr>
      </w:pPr>
    </w:p>
    <w:p>
      <w:pPr>
        <w:ind w:right="280" w:firstLine="898"/>
        <w:spacing w:after="0" w:line="25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31"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113</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60" w:name="page161"/>
    <w:bookmarkEnd w:id="160"/>
    <w:p>
      <w:pPr>
        <w:ind w:right="40" w:firstLine="898"/>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9.11.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This is an international loan transaction in which the specification of Dollars or any Foreign Currency, as the case may be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and payment in New York City or the country of the Specified Currency, as the case may be (the “</w:t>
      </w:r>
      <w:r>
        <w:rPr>
          <w:rFonts w:ascii="Arial" w:cs="Arial" w:eastAsia="Arial" w:hAnsi="Arial"/>
          <w:sz w:val="16"/>
          <w:szCs w:val="16"/>
          <w:u w:val="single" w:color="auto"/>
          <w:color w:val="auto"/>
        </w:rPr>
        <w:t>Specified Place</w:t>
      </w:r>
      <w:r>
        <w:rPr>
          <w:rFonts w:ascii="Arial" w:cs="Arial" w:eastAsia="Arial" w:hAnsi="Arial"/>
          <w:sz w:val="16"/>
          <w:szCs w:val="16"/>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Arial" w:cs="Arial" w:eastAsia="Arial" w:hAnsi="Arial"/>
          <w:sz w:val="16"/>
          <w:szCs w:val="16"/>
          <w:u w:val="single" w:color="auto"/>
          <w:color w:val="auto"/>
        </w:rPr>
        <w:t>Second Currency</w:t>
      </w:r>
      <w:r>
        <w:rPr>
          <w:rFonts w:ascii="Arial" w:cs="Arial" w:eastAsia="Arial" w:hAnsi="Arial"/>
          <w:sz w:val="16"/>
          <w:szCs w:val="16"/>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Arial" w:cs="Arial" w:eastAsia="Arial" w:hAnsi="Arial"/>
          <w:sz w:val="16"/>
          <w:szCs w:val="16"/>
          <w:u w:val="single" w:color="auto"/>
          <w:color w:val="auto"/>
        </w:rPr>
        <w:t>Entitled Person</w:t>
      </w:r>
      <w:r>
        <w:rPr>
          <w:rFonts w:ascii="Arial" w:cs="Arial" w:eastAsia="Arial" w:hAnsi="Arial"/>
          <w:sz w:val="16"/>
          <w:szCs w:val="16"/>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22" w:lineRule="exact"/>
        <w:rPr>
          <w:sz w:val="20"/>
          <w:szCs w:val="20"/>
          <w:color w:val="auto"/>
        </w:rPr>
      </w:pPr>
    </w:p>
    <w:p>
      <w:pPr>
        <w:ind w:right="140" w:firstLine="898"/>
        <w:spacing w:after="0" w:line="268"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2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Treatment of Certain Information; No Fiduciary Duty; Confidentiality</w:t>
      </w:r>
      <w:r>
        <w:rPr>
          <w:rFonts w:ascii="Arial" w:cs="Arial" w:eastAsia="Arial" w:hAnsi="Arial"/>
          <w:sz w:val="18"/>
          <w:szCs w:val="18"/>
          <w:color w:val="auto"/>
        </w:rPr>
        <w:t>.</w:t>
      </w:r>
    </w:p>
    <w:p>
      <w:pPr>
        <w:spacing w:after="0" w:line="90" w:lineRule="exact"/>
        <w:rPr>
          <w:sz w:val="20"/>
          <w:szCs w:val="20"/>
          <w:color w:val="auto"/>
        </w:rPr>
      </w:pPr>
    </w:p>
    <w:p>
      <w:pPr>
        <w:ind w:right="80" w:firstLine="906"/>
        <w:spacing w:after="0" w:line="288" w:lineRule="auto"/>
        <w:tabs>
          <w:tab w:leader="none" w:pos="1137"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Treatment of Certain Information</w:t>
      </w:r>
      <w:r>
        <w:rPr>
          <w:rFonts w:ascii="Arial" w:cs="Arial" w:eastAsia="Arial" w:hAnsi="Arial"/>
          <w:sz w:val="16"/>
          <w:szCs w:val="16"/>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w:t>
      </w:r>
    </w:p>
    <w:p>
      <w:pPr>
        <w:spacing w:after="0" w:line="110"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114</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61" w:name="page162"/>
    <w:bookmarkEnd w:id="161"/>
    <w:p>
      <w:pPr>
        <w:ind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w:t>
      </w:r>
    </w:p>
    <w:p>
      <w:pPr>
        <w:spacing w:after="0" w:line="5" w:lineRule="exact"/>
        <w:rPr>
          <w:sz w:val="20"/>
          <w:szCs w:val="20"/>
          <w:color w:val="auto"/>
        </w:rPr>
      </w:pPr>
    </w:p>
    <w:p>
      <w:pPr>
        <w:ind w:right="20" w:firstLine="8"/>
        <w:spacing w:after="0" w:line="286" w:lineRule="auto"/>
        <w:tabs>
          <w:tab w:leader="none" w:pos="24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26" w:lineRule="exact"/>
        <w:rPr>
          <w:rFonts w:ascii="Arial" w:cs="Arial" w:eastAsia="Arial" w:hAnsi="Arial"/>
          <w:sz w:val="16"/>
          <w:szCs w:val="16"/>
          <w:color w:val="auto"/>
        </w:rPr>
      </w:pPr>
    </w:p>
    <w:p>
      <w:pPr>
        <w:ind w:firstLine="906"/>
        <w:spacing w:after="0" w:line="286" w:lineRule="auto"/>
        <w:tabs>
          <w:tab w:leader="none" w:pos="1147"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Lenders and the Issuing Bank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or (viii) to the extent such Information (x) becomes publicly available other than as a result of a breach of this Section or (y) becomes available to the Administrative Agent, any Lender, the Issuing Bank or any of their respective Affiliates on a nonconfidential basis from a source other than the Borrower.</w:t>
      </w:r>
    </w:p>
    <w:p>
      <w:pPr>
        <w:spacing w:after="0" w:line="110"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115</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62" w:name="page163"/>
    <w:bookmarkEnd w:id="162"/>
    <w:p>
      <w:pPr>
        <w:ind w:right="20" w:firstLine="898"/>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the Issuing Bank on a nonconfidential basis prior to disclosure by the Borrower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the Borrower or any of its Subsidiaries after the date hereof; such information is dearly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the Borrower that pursuant to the requirements of the USA PATRIOT Act (Title</w:t>
      </w:r>
    </w:p>
    <w:p>
      <w:pPr>
        <w:spacing w:after="0" w:line="38" w:lineRule="exact"/>
        <w:rPr>
          <w:sz w:val="20"/>
          <w:szCs w:val="20"/>
          <w:color w:val="auto"/>
        </w:rPr>
      </w:pPr>
    </w:p>
    <w:p>
      <w:pPr>
        <w:ind w:right="360" w:firstLine="8"/>
        <w:spacing w:after="0" w:line="255" w:lineRule="auto"/>
        <w:tabs>
          <w:tab w:leader="none" w:pos="21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of Pub. L. 107-56 (signed into law October 26, 2001)), it is required to obtain, verify and record information that identifies the Borrower and each other Obligor , which information includes the name and address of the Borrower and each other Obligor and other information that will allow such Lender to identify the Borrower and each other Obligor in accordance with said Act.</w:t>
      </w:r>
    </w:p>
    <w:p>
      <w:pPr>
        <w:spacing w:after="0" w:line="144" w:lineRule="exact"/>
        <w:rPr>
          <w:sz w:val="20"/>
          <w:szCs w:val="20"/>
          <w:color w:val="auto"/>
        </w:rPr>
      </w:pPr>
    </w:p>
    <w:p>
      <w:pPr>
        <w:ind w:right="20" w:firstLine="898"/>
        <w:spacing w:after="0" w:line="290"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Effect of Amendment and Restatement of the Existing Agreement</w:t>
      </w:r>
      <w:r>
        <w:rPr>
          <w:rFonts w:ascii="Arial" w:cs="Arial" w:eastAsia="Arial" w:hAnsi="Arial"/>
          <w:sz w:val="16"/>
          <w:szCs w:val="16"/>
          <w:color w:val="auto"/>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04" w:lineRule="exact"/>
        <w:rPr>
          <w:sz w:val="20"/>
          <w:szCs w:val="20"/>
          <w:color w:val="auto"/>
        </w:rPr>
      </w:pPr>
    </w:p>
    <w:p>
      <w:pPr>
        <w:spacing w:after="0"/>
        <w:tabs>
          <w:tab w:leader="none" w:pos="5580" w:val="left"/>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8"/>
          <w:szCs w:val="18"/>
          <w:color w:val="auto"/>
        </w:rPr>
        <w:t>116</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63" w:name="page164"/>
    <w:bookmarkEnd w:id="163"/>
    <w:p>
      <w:pPr>
        <w:ind w:right="260" w:firstLine="44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duly executed by their respective authorized officers as of the day and year that above written.</w:t>
      </w:r>
    </w:p>
    <w:p>
      <w:pPr>
        <w:spacing w:after="0" w:line="17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147955</wp:posOffset>
            </wp:positionV>
            <wp:extent cx="1242695" cy="6343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4269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-5715</wp:posOffset>
            </wp:positionV>
            <wp:extent cx="26142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64" w:name="page165"/>
    <w:bookmarkEnd w:id="164"/>
    <w:p>
      <w:pPr>
        <w:ind w:left="6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SUNTRUST BANK, as Administrative Agent,</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Swingline Lender, Issuing Bank and a Lender</w:t>
      </w: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 xml:space="preserve">By: </w:t>
      </w:r>
      <w:r>
        <w:rPr>
          <w:sz w:val="1"/>
          <w:szCs w:val="1"/>
          <w:color w:val="auto"/>
        </w:rPr>
        <w:drawing>
          <wp:inline distT="0" distB="0" distL="0" distR="0">
            <wp:extent cx="2366010" cy="29146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66010" cy="29146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-15240</wp:posOffset>
            </wp:positionV>
            <wp:extent cx="26403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Name: David T. Fournier</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65" w:name="page166"/>
    <w:bookmarkEnd w:id="165"/>
    <w:p>
      <w:pPr>
        <w:ind w:left="6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JPMORGAN CHASE BANK, N.A</w:t>
      </w:r>
      <w:r>
        <w:rPr>
          <w:rFonts w:ascii="Arial" w:cs="Arial" w:eastAsia="Arial" w:hAnsi="Arial"/>
          <w:sz w:val="18"/>
          <w:szCs w:val="18"/>
          <w:color w:val="auto"/>
        </w:rPr>
        <w: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151765</wp:posOffset>
            </wp:positionV>
            <wp:extent cx="1448435" cy="4286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484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-5715</wp:posOffset>
            </wp:positionV>
            <wp:extent cx="26142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Name: Matthew Griffith</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Executive Director</w:t>
      </w:r>
    </w:p>
    <w:p>
      <w:pPr>
        <w:spacing w:after="0" w:line="9"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JPMorgan</w:t>
      </w:r>
    </w:p>
    <w:p>
      <w:pPr>
        <w:spacing w:after="0" w:line="15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74" w:right="339" w:bottom="1440" w:gutter="0" w:footer="0" w:header="0"/>
        </w:sectPr>
      </w:pPr>
    </w:p>
    <w:bookmarkStart w:id="166" w:name="page167"/>
    <w:bookmarkEnd w:id="166"/>
    <w:p>
      <w:pPr>
        <w:ind w:left="6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MORGAN STANLEY BANK, N.A</w:t>
      </w:r>
      <w:r>
        <w:rPr>
          <w:rFonts w:ascii="Arial" w:cs="Arial" w:eastAsia="Arial" w:hAnsi="Arial"/>
          <w:sz w:val="18"/>
          <w:szCs w:val="18"/>
          <w:color w:val="auto"/>
        </w:rPr>
        <w: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151765</wp:posOffset>
            </wp:positionV>
            <wp:extent cx="2005965" cy="6686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059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-5715</wp:posOffset>
            </wp:positionV>
            <wp:extent cx="26142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Name: Michael King</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Authorized Signatory</w:t>
      </w:r>
    </w:p>
    <w:p>
      <w:pPr>
        <w:spacing w:after="0" w:line="15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74" w:right="339" w:bottom="1440" w:gutter="0" w:footer="0" w:header="0"/>
        </w:sectPr>
      </w:pPr>
    </w:p>
    <w:bookmarkStart w:id="167" w:name="page168"/>
    <w:bookmarkEnd w:id="167"/>
    <w:p>
      <w:pPr>
        <w:ind w:left="6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GOLDMAN SACHS BANK USA</w:t>
      </w:r>
      <w:r>
        <w:rPr>
          <w:rFonts w:ascii="Arial" w:cs="Arial" w:eastAsia="Arial" w:hAnsi="Arial"/>
          <w:sz w:val="18"/>
          <w:szCs w:val="18"/>
          <w:color w:val="auto"/>
        </w:rPr>
        <w: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151765</wp:posOffset>
            </wp:positionV>
            <wp:extent cx="1628775" cy="3429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628775" cy="34290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-5715</wp:posOffset>
            </wp:positionV>
            <wp:extent cx="26142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Name: Mark Walton</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Authorized Signatory</w:t>
      </w:r>
    </w:p>
    <w:p>
      <w:pPr>
        <w:spacing w:after="0" w:line="15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74" w:right="339" w:bottom="1440" w:gutter="0" w:footer="0" w:header="0"/>
        </w:sectPr>
      </w:pPr>
    </w:p>
    <w:bookmarkStart w:id="168" w:name="page169"/>
    <w:bookmarkEnd w:id="168"/>
    <w:p>
      <w:pPr>
        <w:ind w:left="6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ING Capital LLC,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147955</wp:posOffset>
            </wp:positionV>
            <wp:extent cx="1062990" cy="3086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62990" cy="30861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-5715</wp:posOffset>
            </wp:positionV>
            <wp:extent cx="26142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Name: Patrick Frisch</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Managing Director</w:t>
      </w:r>
    </w:p>
    <w:p>
      <w:pPr>
        <w:spacing w:after="0" w:line="15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69" w:name="page170"/>
    <w:bookmarkEnd w:id="169"/>
    <w:p>
      <w:pPr>
        <w:ind w:left="6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EVERBANK COMMERCIAL FINANCE, INC.,</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152400</wp:posOffset>
            </wp:positionV>
            <wp:extent cx="2099945" cy="8312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9994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-5715</wp:posOffset>
            </wp:positionV>
            <wp:extent cx="26142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Name: David D’Antonio</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Managing Director</w:t>
      </w:r>
    </w:p>
    <w:p>
      <w:pPr>
        <w:spacing w:after="0" w:line="15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80" w:right="339" w:bottom="1440" w:gutter="0" w:footer="0" w:header="0"/>
        </w:sectPr>
      </w:pPr>
    </w:p>
    <w:bookmarkStart w:id="170" w:name="page171"/>
    <w:bookmarkEnd w:id="170"/>
    <w:p>
      <w:pPr>
        <w:ind w:left="6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Royal Bank of Canada</w:t>
      </w:r>
      <w:r>
        <w:rPr>
          <w:rFonts w:ascii="Arial" w:cs="Arial" w:eastAsia="Arial" w:hAnsi="Arial"/>
          <w:sz w:val="18"/>
          <w:szCs w:val="18"/>
          <w:color w:val="auto"/>
        </w:rPr>
        <w: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151765</wp:posOffset>
            </wp:positionV>
            <wp:extent cx="1371600" cy="402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-5715</wp:posOffset>
            </wp:positionV>
            <wp:extent cx="26142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Name: Tim Stephens</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Director</w:t>
      </w:r>
    </w:p>
    <w:p>
      <w:pPr>
        <w:spacing w:after="0" w:line="15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74" w:right="339" w:bottom="1440" w:gutter="0" w:footer="0" w:header="0"/>
        </w:sectPr>
      </w:pPr>
    </w:p>
    <w:bookmarkStart w:id="171" w:name="page172"/>
    <w:bookmarkEnd w:id="171"/>
    <w:p>
      <w:pPr>
        <w:ind w:left="6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COMERICA BANK</w:t>
      </w:r>
      <w:r>
        <w:rPr>
          <w:rFonts w:ascii="Arial" w:cs="Arial" w:eastAsia="Arial" w:hAnsi="Arial"/>
          <w:sz w:val="18"/>
          <w:szCs w:val="18"/>
          <w:color w:val="auto"/>
        </w:rPr>
        <w: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151765</wp:posOffset>
            </wp:positionV>
            <wp:extent cx="1414145" cy="4800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141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-5715</wp:posOffset>
            </wp:positionV>
            <wp:extent cx="26403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Name:  CHRIS RICE</w:t>
      </w:r>
    </w:p>
    <w:p>
      <w:pPr>
        <w:spacing w:after="0" w:line="9" w:lineRule="exact"/>
        <w:rPr>
          <w:sz w:val="20"/>
          <w:szCs w:val="20"/>
          <w:color w:val="auto"/>
        </w:rPr>
      </w:pPr>
    </w:p>
    <w:p>
      <w:pPr>
        <w:ind w:left="7080"/>
        <w:spacing w:after="0"/>
        <w:tabs>
          <w:tab w:leader="none" w:pos="7640" w:val="left"/>
        </w:tabs>
        <w:rPr>
          <w:sz w:val="20"/>
          <w:szCs w:val="20"/>
          <w:color w:val="auto"/>
        </w:rPr>
      </w:pPr>
      <w:r>
        <w:rPr>
          <w:rFonts w:ascii="Arial" w:cs="Arial" w:eastAsia="Arial" w:hAnsi="Arial"/>
          <w:sz w:val="18"/>
          <w:szCs w:val="18"/>
          <w:color w:val="auto"/>
        </w:rPr>
        <w:t>Title:</w:t>
        <w:tab/>
        <w:t>AVP</w:t>
      </w:r>
    </w:p>
    <w:p>
      <w:pPr>
        <w:spacing w:after="0" w:line="15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74" w:right="339" w:bottom="1440" w:gutter="0" w:footer="0" w:header="0"/>
        </w:sectPr>
      </w:pPr>
    </w:p>
    <w:bookmarkStart w:id="172" w:name="page173"/>
    <w:bookmarkEnd w:id="172"/>
    <w:p>
      <w:pPr>
        <w:ind w:left="67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Credit Suisse AG, Cayman Islands Branch</w:t>
      </w:r>
      <w:r>
        <w:rPr>
          <w:rFonts w:ascii="Arial" w:cs="Arial" w:eastAsia="Arial" w:hAnsi="Arial"/>
          <w:sz w:val="16"/>
          <w:szCs w:val="16"/>
          <w:color w:val="auto"/>
        </w:rPr>
        <w:t>, as a Lender</w:t>
      </w:r>
    </w:p>
    <w:p>
      <w:pPr>
        <w:spacing w:after="0" w:line="24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 xml:space="preserve">By: </w:t>
      </w:r>
      <w:r>
        <w:rPr>
          <w:sz w:val="1"/>
          <w:szCs w:val="1"/>
          <w:color w:val="auto"/>
        </w:rPr>
        <w:drawing>
          <wp:inline distT="0" distB="0" distL="0" distR="0">
            <wp:extent cx="1080135" cy="20574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80135" cy="20574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-15240</wp:posOffset>
            </wp:positionV>
            <wp:extent cx="264033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Name:  DOREEN BARR</w:t>
      </w:r>
    </w:p>
    <w:p>
      <w:pPr>
        <w:spacing w:after="0" w:line="9" w:lineRule="exact"/>
        <w:rPr>
          <w:sz w:val="20"/>
          <w:szCs w:val="20"/>
          <w:color w:val="auto"/>
        </w:rPr>
      </w:pPr>
    </w:p>
    <w:p>
      <w:pPr>
        <w:ind w:left="7080"/>
        <w:spacing w:after="0"/>
        <w:tabs>
          <w:tab w:leader="none" w:pos="764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144145</wp:posOffset>
            </wp:positionV>
            <wp:extent cx="840105" cy="6000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4010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-5715</wp:posOffset>
            </wp:positionV>
            <wp:extent cx="26403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Name:  Michael D. Spaight</w:t>
      </w:r>
    </w:p>
    <w:p>
      <w:pPr>
        <w:spacing w:after="0" w:line="9" w:lineRule="exact"/>
        <w:rPr>
          <w:sz w:val="20"/>
          <w:szCs w:val="20"/>
          <w:color w:val="auto"/>
        </w:rPr>
      </w:pPr>
    </w:p>
    <w:p>
      <w:pPr>
        <w:ind w:left="7080"/>
        <w:spacing w:after="0"/>
        <w:tabs>
          <w:tab w:leader="none" w:pos="7640" w:val="left"/>
        </w:tabs>
        <w:rPr>
          <w:sz w:val="20"/>
          <w:szCs w:val="20"/>
          <w:color w:val="auto"/>
        </w:rPr>
      </w:pPr>
      <w:r>
        <w:rPr>
          <w:rFonts w:ascii="Arial" w:cs="Arial" w:eastAsia="Arial" w:hAnsi="Arial"/>
          <w:sz w:val="18"/>
          <w:szCs w:val="18"/>
          <w:color w:val="auto"/>
        </w:rPr>
        <w:t>Title:</w:t>
        <w:tab/>
        <w:t>Associate</w:t>
      </w:r>
    </w:p>
    <w:p>
      <w:pPr>
        <w:spacing w:after="0" w:line="15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74" w:right="339" w:bottom="1440" w:gutter="0" w:footer="0" w:header="0"/>
        </w:sectPr>
      </w:pPr>
    </w:p>
    <w:bookmarkStart w:id="173" w:name="page174"/>
    <w:bookmarkEnd w:id="173"/>
    <w:p>
      <w:pPr>
        <w:ind w:left="6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Stifel Bank &amp; Trust,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147955</wp:posOffset>
            </wp:positionV>
            <wp:extent cx="2477135" cy="6686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7713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gridSpan w:val="2"/>
          </w:tcPr>
          <w:p>
            <w:pPr>
              <w:ind w:left="6760"/>
              <w:spacing w:after="0"/>
              <w:rPr>
                <w:sz w:val="20"/>
                <w:szCs w:val="20"/>
                <w:color w:val="auto"/>
              </w:rPr>
            </w:pPr>
            <w:r>
              <w:rPr>
                <w:rFonts w:ascii="Arial" w:cs="Arial" w:eastAsia="Arial" w:hAnsi="Arial"/>
                <w:sz w:val="18"/>
                <w:szCs w:val="18"/>
                <w:color w:val="auto"/>
              </w:rPr>
              <w:t>By:</w:t>
            </w:r>
          </w:p>
        </w:tc>
        <w:tc>
          <w:tcPr>
            <w:tcW w:w="3520" w:type="dxa"/>
            <w:vAlign w:val="bottom"/>
          </w:tcPr>
          <w:p>
            <w:pPr>
              <w:spacing w:after="0"/>
              <w:rPr>
                <w:sz w:val="17"/>
                <w:szCs w:val="17"/>
                <w:color w:val="auto"/>
              </w:rPr>
            </w:pPr>
          </w:p>
        </w:tc>
      </w:tr>
      <w:tr>
        <w:trPr>
          <w:trHeight w:val="215"/>
        </w:trPr>
        <w:tc>
          <w:tcPr>
            <w:tcW w:w="708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John D. Haffenreffer</w:t>
            </w:r>
          </w:p>
        </w:tc>
      </w:tr>
      <w:tr>
        <w:trPr>
          <w:trHeight w:val="222"/>
        </w:trPr>
        <w:tc>
          <w:tcPr>
            <w:tcW w:w="70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ind w:left="160"/>
              <w:spacing w:after="0"/>
              <w:rPr>
                <w:sz w:val="20"/>
                <w:szCs w:val="20"/>
                <w:color w:val="auto"/>
              </w:rPr>
            </w:pPr>
            <w:r>
              <w:rPr>
                <w:rFonts w:ascii="Arial" w:cs="Arial" w:eastAsia="Arial" w:hAnsi="Arial"/>
                <w:sz w:val="18"/>
                <w:szCs w:val="18"/>
                <w:color w:val="auto"/>
              </w:rPr>
              <w:t>President</w:t>
            </w:r>
          </w:p>
        </w:tc>
      </w:tr>
      <w:tr>
        <w:trPr>
          <w:trHeight w:val="364"/>
        </w:trPr>
        <w:tc>
          <w:tcPr>
            <w:tcW w:w="7080" w:type="dxa"/>
            <w:vAlign w:val="bottom"/>
          </w:tcPr>
          <w:p>
            <w:pPr>
              <w:jc w:val="right"/>
              <w:ind w:right="5452"/>
              <w:spacing w:after="0"/>
              <w:rPr>
                <w:sz w:val="20"/>
                <w:szCs w:val="20"/>
                <w:color w:val="auto"/>
              </w:rPr>
            </w:pPr>
            <w:r>
              <w:rPr>
                <w:rFonts w:ascii="Arial" w:cs="Arial" w:eastAsia="Arial" w:hAnsi="Arial"/>
                <w:sz w:val="18"/>
                <w:szCs w:val="18"/>
                <w:color w:val="auto"/>
                <w:w w:val="86"/>
              </w:rPr>
              <w:t>701007202 11262547</w:t>
            </w:r>
          </w:p>
        </w:tc>
        <w:tc>
          <w:tcPr>
            <w:tcW w:w="640" w:type="dxa"/>
            <w:vAlign w:val="bottom"/>
          </w:tcPr>
          <w:p>
            <w:pPr>
              <w:spacing w:after="0"/>
              <w:rPr>
                <w:sz w:val="24"/>
                <w:szCs w:val="24"/>
                <w:color w:val="auto"/>
              </w:rPr>
            </w:pPr>
          </w:p>
        </w:tc>
        <w:tc>
          <w:tcPr>
            <w:tcW w:w="3520" w:type="dxa"/>
            <w:vAlign w:val="bottom"/>
          </w:tcPr>
          <w:p>
            <w:pPr>
              <w:ind w:left="1540"/>
              <w:spacing w:after="0"/>
              <w:rPr>
                <w:sz w:val="20"/>
                <w:szCs w:val="20"/>
                <w:color w:val="auto"/>
              </w:rPr>
            </w:pPr>
            <w:r>
              <w:rPr>
                <w:rFonts w:ascii="Arial" w:cs="Arial" w:eastAsia="Arial" w:hAnsi="Arial"/>
                <w:sz w:val="18"/>
                <w:szCs w:val="18"/>
                <w:i w:val="1"/>
                <w:iCs w:val="1"/>
                <w:color w:val="auto"/>
                <w:w w:val="87"/>
              </w:rPr>
              <w:t>Revolving Credit Agreement</w:t>
            </w:r>
          </w:p>
        </w:tc>
      </w:tr>
    </w:tbl>
    <w:p>
      <w:pPr>
        <w:sectPr>
          <w:pgSz w:w="11900" w:h="16838" w:orient="portrait"/>
          <w:cols w:equalWidth="0" w:num="1">
            <w:col w:w="11240"/>
          </w:cols>
          <w:pgMar w:left="320" w:top="280" w:right="339" w:bottom="1440" w:gutter="0" w:footer="0" w:header="0"/>
        </w:sectPr>
      </w:pPr>
    </w:p>
    <w:bookmarkStart w:id="174" w:name="page175"/>
    <w:bookmarkEnd w:id="174"/>
    <w:p>
      <w:pPr>
        <w:ind w:left="6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Bank of New York Mellon</w:t>
      </w:r>
      <w:r>
        <w:rPr>
          <w:rFonts w:ascii="Arial" w:cs="Arial" w:eastAsia="Arial" w:hAnsi="Arial"/>
          <w:sz w:val="18"/>
          <w:szCs w:val="18"/>
          <w:color w:val="auto"/>
        </w:rPr>
        <w:t>, as a Lender</w:t>
      </w:r>
    </w:p>
    <w:p>
      <w:pPr>
        <w:spacing w:after="0" w:line="22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 xml:space="preserve">By: </w:t>
      </w:r>
      <w:r>
        <w:rPr>
          <w:sz w:val="1"/>
          <w:szCs w:val="1"/>
          <w:color w:val="auto"/>
        </w:rPr>
        <w:drawing>
          <wp:inline distT="0" distB="0" distL="0" distR="0">
            <wp:extent cx="1765935" cy="31686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65935" cy="31686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-15240</wp:posOffset>
            </wp:positionV>
            <wp:extent cx="26403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Name:  Jean Earley</w:t>
      </w:r>
    </w:p>
    <w:p>
      <w:pPr>
        <w:spacing w:after="0" w:line="9" w:lineRule="exact"/>
        <w:rPr>
          <w:sz w:val="20"/>
          <w:szCs w:val="20"/>
          <w:color w:val="auto"/>
        </w:rPr>
      </w:pPr>
    </w:p>
    <w:p>
      <w:pPr>
        <w:ind w:left="7080"/>
        <w:spacing w:after="0"/>
        <w:tabs>
          <w:tab w:leader="none" w:pos="764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701007202 11262547</w:t>
      </w:r>
      <w:r>
        <w:rPr>
          <w:sz w:val="20"/>
          <w:szCs w:val="20"/>
          <w:color w:val="auto"/>
        </w:rPr>
        <w:tab/>
      </w:r>
      <w:r>
        <w:rPr>
          <w:rFonts w:ascii="Arial" w:cs="Arial" w:eastAsia="Arial" w:hAnsi="Arial"/>
          <w:sz w:val="15"/>
          <w:szCs w:val="15"/>
          <w:i w:val="1"/>
          <w:iCs w:val="1"/>
          <w:color w:val="auto"/>
        </w:rPr>
        <w:t>Revolving Credit Agreement</w:t>
      </w:r>
    </w:p>
    <w:p>
      <w:pPr>
        <w:sectPr>
          <w:pgSz w:w="11900" w:h="16838" w:orient="portrait"/>
          <w:cols w:equalWidth="0" w:num="1">
            <w:col w:w="11240"/>
          </w:cols>
          <w:pgMar w:left="320" w:top="274" w:right="339" w:bottom="1440" w:gutter="0" w:footer="0" w:header="0"/>
        </w:sectPr>
      </w:pPr>
    </w:p>
    <w:bookmarkStart w:id="175" w:name="page176"/>
    <w:bookmarkEnd w:id="175"/>
    <w:p>
      <w:pPr>
        <w:jc w:val="center"/>
        <w:ind w:right="-11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1.01(a)</w:t>
      </w:r>
    </w:p>
    <w:p>
      <w:pPr>
        <w:spacing w:after="0" w:line="171"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u w:val="single" w:color="auto"/>
          <w:color w:val="auto"/>
        </w:rPr>
        <w:t>Approved Dealers and Approved Pricing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Approved Dealers:</w:t>
      </w:r>
    </w:p>
    <w:p>
      <w:pPr>
        <w:spacing w:after="0" w:line="225" w:lineRule="exact"/>
        <w:rPr>
          <w:sz w:val="20"/>
          <w:szCs w:val="20"/>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ABN</w:t>
      </w:r>
    </w:p>
    <w:p>
      <w:pPr>
        <w:spacing w:after="0" w:line="15"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Banc of America</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Bank of Montreal</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Barclays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BB&amp;T</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Bedrock Securities, LLC</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Cantor Fitzgerald &amp; Co.</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Capital Source</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Caylon/CL</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Chapdelaine &amp; Co.</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Churchill Financial</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CIBC</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Citigroup</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CommerzBank</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Credit Suisse/CSFB</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Deutsche Bank</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Dresdner</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Fortis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Friedman Billings Ramsey</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GE</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Gleacher &amp; Company</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Global Hunter Securities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Goldman Sachs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HSBC</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Imperial Capital</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ING</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Jefferies &amp; Company</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JP Morgan</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Keefe, Bruyette &amp; Woods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Knight Libertas LLC</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Lloyds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Madison Capital</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Merrill Lynch</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Miller Tabak</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Morgan Stanley</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New Star</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Oppenheimer</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Robert W. Baird &amp; Co.</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Royal Bank of Canada</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Royal Bank of Scotland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16981395.5.BUSINESS</w:t>
      </w:r>
    </w:p>
    <w:p>
      <w:pPr>
        <w:sectPr>
          <w:pgSz w:w="11900" w:h="16838" w:orient="portrait"/>
          <w:cols w:equalWidth="0" w:num="1">
            <w:col w:w="10139"/>
          </w:cols>
          <w:pgMar w:left="320" w:top="274" w:right="1440" w:bottom="1440" w:gutter="0" w:footer="0" w:header="0"/>
        </w:sectPr>
      </w:pPr>
    </w:p>
    <w:bookmarkStart w:id="176" w:name="page177"/>
    <w:bookmarkEnd w:id="176"/>
    <w:p>
      <w:pPr>
        <w:ind w:left="880" w:hanging="440"/>
        <w:spacing w:after="0"/>
        <w:tabs>
          <w:tab w:leader="none" w:pos="8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RW Pressprich</w:t>
      </w:r>
    </w:p>
    <w:p>
      <w:pPr>
        <w:spacing w:after="0" w:line="15" w:lineRule="exact"/>
        <w:rPr>
          <w:rFonts w:ascii="Arial" w:cs="Arial" w:eastAsia="Arial" w:hAnsi="Arial"/>
          <w:sz w:val="18"/>
          <w:szCs w:val="18"/>
          <w:color w:val="auto"/>
        </w:rPr>
      </w:pPr>
    </w:p>
    <w:p>
      <w:pPr>
        <w:ind w:left="880" w:hanging="440"/>
        <w:spacing w:after="0"/>
        <w:tabs>
          <w:tab w:leader="none" w:pos="8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Scotia</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SunTrust Robinson Humphrey</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Bank of New York</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Toronto Dominion</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UBS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Unicredit/ HVB</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VinsonForbes Capital LLC</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Wachovia</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Wells Fargo</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WestLB</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Approved Pricing Services:</w:t>
      </w:r>
    </w:p>
    <w:p>
      <w:pPr>
        <w:spacing w:after="0" w:line="225" w:lineRule="exact"/>
        <w:rPr>
          <w:sz w:val="20"/>
          <w:szCs w:val="20"/>
          <w:color w:val="auto"/>
        </w:rPr>
      </w:pPr>
    </w:p>
    <w:p>
      <w:pPr>
        <w:ind w:left="880" w:hanging="440"/>
        <w:spacing w:after="0"/>
        <w:tabs>
          <w:tab w:leader="none" w:pos="8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Bloomberg</w:t>
      </w:r>
    </w:p>
    <w:p>
      <w:pPr>
        <w:spacing w:after="0" w:line="15" w:lineRule="exact"/>
        <w:rPr>
          <w:rFonts w:ascii="Arial" w:cs="Arial" w:eastAsia="Arial" w:hAnsi="Arial"/>
          <w:sz w:val="18"/>
          <w:szCs w:val="18"/>
          <w:color w:val="auto"/>
        </w:rPr>
      </w:pPr>
    </w:p>
    <w:p>
      <w:pPr>
        <w:ind w:left="880" w:hanging="440"/>
        <w:spacing w:after="0"/>
        <w:tabs>
          <w:tab w:leader="none" w:pos="8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FT Interactive Data Corporation</w:t>
      </w:r>
    </w:p>
    <w:p>
      <w:pPr>
        <w:spacing w:after="0" w:line="32" w:lineRule="exact"/>
        <w:rPr>
          <w:rFonts w:ascii="Arial" w:cs="Arial" w:eastAsia="Arial" w:hAnsi="Arial"/>
          <w:sz w:val="16"/>
          <w:szCs w:val="16"/>
          <w:color w:val="auto"/>
        </w:rPr>
      </w:pPr>
    </w:p>
    <w:p>
      <w:pPr>
        <w:ind w:left="880" w:hanging="440"/>
        <w:spacing w:after="0"/>
        <w:tabs>
          <w:tab w:leader="none" w:pos="8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Loan Pricing Corporation</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Muller Data Corporation</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Markit Loan Pricing</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Valuation Research Corporation</w:t>
      </w:r>
    </w:p>
    <w:p>
      <w:pPr>
        <w:spacing w:after="0" w:line="32" w:lineRule="exact"/>
        <w:rPr>
          <w:rFonts w:ascii="Arial" w:cs="Arial" w:eastAsia="Arial" w:hAnsi="Arial"/>
          <w:sz w:val="16"/>
          <w:szCs w:val="16"/>
          <w:color w:val="auto"/>
        </w:rPr>
      </w:pPr>
    </w:p>
    <w:p>
      <w:pPr>
        <w:ind w:left="880" w:hanging="440"/>
        <w:spacing w:after="0"/>
        <w:tabs>
          <w:tab w:leader="none" w:pos="8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Murray Devine Valuation Advisers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16981395.5.BUSINESS</w:t>
      </w:r>
    </w:p>
    <w:p>
      <w:pPr>
        <w:sectPr>
          <w:pgSz w:w="11900" w:h="16838" w:orient="portrait"/>
          <w:cols w:equalWidth="0" w:num="1">
            <w:col w:w="10139"/>
          </w:cols>
          <w:pgMar w:left="320" w:top="280" w:right="1440" w:bottom="1440" w:gutter="0" w:footer="0" w:header="0"/>
        </w:sectPr>
      </w:pPr>
    </w:p>
    <w:bookmarkStart w:id="177" w:name="page178"/>
    <w:bookmarkEnd w:id="177"/>
    <w:p>
      <w:pPr>
        <w:jc w:val="center"/>
        <w:ind w:right="-8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1.01(b)</w:t>
      </w:r>
    </w:p>
    <w:p>
      <w:pPr>
        <w:spacing w:after="0" w:line="171" w:lineRule="exact"/>
        <w:rPr>
          <w:sz w:val="20"/>
          <w:szCs w:val="20"/>
          <w:color w:val="auto"/>
        </w:rPr>
      </w:pPr>
    </w:p>
    <w:p>
      <w:pPr>
        <w:jc w:val="center"/>
        <w:ind w:right="-899"/>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920" w:type="dxa"/>
            <w:vAlign w:val="bottom"/>
            <w:vMerge w:val="restart"/>
          </w:tcPr>
          <w:p>
            <w:pPr>
              <w:spacing w:after="0"/>
              <w:rPr>
                <w:sz w:val="20"/>
                <w:szCs w:val="20"/>
                <w:color w:val="auto"/>
              </w:rPr>
            </w:pPr>
            <w:r>
              <w:rPr>
                <w:rFonts w:ascii="Arial" w:cs="Arial" w:eastAsia="Arial" w:hAnsi="Arial"/>
                <w:sz w:val="13"/>
                <w:szCs w:val="13"/>
                <w:color w:val="auto"/>
                <w:w w:val="96"/>
              </w:rPr>
              <w:t>Name of Lender</w:t>
            </w:r>
          </w:p>
        </w:tc>
        <w:tc>
          <w:tcPr>
            <w:tcW w:w="4060" w:type="dxa"/>
            <w:vAlign w:val="bottom"/>
            <w:vMerge w:val="restart"/>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rPr>
              <w:t>Multicurrency</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tcBorders>
              <w:bottom w:val="single" w:sz="8" w:color="auto"/>
            </w:tcBorders>
            <w:vMerge w:val="continue"/>
          </w:tcPr>
          <w:p>
            <w:pPr>
              <w:spacing w:after="0"/>
              <w:rPr>
                <w:sz w:val="14"/>
                <w:szCs w:val="14"/>
                <w:color w:val="auto"/>
              </w:rPr>
            </w:pPr>
          </w:p>
        </w:tc>
        <w:tc>
          <w:tcPr>
            <w:tcW w:w="4060" w:type="dxa"/>
            <w:vAlign w:val="bottom"/>
            <w:vMerge w:val="continue"/>
          </w:tcPr>
          <w:p>
            <w:pPr>
              <w:spacing w:after="0"/>
              <w:rPr>
                <w:sz w:val="14"/>
                <w:szCs w:val="14"/>
                <w:color w:val="auto"/>
              </w:rPr>
            </w:pPr>
          </w:p>
        </w:tc>
        <w:tc>
          <w:tcPr>
            <w:tcW w:w="1520" w:type="dxa"/>
            <w:vAlign w:val="bottom"/>
            <w:gridSpan w:val="2"/>
          </w:tcPr>
          <w:p>
            <w:pPr>
              <w:spacing w:after="0" w:line="146" w:lineRule="exact"/>
              <w:rPr>
                <w:sz w:val="20"/>
                <w:szCs w:val="20"/>
                <w:color w:val="auto"/>
              </w:rPr>
            </w:pPr>
            <w:r>
              <w:rPr>
                <w:rFonts w:ascii="Arial" w:cs="Arial" w:eastAsia="Arial" w:hAnsi="Arial"/>
                <w:sz w:val="13"/>
                <w:szCs w:val="13"/>
                <w:color w:val="auto"/>
              </w:rPr>
              <w:t>Dollar Commitment</w:t>
            </w:r>
          </w:p>
        </w:tc>
        <w:tc>
          <w:tcPr>
            <w:tcW w:w="1180" w:type="dxa"/>
            <w:vAlign w:val="bottom"/>
          </w:tcPr>
          <w:p>
            <w:pPr>
              <w:jc w:val="center"/>
              <w:spacing w:after="0" w:line="146" w:lineRule="exact"/>
              <w:rPr>
                <w:sz w:val="20"/>
                <w:szCs w:val="20"/>
                <w:color w:val="auto"/>
              </w:rPr>
            </w:pPr>
            <w:r>
              <w:rPr>
                <w:rFonts w:ascii="Arial" w:cs="Arial" w:eastAsia="Arial" w:hAnsi="Arial"/>
                <w:sz w:val="13"/>
                <w:szCs w:val="13"/>
                <w:color w:val="auto"/>
                <w:w w:val="94"/>
              </w:rPr>
              <w:t>Commitment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w w:val="96"/>
              </w:rPr>
              <w:t>Total Commitment</w:t>
            </w: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SunTrust Bank</w:t>
            </w:r>
          </w:p>
        </w:tc>
        <w:tc>
          <w:tcPr>
            <w:tcW w:w="10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-$0-</w:t>
            </w:r>
          </w:p>
        </w:tc>
        <w:tc>
          <w:tcPr>
            <w:tcW w:w="4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$90,000,000</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JP Morgan Chase Bank, N.A.</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-$0-</w:t>
            </w:r>
          </w:p>
        </w:tc>
        <w:tc>
          <w:tcPr>
            <w:tcW w:w="4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$75,000,000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75,000,000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Bank, N.A.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$50,000,000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Goldman Sachs Bank USA</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-$0-</w:t>
            </w:r>
          </w:p>
        </w:tc>
        <w:tc>
          <w:tcPr>
            <w:tcW w:w="4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$35,000,000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35,000,000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Capital LLC</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$25,000,000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Everbank Commercial Finance</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$25,000,000</w:t>
            </w:r>
          </w:p>
        </w:tc>
        <w:tc>
          <w:tcPr>
            <w:tcW w:w="4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$20,000,000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Comerica Bank</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-$0-</w:t>
            </w:r>
          </w:p>
        </w:tc>
        <w:tc>
          <w:tcPr>
            <w:tcW w:w="4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$15,000,000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AG</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$15,000,000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Stifel Bank &amp; Trust</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$15,000,000</w:t>
            </w:r>
          </w:p>
        </w:tc>
        <w:tc>
          <w:tcPr>
            <w:tcW w:w="4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Bank of New York Mellon</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$15,000,000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322"/>
        </w:trPr>
        <w:tc>
          <w:tcPr>
            <w:tcW w:w="498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$40,000,000</w:t>
            </w:r>
          </w:p>
        </w:tc>
        <w:tc>
          <w:tcPr>
            <w:tcW w:w="4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$340,000,000.00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380,000,000.00</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16981395.5.BUSINESS</w:t>
      </w:r>
    </w:p>
    <w:p>
      <w:pPr>
        <w:sectPr>
          <w:pgSz w:w="11900" w:h="16838" w:orient="portrait"/>
          <w:cols w:equalWidth="0" w:num="1">
            <w:col w:w="10340"/>
          </w:cols>
          <w:pgMar w:left="320" w:top="274" w:right="12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340" w:type="dxa"/>
            <w:vAlign w:val="bottom"/>
            <w:gridSpan w:val="4"/>
          </w:tcPr>
          <w:p>
            <w:pPr>
              <w:ind w:left="680"/>
              <w:spacing w:after="0"/>
              <w:rPr>
                <w:sz w:val="20"/>
                <w:szCs w:val="20"/>
                <w:color w:val="auto"/>
              </w:rPr>
            </w:pPr>
            <w:r>
              <w:rPr>
                <w:rFonts w:ascii="Arial" w:cs="Arial" w:eastAsia="Arial" w:hAnsi="Arial"/>
                <w:sz w:val="18"/>
                <w:szCs w:val="18"/>
                <w:b w:val="1"/>
                <w:bCs w:val="1"/>
                <w:color w:val="auto"/>
              </w:rPr>
              <w:t>Schedule 1.01(c)</w:t>
            </w:r>
          </w:p>
        </w:tc>
        <w:tc>
          <w:tcPr>
            <w:tcW w:w="36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58"/>
        </w:trPr>
        <w:tc>
          <w:tcPr>
            <w:tcW w:w="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40" w:type="dxa"/>
            <w:vAlign w:val="bottom"/>
            <w:gridSpan w:val="4"/>
          </w:tcPr>
          <w:p>
            <w:pPr>
              <w:spacing w:after="0"/>
              <w:rPr>
                <w:sz w:val="20"/>
                <w:szCs w:val="20"/>
                <w:color w:val="auto"/>
              </w:rPr>
            </w:pPr>
            <w:r>
              <w:rPr>
                <w:rFonts w:ascii="Arial" w:cs="Arial" w:eastAsia="Arial" w:hAnsi="Arial"/>
                <w:sz w:val="18"/>
                <w:szCs w:val="18"/>
                <w:b w:val="1"/>
                <w:bCs w:val="1"/>
                <w:color w:val="auto"/>
              </w:rPr>
              <w:t>Industry Classification Group List</w:t>
            </w:r>
          </w:p>
        </w:tc>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37"/>
        </w:trPr>
        <w:tc>
          <w:tcPr>
            <w:tcW w:w="3640" w:type="dxa"/>
            <w:vAlign w:val="bottom"/>
            <w:gridSpan w:val="2"/>
          </w:tcPr>
          <w:p>
            <w:pPr>
              <w:spacing w:after="0"/>
              <w:rPr>
                <w:sz w:val="20"/>
                <w:szCs w:val="20"/>
                <w:color w:val="auto"/>
              </w:rPr>
            </w:pPr>
            <w:r>
              <w:rPr>
                <w:rFonts w:ascii="Arial" w:cs="Arial" w:eastAsia="Arial" w:hAnsi="Arial"/>
                <w:sz w:val="18"/>
                <w:szCs w:val="18"/>
                <w:color w:val="auto"/>
              </w:rPr>
              <w:t>Industry Classification Groups:</w:t>
            </w:r>
          </w:p>
        </w:tc>
        <w:tc>
          <w:tcPr>
            <w:tcW w:w="7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26"/>
        </w:trPr>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Aerospace and Defense</w:t>
            </w:r>
          </w:p>
        </w:tc>
        <w:tc>
          <w:tcPr>
            <w:tcW w:w="4040" w:type="dxa"/>
            <w:vAlign w:val="bottom"/>
            <w:gridSpan w:val="5"/>
          </w:tcPr>
          <w:p>
            <w:pPr>
              <w:ind w:left="540"/>
              <w:spacing w:after="0"/>
              <w:rPr>
                <w:sz w:val="20"/>
                <w:szCs w:val="20"/>
                <w:color w:val="auto"/>
              </w:rPr>
            </w:pPr>
            <w:r>
              <w:rPr>
                <w:rFonts w:ascii="Arial" w:cs="Arial" w:eastAsia="Arial" w:hAnsi="Arial"/>
                <w:sz w:val="18"/>
                <w:szCs w:val="18"/>
                <w:color w:val="auto"/>
              </w:rPr>
              <w:t>•   Diversified Natural Resources, Precious</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3160" w:type="dxa"/>
            <w:vAlign w:val="bottom"/>
          </w:tcPr>
          <w:p>
            <w:pPr>
              <w:ind w:left="120"/>
              <w:spacing w:after="0"/>
              <w:rPr>
                <w:sz w:val="20"/>
                <w:szCs w:val="20"/>
                <w:color w:val="auto"/>
              </w:rPr>
            </w:pPr>
            <w:r>
              <w:rPr>
                <w:rFonts w:ascii="Arial" w:cs="Arial" w:eastAsia="Arial" w:hAnsi="Arial"/>
                <w:sz w:val="18"/>
                <w:szCs w:val="18"/>
                <w:color w:val="auto"/>
              </w:rPr>
              <w:t>Machinery (Non-Agriculture, Non-</w:t>
            </w:r>
          </w:p>
        </w:tc>
      </w:tr>
      <w:tr>
        <w:trPr>
          <w:trHeight w:val="222"/>
        </w:trPr>
        <w:tc>
          <w:tcPr>
            <w:tcW w:w="7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340" w:type="dxa"/>
            <w:vAlign w:val="bottom"/>
            <w:gridSpan w:val="4"/>
          </w:tcPr>
          <w:p>
            <w:pPr>
              <w:ind w:left="160"/>
              <w:spacing w:after="0"/>
              <w:rPr>
                <w:sz w:val="20"/>
                <w:szCs w:val="20"/>
                <w:color w:val="auto"/>
              </w:rPr>
            </w:pPr>
            <w:r>
              <w:rPr>
                <w:rFonts w:ascii="Arial" w:cs="Arial" w:eastAsia="Arial" w:hAnsi="Arial"/>
                <w:sz w:val="18"/>
                <w:szCs w:val="18"/>
                <w:color w:val="auto"/>
              </w:rPr>
              <w:t>Metals and Minerals</w:t>
            </w:r>
          </w:p>
        </w:tc>
        <w:tc>
          <w:tcPr>
            <w:tcW w:w="360" w:type="dxa"/>
            <w:vAlign w:val="bottom"/>
          </w:tcPr>
          <w:p>
            <w:pPr>
              <w:spacing w:after="0"/>
              <w:rPr>
                <w:sz w:val="19"/>
                <w:szCs w:val="19"/>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Construction and Non-Electronic)</w:t>
            </w:r>
          </w:p>
        </w:tc>
      </w:tr>
      <w:tr>
        <w:trPr>
          <w:trHeight w:val="324"/>
        </w:trPr>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Auto sector</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340" w:type="dxa"/>
            <w:vAlign w:val="bottom"/>
            <w:gridSpan w:val="4"/>
          </w:tcPr>
          <w:p>
            <w:pPr>
              <w:ind w:left="120"/>
              <w:spacing w:after="0"/>
              <w:rPr>
                <w:sz w:val="20"/>
                <w:szCs w:val="20"/>
                <w:color w:val="auto"/>
              </w:rPr>
            </w:pPr>
            <w:r>
              <w:rPr>
                <w:rFonts w:ascii="Arial" w:cs="Arial" w:eastAsia="Arial" w:hAnsi="Arial"/>
                <w:sz w:val="18"/>
                <w:szCs w:val="18"/>
                <w:color w:val="auto"/>
              </w:rPr>
              <w:t>Ecological</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3160" w:type="dxa"/>
            <w:vAlign w:val="bottom"/>
          </w:tcPr>
          <w:p>
            <w:pPr>
              <w:ind w:left="120"/>
              <w:spacing w:after="0"/>
              <w:rPr>
                <w:sz w:val="20"/>
                <w:szCs w:val="20"/>
                <w:color w:val="auto"/>
              </w:rPr>
            </w:pPr>
            <w:r>
              <w:rPr>
                <w:rFonts w:ascii="Arial" w:cs="Arial" w:eastAsia="Arial" w:hAnsi="Arial"/>
                <w:sz w:val="18"/>
                <w:szCs w:val="18"/>
                <w:color w:val="auto"/>
              </w:rPr>
              <w:t>Manufacturing/ Basic industry</w:t>
            </w:r>
          </w:p>
        </w:tc>
      </w:tr>
      <w:tr>
        <w:trPr>
          <w:trHeight w:val="324"/>
        </w:trPr>
        <w:tc>
          <w:tcPr>
            <w:tcW w:w="3640" w:type="dxa"/>
            <w:vAlign w:val="bottom"/>
            <w:gridSpan w:val="2"/>
          </w:tcPr>
          <w:p>
            <w:pPr>
              <w:ind w:left="540"/>
              <w:spacing w:after="0"/>
              <w:rPr>
                <w:sz w:val="20"/>
                <w:szCs w:val="20"/>
                <w:color w:val="auto"/>
              </w:rPr>
            </w:pPr>
            <w:r>
              <w:rPr>
                <w:rFonts w:ascii="Arial" w:cs="Arial" w:eastAsia="Arial" w:hAnsi="Arial"/>
                <w:sz w:val="18"/>
                <w:szCs w:val="18"/>
                <w:color w:val="auto"/>
              </w:rPr>
              <w:t>•   Beverage, Food and Tobacco</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340" w:type="dxa"/>
            <w:vAlign w:val="bottom"/>
            <w:gridSpan w:val="4"/>
          </w:tcPr>
          <w:p>
            <w:pPr>
              <w:ind w:left="120"/>
              <w:spacing w:after="0"/>
              <w:rPr>
                <w:sz w:val="20"/>
                <w:szCs w:val="20"/>
                <w:color w:val="auto"/>
              </w:rPr>
            </w:pPr>
            <w:r>
              <w:rPr>
                <w:rFonts w:ascii="Arial" w:cs="Arial" w:eastAsia="Arial" w:hAnsi="Arial"/>
                <w:sz w:val="18"/>
                <w:szCs w:val="18"/>
                <w:color w:val="auto"/>
              </w:rPr>
              <w:t>Education</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3160" w:type="dxa"/>
            <w:vAlign w:val="bottom"/>
          </w:tcPr>
          <w:p>
            <w:pPr>
              <w:ind w:left="120"/>
              <w:spacing w:after="0"/>
              <w:rPr>
                <w:sz w:val="20"/>
                <w:szCs w:val="20"/>
                <w:color w:val="auto"/>
              </w:rPr>
            </w:pPr>
            <w:r>
              <w:rPr>
                <w:rFonts w:ascii="Arial" w:cs="Arial" w:eastAsia="Arial" w:hAnsi="Arial"/>
                <w:sz w:val="18"/>
                <w:szCs w:val="18"/>
                <w:color w:val="auto"/>
              </w:rPr>
              <w:t>Media</w:t>
            </w:r>
          </w:p>
        </w:tc>
      </w:tr>
      <w:tr>
        <w:trPr>
          <w:trHeight w:val="318"/>
        </w:trPr>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Broadcasting and entertainment</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340" w:type="dxa"/>
            <w:vAlign w:val="bottom"/>
            <w:gridSpan w:val="4"/>
          </w:tcPr>
          <w:p>
            <w:pPr>
              <w:ind w:left="120"/>
              <w:spacing w:after="0"/>
              <w:rPr>
                <w:sz w:val="20"/>
                <w:szCs w:val="20"/>
                <w:color w:val="auto"/>
              </w:rPr>
            </w:pPr>
            <w:r>
              <w:rPr>
                <w:rFonts w:ascii="Arial" w:cs="Arial" w:eastAsia="Arial" w:hAnsi="Arial"/>
                <w:sz w:val="18"/>
                <w:szCs w:val="18"/>
                <w:color w:val="auto"/>
              </w:rPr>
              <w:t>Electronics</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   Mining, Steel, Iron and Non-Precious</w:t>
            </w:r>
          </w:p>
        </w:tc>
      </w:tr>
      <w:tr>
        <w:trPr>
          <w:trHeight w:val="222"/>
        </w:trPr>
        <w:tc>
          <w:tcPr>
            <w:tcW w:w="7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Metals</w:t>
            </w:r>
          </w:p>
        </w:tc>
      </w:tr>
      <w:tr>
        <w:trPr>
          <w:trHeight w:val="324"/>
        </w:trPr>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Building materials</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340" w:type="dxa"/>
            <w:vAlign w:val="bottom"/>
            <w:gridSpan w:val="4"/>
          </w:tcPr>
          <w:p>
            <w:pPr>
              <w:ind w:left="120"/>
              <w:spacing w:after="0"/>
              <w:rPr>
                <w:sz w:val="20"/>
                <w:szCs w:val="20"/>
                <w:color w:val="auto"/>
              </w:rPr>
            </w:pPr>
            <w:r>
              <w:rPr>
                <w:rFonts w:ascii="Arial" w:cs="Arial" w:eastAsia="Arial" w:hAnsi="Arial"/>
                <w:sz w:val="18"/>
                <w:szCs w:val="18"/>
                <w:color w:val="auto"/>
              </w:rPr>
              <w:t>Energy/Utilities</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3160" w:type="dxa"/>
            <w:vAlign w:val="bottom"/>
          </w:tcPr>
          <w:p>
            <w:pPr>
              <w:ind w:left="120"/>
              <w:spacing w:after="0"/>
              <w:rPr>
                <w:sz w:val="20"/>
                <w:szCs w:val="20"/>
                <w:color w:val="auto"/>
              </w:rPr>
            </w:pPr>
            <w:r>
              <w:rPr>
                <w:rFonts w:ascii="Arial" w:cs="Arial" w:eastAsia="Arial" w:hAnsi="Arial"/>
                <w:sz w:val="18"/>
                <w:szCs w:val="18"/>
                <w:color w:val="auto"/>
              </w:rPr>
              <w:t>Oil and Gas</w:t>
            </w:r>
          </w:p>
        </w:tc>
      </w:tr>
      <w:tr>
        <w:trPr>
          <w:trHeight w:val="324"/>
        </w:trPr>
        <w:tc>
          <w:tcPr>
            <w:tcW w:w="3640" w:type="dxa"/>
            <w:vAlign w:val="bottom"/>
            <w:gridSpan w:val="2"/>
          </w:tcPr>
          <w:p>
            <w:pPr>
              <w:ind w:left="540"/>
              <w:spacing w:after="0"/>
              <w:rPr>
                <w:sz w:val="20"/>
                <w:szCs w:val="20"/>
                <w:color w:val="auto"/>
              </w:rPr>
            </w:pPr>
            <w:r>
              <w:rPr>
                <w:rFonts w:ascii="Arial" w:cs="Arial" w:eastAsia="Arial" w:hAnsi="Arial"/>
                <w:sz w:val="18"/>
                <w:szCs w:val="18"/>
                <w:color w:val="auto"/>
              </w:rPr>
              <w:t>•   Buildings and real estate</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340" w:type="dxa"/>
            <w:vAlign w:val="bottom"/>
            <w:gridSpan w:val="4"/>
          </w:tcPr>
          <w:p>
            <w:pPr>
              <w:ind w:left="120"/>
              <w:spacing w:after="0"/>
              <w:rPr>
                <w:sz w:val="20"/>
                <w:szCs w:val="20"/>
                <w:color w:val="auto"/>
              </w:rPr>
            </w:pPr>
            <w:r>
              <w:rPr>
                <w:rFonts w:ascii="Arial" w:cs="Arial" w:eastAsia="Arial" w:hAnsi="Arial"/>
                <w:sz w:val="18"/>
                <w:szCs w:val="18"/>
                <w:color w:val="auto"/>
              </w:rPr>
              <w:t>Environmental services</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3160" w:type="dxa"/>
            <w:vAlign w:val="bottom"/>
          </w:tcPr>
          <w:p>
            <w:pPr>
              <w:ind w:left="120"/>
              <w:spacing w:after="0"/>
              <w:rPr>
                <w:sz w:val="20"/>
                <w:szCs w:val="20"/>
                <w:color w:val="auto"/>
              </w:rPr>
            </w:pPr>
            <w:r>
              <w:rPr>
                <w:rFonts w:ascii="Arial" w:cs="Arial" w:eastAsia="Arial" w:hAnsi="Arial"/>
                <w:sz w:val="18"/>
                <w:szCs w:val="18"/>
                <w:color w:val="auto"/>
              </w:rPr>
              <w:t>Other Media</w:t>
            </w:r>
          </w:p>
        </w:tc>
      </w:tr>
      <w:tr>
        <w:trPr>
          <w:trHeight w:val="324"/>
        </w:trPr>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Business services</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340" w:type="dxa"/>
            <w:vAlign w:val="bottom"/>
            <w:gridSpan w:val="4"/>
          </w:tcPr>
          <w:p>
            <w:pPr>
              <w:ind w:left="120"/>
              <w:spacing w:after="0"/>
              <w:rPr>
                <w:sz w:val="20"/>
                <w:szCs w:val="20"/>
                <w:color w:val="auto"/>
              </w:rPr>
            </w:pPr>
            <w:r>
              <w:rPr>
                <w:rFonts w:ascii="Arial" w:cs="Arial" w:eastAsia="Arial" w:hAnsi="Arial"/>
                <w:sz w:val="18"/>
                <w:szCs w:val="18"/>
                <w:color w:val="auto"/>
              </w:rPr>
              <w:t>Farming and Agriculture</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3160" w:type="dxa"/>
            <w:vAlign w:val="bottom"/>
          </w:tcPr>
          <w:p>
            <w:pPr>
              <w:ind w:left="120"/>
              <w:spacing w:after="0"/>
              <w:rPr>
                <w:sz w:val="20"/>
                <w:szCs w:val="20"/>
                <w:color w:val="auto"/>
              </w:rPr>
            </w:pPr>
            <w:r>
              <w:rPr>
                <w:rFonts w:ascii="Arial" w:cs="Arial" w:eastAsia="Arial" w:hAnsi="Arial"/>
                <w:sz w:val="18"/>
                <w:szCs w:val="18"/>
                <w:color w:val="auto"/>
              </w:rPr>
              <w:t>Packaging</w:t>
            </w:r>
          </w:p>
        </w:tc>
      </w:tr>
      <w:tr>
        <w:trPr>
          <w:trHeight w:val="318"/>
        </w:trPr>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Cable television</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340" w:type="dxa"/>
            <w:vAlign w:val="bottom"/>
            <w:gridSpan w:val="4"/>
          </w:tcPr>
          <w:p>
            <w:pPr>
              <w:ind w:left="120"/>
              <w:spacing w:after="0"/>
              <w:rPr>
                <w:sz w:val="20"/>
                <w:szCs w:val="20"/>
                <w:color w:val="auto"/>
              </w:rPr>
            </w:pPr>
            <w:r>
              <w:rPr>
                <w:rFonts w:ascii="Arial" w:cs="Arial" w:eastAsia="Arial" w:hAnsi="Arial"/>
                <w:sz w:val="18"/>
                <w:szCs w:val="18"/>
                <w:color w:val="auto"/>
              </w:rPr>
              <w:t>Finance</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   Personal and Non-Durable Consumer</w:t>
            </w:r>
          </w:p>
        </w:tc>
      </w:tr>
      <w:tr>
        <w:trPr>
          <w:trHeight w:val="222"/>
        </w:trPr>
        <w:tc>
          <w:tcPr>
            <w:tcW w:w="7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Products (Manufacturing Only)</w:t>
            </w:r>
          </w:p>
        </w:tc>
      </w:tr>
      <w:tr>
        <w:trPr>
          <w:trHeight w:val="324"/>
        </w:trPr>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Cargo Transport</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340" w:type="dxa"/>
            <w:vAlign w:val="bottom"/>
            <w:gridSpan w:val="4"/>
          </w:tcPr>
          <w:p>
            <w:pPr>
              <w:ind w:left="120"/>
              <w:spacing w:after="0"/>
              <w:rPr>
                <w:sz w:val="20"/>
                <w:szCs w:val="20"/>
                <w:color w:val="auto"/>
              </w:rPr>
            </w:pPr>
            <w:r>
              <w:rPr>
                <w:rFonts w:ascii="Arial" w:cs="Arial" w:eastAsia="Arial" w:hAnsi="Arial"/>
                <w:sz w:val="18"/>
                <w:szCs w:val="18"/>
                <w:color w:val="auto"/>
              </w:rPr>
              <w:t>Financial services</w:t>
            </w: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w w:val="88"/>
              </w:rPr>
              <w:t>•   Personal, Food and Miscellaneous Services</w:t>
            </w:r>
          </w:p>
        </w:tc>
      </w:tr>
      <w:tr>
        <w:trPr>
          <w:trHeight w:val="324"/>
        </w:trPr>
        <w:tc>
          <w:tcPr>
            <w:tcW w:w="3640" w:type="dxa"/>
            <w:vAlign w:val="bottom"/>
            <w:gridSpan w:val="2"/>
          </w:tcPr>
          <w:p>
            <w:pPr>
              <w:ind w:left="540"/>
              <w:spacing w:after="0"/>
              <w:rPr>
                <w:sz w:val="20"/>
                <w:szCs w:val="20"/>
                <w:color w:val="auto"/>
              </w:rPr>
            </w:pPr>
            <w:r>
              <w:rPr>
                <w:rFonts w:ascii="Arial" w:cs="Arial" w:eastAsia="Arial" w:hAnsi="Arial"/>
                <w:sz w:val="18"/>
                <w:szCs w:val="18"/>
                <w:color w:val="auto"/>
              </w:rPr>
              <w:t>•   Chemicals, Plastics and Rubber</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340" w:type="dxa"/>
            <w:vAlign w:val="bottom"/>
            <w:gridSpan w:val="4"/>
          </w:tcPr>
          <w:p>
            <w:pPr>
              <w:ind w:left="120"/>
              <w:spacing w:after="0"/>
              <w:rPr>
                <w:sz w:val="20"/>
                <w:szCs w:val="20"/>
                <w:color w:val="auto"/>
              </w:rPr>
            </w:pPr>
            <w:r>
              <w:rPr>
                <w:rFonts w:ascii="Arial" w:cs="Arial" w:eastAsia="Arial" w:hAnsi="Arial"/>
                <w:sz w:val="18"/>
                <w:szCs w:val="18"/>
                <w:color w:val="auto"/>
              </w:rPr>
              <w:t>Food</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3160" w:type="dxa"/>
            <w:vAlign w:val="bottom"/>
          </w:tcPr>
          <w:p>
            <w:pPr>
              <w:ind w:left="120"/>
              <w:spacing w:after="0"/>
              <w:rPr>
                <w:sz w:val="20"/>
                <w:szCs w:val="20"/>
                <w:color w:val="auto"/>
              </w:rPr>
            </w:pPr>
            <w:r>
              <w:rPr>
                <w:rFonts w:ascii="Arial" w:cs="Arial" w:eastAsia="Arial" w:hAnsi="Arial"/>
                <w:sz w:val="18"/>
                <w:szCs w:val="18"/>
                <w:color w:val="auto"/>
              </w:rPr>
              <w:t>Personal Transportation</w:t>
            </w:r>
          </w:p>
        </w:tc>
      </w:tr>
      <w:tr>
        <w:trPr>
          <w:trHeight w:val="324"/>
        </w:trPr>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Communications</w:t>
            </w:r>
          </w:p>
        </w:tc>
        <w:tc>
          <w:tcPr>
            <w:tcW w:w="700" w:type="dxa"/>
            <w:vAlign w:val="bottom"/>
          </w:tcPr>
          <w:p>
            <w:pPr>
              <w:ind w:left="540"/>
              <w:spacing w:after="0"/>
              <w:rPr>
                <w:sz w:val="20"/>
                <w:szCs w:val="20"/>
                <w:color w:val="auto"/>
              </w:rPr>
            </w:pPr>
            <w:r>
              <w:rPr>
                <w:rFonts w:ascii="Arial" w:cs="Arial" w:eastAsia="Arial" w:hAnsi="Arial"/>
                <w:sz w:val="18"/>
                <w:szCs w:val="18"/>
                <w:color w:val="auto"/>
              </w:rPr>
              <w:t>•</w:t>
            </w:r>
          </w:p>
        </w:tc>
        <w:tc>
          <w:tcPr>
            <w:tcW w:w="3340" w:type="dxa"/>
            <w:vAlign w:val="bottom"/>
            <w:gridSpan w:val="4"/>
          </w:tcPr>
          <w:p>
            <w:pPr>
              <w:ind w:left="120"/>
              <w:spacing w:after="0"/>
              <w:rPr>
                <w:sz w:val="20"/>
                <w:szCs w:val="20"/>
                <w:color w:val="auto"/>
              </w:rPr>
            </w:pPr>
            <w:r>
              <w:rPr>
                <w:rFonts w:ascii="Arial" w:cs="Arial" w:eastAsia="Arial" w:hAnsi="Arial"/>
                <w:sz w:val="18"/>
                <w:szCs w:val="18"/>
                <w:color w:val="auto"/>
              </w:rPr>
              <w:t>Grocery</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3160" w:type="dxa"/>
            <w:vAlign w:val="bottom"/>
          </w:tcPr>
          <w:p>
            <w:pPr>
              <w:ind w:left="120"/>
              <w:spacing w:after="0"/>
              <w:rPr>
                <w:sz w:val="20"/>
                <w:szCs w:val="20"/>
                <w:color w:val="auto"/>
              </w:rPr>
            </w:pPr>
            <w:r>
              <w:rPr>
                <w:rFonts w:ascii="Arial" w:cs="Arial" w:eastAsia="Arial" w:hAnsi="Arial"/>
                <w:sz w:val="18"/>
                <w:szCs w:val="18"/>
                <w:color w:val="auto"/>
              </w:rPr>
              <w:t>Printing and Publishing</w:t>
            </w:r>
          </w:p>
        </w:tc>
      </w:tr>
      <w:tr>
        <w:trPr>
          <w:trHeight w:val="324"/>
        </w:trPr>
        <w:tc>
          <w:tcPr>
            <w:tcW w:w="3640" w:type="dxa"/>
            <w:vAlign w:val="bottom"/>
            <w:gridSpan w:val="2"/>
          </w:tcPr>
          <w:p>
            <w:pPr>
              <w:ind w:left="540"/>
              <w:spacing w:after="0"/>
              <w:rPr>
                <w:sz w:val="20"/>
                <w:szCs w:val="20"/>
                <w:color w:val="auto"/>
              </w:rPr>
            </w:pPr>
            <w:r>
              <w:rPr>
                <w:rFonts w:ascii="Arial" w:cs="Arial" w:eastAsia="Arial" w:hAnsi="Arial"/>
                <w:sz w:val="18"/>
                <w:szCs w:val="18"/>
                <w:color w:val="auto"/>
              </w:rPr>
              <w:t>•   Containers, packaging and glass</w:t>
            </w:r>
          </w:p>
        </w:tc>
        <w:tc>
          <w:tcPr>
            <w:tcW w:w="4040" w:type="dxa"/>
            <w:vAlign w:val="bottom"/>
            <w:gridSpan w:val="5"/>
          </w:tcPr>
          <w:p>
            <w:pPr>
              <w:ind w:left="540"/>
              <w:spacing w:after="0"/>
              <w:rPr>
                <w:sz w:val="20"/>
                <w:szCs w:val="20"/>
                <w:color w:val="auto"/>
              </w:rPr>
            </w:pPr>
            <w:r>
              <w:rPr>
                <w:rFonts w:ascii="Arial" w:cs="Arial" w:eastAsia="Arial" w:hAnsi="Arial"/>
                <w:sz w:val="18"/>
                <w:szCs w:val="18"/>
                <w:color w:val="auto"/>
              </w:rPr>
              <w:t>•   Healthcare, Education and Childcare</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3160" w:type="dxa"/>
            <w:vAlign w:val="bottom"/>
          </w:tcPr>
          <w:p>
            <w:pPr>
              <w:ind w:left="120"/>
              <w:spacing w:after="0"/>
              <w:rPr>
                <w:sz w:val="20"/>
                <w:szCs w:val="20"/>
                <w:color w:val="auto"/>
              </w:rPr>
            </w:pPr>
            <w:r>
              <w:rPr>
                <w:rFonts w:ascii="Arial" w:cs="Arial" w:eastAsia="Arial" w:hAnsi="Arial"/>
                <w:sz w:val="18"/>
                <w:szCs w:val="18"/>
                <w:color w:val="auto"/>
              </w:rPr>
              <w:t>Restaurants</w:t>
            </w:r>
          </w:p>
        </w:tc>
      </w:tr>
      <w:tr>
        <w:trPr>
          <w:trHeight w:val="318"/>
        </w:trPr>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Consumer products</w:t>
            </w:r>
          </w:p>
        </w:tc>
        <w:tc>
          <w:tcPr>
            <w:tcW w:w="4040" w:type="dxa"/>
            <w:vAlign w:val="bottom"/>
            <w:gridSpan w:val="5"/>
          </w:tcPr>
          <w:p>
            <w:pPr>
              <w:ind w:left="540"/>
              <w:spacing w:after="0"/>
              <w:rPr>
                <w:sz w:val="20"/>
                <w:szCs w:val="20"/>
                <w:color w:val="auto"/>
              </w:rPr>
            </w:pPr>
            <w:r>
              <w:rPr>
                <w:rFonts w:ascii="Arial" w:cs="Arial" w:eastAsia="Arial" w:hAnsi="Arial"/>
                <w:sz w:val="18"/>
                <w:szCs w:val="18"/>
                <w:color w:val="auto"/>
                <w:w w:val="95"/>
              </w:rPr>
              <w:t>•   Home and Office Furnishings, Housewares</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3160" w:type="dxa"/>
            <w:vAlign w:val="bottom"/>
          </w:tcPr>
          <w:p>
            <w:pPr>
              <w:ind w:left="120"/>
              <w:spacing w:after="0"/>
              <w:rPr>
                <w:sz w:val="20"/>
                <w:szCs w:val="20"/>
                <w:color w:val="auto"/>
              </w:rPr>
            </w:pPr>
            <w:r>
              <w:rPr>
                <w:rFonts w:ascii="Arial" w:cs="Arial" w:eastAsia="Arial" w:hAnsi="Arial"/>
                <w:sz w:val="18"/>
                <w:szCs w:val="18"/>
                <w:color w:val="auto"/>
              </w:rPr>
              <w:t>Retail</w:t>
            </w:r>
          </w:p>
        </w:tc>
      </w:tr>
      <w:tr>
        <w:trPr>
          <w:trHeight w:val="222"/>
        </w:trPr>
        <w:tc>
          <w:tcPr>
            <w:tcW w:w="7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340" w:type="dxa"/>
            <w:vAlign w:val="bottom"/>
            <w:gridSpan w:val="4"/>
          </w:tcPr>
          <w:p>
            <w:pPr>
              <w:ind w:left="160"/>
              <w:spacing w:after="0"/>
              <w:rPr>
                <w:sz w:val="20"/>
                <w:szCs w:val="20"/>
                <w:color w:val="auto"/>
              </w:rPr>
            </w:pPr>
            <w:r>
              <w:rPr>
                <w:rFonts w:ascii="Arial" w:cs="Arial" w:eastAsia="Arial" w:hAnsi="Arial"/>
                <w:sz w:val="18"/>
                <w:szCs w:val="18"/>
                <w:color w:val="auto"/>
              </w:rPr>
              <w:t>and Durable Consumer Products</w:t>
            </w:r>
          </w:p>
        </w:tc>
        <w:tc>
          <w:tcPr>
            <w:tcW w:w="36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16981395.5.BUSINESS</w:t>
      </w:r>
    </w:p>
    <w:p>
      <w:pPr>
        <w:sectPr>
          <w:pgSz w:w="11900" w:h="16838" w:orient="portrait"/>
          <w:cols w:equalWidth="0" w:num="1">
            <w:col w:w="11200"/>
          </w:cols>
          <w:pgMar w:left="320" w:top="257" w:right="379" w:bottom="1440" w:gutter="0" w:footer="0" w:header="0"/>
        </w:sectPr>
      </w:pPr>
    </w:p>
    <w:bookmarkStart w:id="179" w:name="page180"/>
    <w:bookmarkEnd w:id="179"/>
    <w:tbl>
      <w:tblPr>
        <w:tblLayout w:type="fixed"/>
        <w:tblInd w:w="54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100"/>
              <w:spacing w:after="0"/>
              <w:rPr>
                <w:sz w:val="20"/>
                <w:szCs w:val="20"/>
                <w:color w:val="auto"/>
              </w:rPr>
            </w:pPr>
            <w:r>
              <w:rPr>
                <w:rFonts w:ascii="Arial" w:cs="Arial" w:eastAsia="Arial" w:hAnsi="Arial"/>
                <w:sz w:val="18"/>
                <w:szCs w:val="18"/>
                <w:color w:val="auto"/>
              </w:rPr>
              <w:t>Distribution</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3160" w:type="dxa"/>
            <w:vAlign w:val="bottom"/>
          </w:tcPr>
          <w:p>
            <w:pPr>
              <w:ind w:left="100"/>
              <w:spacing w:after="0"/>
              <w:rPr>
                <w:sz w:val="20"/>
                <w:szCs w:val="20"/>
                <w:color w:val="auto"/>
              </w:rPr>
            </w:pPr>
            <w:r>
              <w:rPr>
                <w:rFonts w:ascii="Arial" w:cs="Arial" w:eastAsia="Arial" w:hAnsi="Arial"/>
                <w:sz w:val="18"/>
                <w:szCs w:val="18"/>
                <w:color w:val="auto"/>
              </w:rPr>
              <w:t>Homebuilding</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580" w:type="dxa"/>
            <w:vAlign w:val="bottom"/>
          </w:tcPr>
          <w:p>
            <w:pPr>
              <w:ind w:left="120"/>
              <w:spacing w:after="0"/>
              <w:rPr>
                <w:sz w:val="20"/>
                <w:szCs w:val="20"/>
                <w:color w:val="auto"/>
              </w:rPr>
            </w:pPr>
            <w:r>
              <w:rPr>
                <w:rFonts w:ascii="Arial" w:cs="Arial" w:eastAsia="Arial" w:hAnsi="Arial"/>
                <w:sz w:val="18"/>
                <w:szCs w:val="18"/>
                <w:color w:val="auto"/>
              </w:rPr>
              <w:t>Retail Store</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100"/>
              <w:spacing w:after="0"/>
              <w:rPr>
                <w:sz w:val="20"/>
                <w:szCs w:val="20"/>
                <w:color w:val="auto"/>
              </w:rPr>
            </w:pPr>
            <w:r>
              <w:rPr>
                <w:rFonts w:ascii="Arial" w:cs="Arial" w:eastAsia="Arial" w:hAnsi="Arial"/>
                <w:sz w:val="18"/>
                <w:szCs w:val="18"/>
                <w:color w:val="auto"/>
                <w:w w:val="96"/>
              </w:rPr>
              <w:t>Diversified/ Conglomerate Manufacturing</w:t>
            </w:r>
          </w:p>
        </w:tc>
        <w:tc>
          <w:tcPr>
            <w:tcW w:w="3540" w:type="dxa"/>
            <w:vAlign w:val="bottom"/>
            <w:gridSpan w:val="2"/>
          </w:tcPr>
          <w:p>
            <w:pPr>
              <w:ind w:left="200"/>
              <w:spacing w:after="0"/>
              <w:rPr>
                <w:sz w:val="20"/>
                <w:szCs w:val="20"/>
                <w:color w:val="auto"/>
              </w:rPr>
            </w:pPr>
            <w:r>
              <w:rPr>
                <w:rFonts w:ascii="Arial" w:cs="Arial" w:eastAsia="Arial" w:hAnsi="Arial"/>
                <w:sz w:val="18"/>
                <w:szCs w:val="18"/>
                <w:color w:val="auto"/>
              </w:rPr>
              <w:t>•   Hotels, Motels, Inns and Gaming</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580" w:type="dxa"/>
            <w:vAlign w:val="bottom"/>
          </w:tcPr>
          <w:p>
            <w:pPr>
              <w:ind w:left="120"/>
              <w:spacing w:after="0"/>
              <w:rPr>
                <w:sz w:val="20"/>
                <w:szCs w:val="20"/>
                <w:color w:val="auto"/>
              </w:rPr>
            </w:pPr>
            <w:r>
              <w:rPr>
                <w:rFonts w:ascii="Arial" w:cs="Arial" w:eastAsia="Arial" w:hAnsi="Arial"/>
                <w:sz w:val="18"/>
                <w:szCs w:val="18"/>
                <w:color w:val="auto"/>
                <w:w w:val="87"/>
              </w:rPr>
              <w:t>Telecommunications</w:t>
            </w:r>
          </w:p>
        </w:tc>
      </w:tr>
      <w:tr>
        <w:trPr>
          <w:trHeight w:val="31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100"/>
              <w:spacing w:after="0"/>
              <w:rPr>
                <w:sz w:val="20"/>
                <w:szCs w:val="20"/>
                <w:color w:val="auto"/>
              </w:rPr>
            </w:pPr>
            <w:r>
              <w:rPr>
                <w:rFonts w:ascii="Arial" w:cs="Arial" w:eastAsia="Arial" w:hAnsi="Arial"/>
                <w:sz w:val="18"/>
                <w:szCs w:val="18"/>
                <w:color w:val="auto"/>
              </w:rPr>
              <w:t>Diversified/ Conglomerate Service</w:t>
            </w:r>
          </w:p>
        </w:tc>
        <w:tc>
          <w:tcPr>
            <w:tcW w:w="3540" w:type="dxa"/>
            <w:vAlign w:val="bottom"/>
            <w:gridSpan w:val="2"/>
          </w:tcPr>
          <w:p>
            <w:pPr>
              <w:ind w:left="200"/>
              <w:spacing w:after="0"/>
              <w:rPr>
                <w:sz w:val="20"/>
                <w:szCs w:val="20"/>
                <w:color w:val="auto"/>
              </w:rPr>
            </w:pPr>
            <w:r>
              <w:rPr>
                <w:rFonts w:ascii="Arial" w:cs="Arial" w:eastAsia="Arial" w:hAnsi="Arial"/>
                <w:sz w:val="18"/>
                <w:szCs w:val="18"/>
                <w:color w:val="auto"/>
              </w:rPr>
              <w:t>•   Leisure, Amusement, Motion Pictures,</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2"/>
        </w:trPr>
        <w:tc>
          <w:tcPr>
            <w:tcW w:w="1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60" w:type="dxa"/>
            <w:vAlign w:val="bottom"/>
          </w:tcPr>
          <w:p>
            <w:pPr>
              <w:ind w:left="140"/>
              <w:spacing w:after="0"/>
              <w:rPr>
                <w:sz w:val="20"/>
                <w:szCs w:val="20"/>
                <w:color w:val="auto"/>
              </w:rPr>
            </w:pPr>
            <w:r>
              <w:rPr>
                <w:rFonts w:ascii="Arial" w:cs="Arial" w:eastAsia="Arial" w:hAnsi="Arial"/>
                <w:sz w:val="18"/>
                <w:szCs w:val="18"/>
                <w:color w:val="auto"/>
              </w:rPr>
              <w:t>Entertainment</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580" w:type="dxa"/>
            <w:vAlign w:val="bottom"/>
          </w:tcPr>
          <w:p>
            <w:pPr>
              <w:ind w:left="120"/>
              <w:spacing w:after="0"/>
              <w:rPr>
                <w:sz w:val="20"/>
                <w:szCs w:val="20"/>
                <w:color w:val="auto"/>
              </w:rPr>
            </w:pPr>
            <w:r>
              <w:rPr>
                <w:rFonts w:ascii="Arial" w:cs="Arial" w:eastAsia="Arial" w:hAnsi="Arial"/>
                <w:sz w:val="18"/>
                <w:szCs w:val="18"/>
                <w:color w:val="auto"/>
                <w:w w:val="88"/>
              </w:rPr>
              <w:t>Textiles and Leather</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100"/>
              <w:spacing w:after="0"/>
              <w:rPr>
                <w:sz w:val="20"/>
                <w:szCs w:val="20"/>
                <w:color w:val="auto"/>
              </w:rPr>
            </w:pPr>
            <w:r>
              <w:rPr>
                <w:rFonts w:ascii="Arial" w:cs="Arial" w:eastAsia="Arial" w:hAnsi="Arial"/>
                <w:sz w:val="18"/>
                <w:szCs w:val="18"/>
                <w:color w:val="auto"/>
              </w:rPr>
              <w:t>Utilities</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3160" w:type="dxa"/>
            <w:vAlign w:val="bottom"/>
          </w:tcPr>
          <w:p>
            <w:pPr>
              <w:ind w:left="100"/>
              <w:spacing w:after="0"/>
              <w:rPr>
                <w:sz w:val="20"/>
                <w:szCs w:val="20"/>
                <w:color w:val="auto"/>
              </w:rPr>
            </w:pPr>
            <w:r>
              <w:rPr>
                <w:rFonts w:ascii="Arial" w:cs="Arial" w:eastAsia="Arial" w:hAnsi="Arial"/>
                <w:sz w:val="18"/>
                <w:szCs w:val="18"/>
                <w:color w:val="auto"/>
              </w:rPr>
              <w:t>Lodging, Leisure, Resorts</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1580" w:type="dxa"/>
            <w:vAlign w:val="bottom"/>
          </w:tcPr>
          <w:p>
            <w:pPr>
              <w:ind w:left="120"/>
              <w:spacing w:after="0"/>
              <w:rPr>
                <w:sz w:val="20"/>
                <w:szCs w:val="20"/>
                <w:color w:val="auto"/>
              </w:rPr>
            </w:pPr>
            <w:r>
              <w:rPr>
                <w:rFonts w:ascii="Arial" w:cs="Arial" w:eastAsia="Arial" w:hAnsi="Arial"/>
                <w:sz w:val="18"/>
                <w:szCs w:val="18"/>
                <w:color w:val="auto"/>
              </w:rPr>
              <w:t>Transportation</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Additional Industry Classification Group Designated Pursuant to Section 5.12 as of the 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16981395.5.BUSINESS</w:t>
      </w:r>
    </w:p>
    <w:p>
      <w:pPr>
        <w:sectPr>
          <w:pgSz w:w="11900" w:h="16838" w:orient="portrait"/>
          <w:cols w:equalWidth="0" w:num="1">
            <w:col w:w="10139"/>
          </w:cols>
          <w:pgMar w:left="320" w:top="280" w:right="1440" w:bottom="1440" w:gutter="0" w:footer="0" w:header="0"/>
        </w:sectPr>
      </w:pPr>
    </w:p>
    <w:bookmarkStart w:id="180" w:name="page181"/>
    <w:bookmarkEnd w:id="180"/>
    <w:p>
      <w:pPr>
        <w:jc w:val="center"/>
        <w:ind w:right="-11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3.11</w:t>
      </w:r>
    </w:p>
    <w:p>
      <w:pPr>
        <w:spacing w:after="0" w:line="17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Material Agreements and Liens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Part 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 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Holdings of PennantPark SBIC LP which are pledged to the U.S. Government Small Business Administration.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American Surgical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Good Sam Enterprises,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Interactive Health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K2 Pure Solutions NoCal,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VPSI,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DirectBuy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Eureka Hunter Pipeline,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DiversiTech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JF Acquisition,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LTI Flexible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Veritext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AH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 Tech Holdings, Inc. Series A-1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Verde Parent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Magnum Hunter Resources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MidOcean JF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 Tech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VText Holdings, Inc.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16981395.5.BUSINESS</w:t>
      </w:r>
    </w:p>
    <w:p>
      <w:pPr>
        <w:sectPr>
          <w:pgSz w:w="11900" w:h="16838" w:orient="portrait"/>
          <w:cols w:equalWidth="0" w:num="1">
            <w:col w:w="10139"/>
          </w:cols>
          <w:pgMar w:left="320" w:top="274" w:right="1440" w:bottom="1440" w:gutter="0" w:footer="0" w:header="0"/>
        </w:sectPr>
      </w:pPr>
    </w:p>
    <w:bookmarkStart w:id="181" w:name="page182"/>
    <w:bookmarkEnd w:id="181"/>
    <w:p>
      <w:pPr>
        <w:jc w:val="center"/>
        <w:ind w:right="-1100"/>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3.12(a)</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PNNT Alabama Holdings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PNNT CI (GALLS) Prime Investment Holdings,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PNNT Transportation 100 Holdco,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SBIC GP,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SBIC 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16981395.5.BUSINESS</w:t>
      </w:r>
    </w:p>
    <w:p>
      <w:pPr>
        <w:sectPr>
          <w:pgSz w:w="11900" w:h="16838" w:orient="portrait"/>
          <w:cols w:equalWidth="0" w:num="1">
            <w:col w:w="10139"/>
          </w:cols>
          <w:pgMar w:left="320" w:top="274" w:right="1440" w:bottom="1440" w:gutter="0" w:footer="0" w:header="0"/>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 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797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AMERICAN SURGICAL HOLDINGS, INC.</w:t>
      </w:r>
    </w:p>
    <w:p>
      <w:pPr>
        <w:spacing w:after="0" w:line="123" w:lineRule="exact"/>
        <w:rPr>
          <w:sz w:val="20"/>
          <w:szCs w:val="20"/>
          <w:color w:val="auto"/>
        </w:rPr>
      </w:pPr>
    </w:p>
    <w:p>
      <w:pPr>
        <w:spacing w:after="0" w:line="375" w:lineRule="auto"/>
        <w:rPr>
          <w:sz w:val="20"/>
          <w:szCs w:val="20"/>
          <w:color w:val="auto"/>
        </w:rPr>
      </w:pPr>
      <w:r>
        <w:rPr>
          <w:rFonts w:ascii="Arial" w:cs="Arial" w:eastAsia="Arial" w:hAnsi="Arial"/>
          <w:sz w:val="18"/>
          <w:szCs w:val="18"/>
          <w:color w:val="auto"/>
        </w:rPr>
        <w:t>BRAND ENERGY &amp; INFRASTRUCTURE SERVICES, INC.2 CEVA GROUP PLC</w:t>
      </w:r>
    </w:p>
    <w:p>
      <w:pPr>
        <w:spacing w:after="0" w:line="1" w:lineRule="exact"/>
        <w:rPr>
          <w:sz w:val="20"/>
          <w:szCs w:val="20"/>
          <w:color w:val="auto"/>
        </w:rPr>
      </w:pPr>
    </w:p>
    <w:p>
      <w:pPr>
        <w:ind w:right="1340"/>
        <w:spacing w:after="0" w:line="375" w:lineRule="auto"/>
        <w:rPr>
          <w:sz w:val="20"/>
          <w:szCs w:val="20"/>
          <w:color w:val="auto"/>
        </w:rPr>
      </w:pPr>
      <w:r>
        <w:rPr>
          <w:rFonts w:ascii="Arial" w:cs="Arial" w:eastAsia="Arial" w:hAnsi="Arial"/>
          <w:sz w:val="18"/>
          <w:szCs w:val="18"/>
          <w:color w:val="auto"/>
        </w:rPr>
        <w:t>CHESTER DOWNS AND MARINA, LLC COLUMBUS INTERNATIONAL, INC. ENVIROSOLUTIONS, INC. (UNFUNDED) HANLEY-WOOD, L.L.C. INSTANT WEB,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JACUZZI BRANDS CORP.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K2 PURE SOLUTIONS NOCAL, L.P.</w:t>
      </w:r>
    </w:p>
    <w:p>
      <w:pPr>
        <w:spacing w:after="0" w:line="117" w:lineRule="exact"/>
        <w:rPr>
          <w:sz w:val="20"/>
          <w:szCs w:val="20"/>
          <w:color w:val="auto"/>
        </w:rPr>
      </w:pPr>
    </w:p>
    <w:p>
      <w:pPr>
        <w:ind w:right="700"/>
        <w:spacing w:after="0" w:line="397" w:lineRule="auto"/>
        <w:rPr>
          <w:sz w:val="20"/>
          <w:szCs w:val="20"/>
          <w:color w:val="auto"/>
        </w:rPr>
      </w:pPr>
      <w:r>
        <w:rPr>
          <w:rFonts w:ascii="Arial" w:cs="Arial" w:eastAsia="Arial" w:hAnsi="Arial"/>
          <w:sz w:val="18"/>
          <w:szCs w:val="18"/>
          <w:color w:val="auto"/>
        </w:rPr>
        <w:t>LEARNING CARE GROUP, INC. PRE-PAID LEGAL SERVICES, INC. - TRANCHE A PRE-PAID LEGAL SERVICES, INC -TRANCHE B 16981395.5.BUSINESS</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Arial" w:cs="Arial" w:eastAsia="Arial" w:hAnsi="Arial"/>
          <w:sz w:val="15"/>
          <w:szCs w:val="15"/>
          <w:b w:val="1"/>
          <w:bCs w:val="1"/>
          <w:u w:val="single" w:color="auto"/>
          <w:color w:val="auto"/>
        </w:rPr>
        <w:t>Schedule 3.12(b)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-194310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86" w:lineRule="exact"/>
        <w:rPr>
          <w:sz w:val="20"/>
          <w:szCs w:val="20"/>
          <w:color w:val="auto"/>
        </w:rPr>
      </w:pPr>
    </w:p>
    <w:p>
      <w:pPr>
        <w:jc w:val="center"/>
        <w:ind w:right="3120"/>
        <w:spacing w:after="0"/>
        <w:rPr>
          <w:sz w:val="20"/>
          <w:szCs w:val="20"/>
          <w:color w:val="auto"/>
        </w:rPr>
      </w:pPr>
      <w:r>
        <w:rPr>
          <w:rFonts w:ascii="Arial" w:cs="Arial" w:eastAsia="Arial" w:hAnsi="Arial"/>
          <w:sz w:val="18"/>
          <w:szCs w:val="18"/>
          <w:b w:val="1"/>
          <w:bCs w:val="1"/>
          <w:u w:val="single" w:color="auto"/>
          <w:color w:val="auto"/>
        </w:rPr>
        <w:t>Investments</w:t>
      </w:r>
    </w:p>
    <w:p>
      <w:pPr>
        <w:spacing w:after="0" w:line="213"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Person or Persons Holding</w:t>
      </w:r>
    </w:p>
    <w:p>
      <w:pPr>
        <w:spacing w:after="0" w:line="13"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6985</wp:posOffset>
            </wp:positionV>
            <wp:extent cx="22117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PENNANTPARK INVESTMENT CORP</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PENNANTPARK INVESTMENT CORP</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PENNANTPARK INVESTMENT CORP</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PENNANTPARK INVESTMENT CORP</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PENNANTPARK INVESTMENT CORP</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PENNANTPARK INVESTMENT CORP</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PENNANTPARK INVESTMENT CORP</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PENNANTPARK INVESTMENT CORP</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PENNANTPARK INVESTMENT CORP</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PENNANTPARK INVESTMENT CORP</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PENNANTPARK INVESTMENT CORP</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PENNANTPARK INVESTMENT CORP</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PENNANTPARK INVESTMENT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85" w:lineRule="auto"/>
        <w:rPr>
          <w:sz w:val="20"/>
          <w:szCs w:val="20"/>
          <w:color w:val="auto"/>
        </w:rPr>
      </w:pPr>
      <w:r>
        <w:rPr>
          <w:rFonts w:ascii="Arial" w:cs="Arial" w:eastAsia="Arial" w:hAnsi="Arial"/>
          <w:sz w:val="12"/>
          <w:szCs w:val="12"/>
          <w:b w:val="1"/>
          <w:bCs w:val="1"/>
          <w:color w:val="auto"/>
        </w:rPr>
        <w:t>Nature of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797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First Lien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First Lien</w:t>
      </w:r>
    </w:p>
    <w:p>
      <w:pPr>
        <w:sectPr>
          <w:pgSz w:w="11900" w:h="16838" w:orient="portrait"/>
          <w:cols w:equalWidth="0" w:num="3">
            <w:col w:w="4540" w:space="460"/>
            <w:col w:w="4360" w:space="660"/>
            <w:col w:w="760"/>
          </w:cols>
          <w:pgMar w:left="320" w:top="274" w:right="79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t>QUESTEX MEDIA GROUP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QUESTEX MEDIA GROUP LLC(UNFD)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KADMON PHARMACEUTICALS,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VPSI,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YONKERS RACING CORP.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SUTTONPARK HOLDINGS, INC.4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PENTON MEDIA (4.0% CASH / 1.0% PIK)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EUREKA HUNTER PIPELINE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RAM ENERGY RESOURCES</w:t>
      </w:r>
    </w:p>
    <w:p>
      <w:pPr>
        <w:spacing w:after="0" w:line="117" w:lineRule="exact"/>
        <w:rPr>
          <w:sz w:val="20"/>
          <w:szCs w:val="20"/>
          <w:color w:val="auto"/>
        </w:rPr>
      </w:pPr>
    </w:p>
    <w:p>
      <w:pPr>
        <w:ind w:right="2180"/>
        <w:spacing w:after="0" w:line="375" w:lineRule="auto"/>
        <w:rPr>
          <w:sz w:val="20"/>
          <w:szCs w:val="20"/>
          <w:color w:val="auto"/>
        </w:rPr>
      </w:pPr>
      <w:r>
        <w:rPr>
          <w:rFonts w:ascii="Arial" w:cs="Arial" w:eastAsia="Arial" w:hAnsi="Arial"/>
          <w:sz w:val="18"/>
          <w:szCs w:val="18"/>
          <w:color w:val="auto"/>
        </w:rPr>
        <w:t>GREATWIDE LOGISTICS SERVICES, L.L.C. QUESTEX MEDIA GROUP LLC - Term Loan B SHERIDAN HOLDINGS TRANSFIRST HOLDINGS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BRAND ENERGY and INFRASTRUCTURE SERVICES,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DIRECTBUY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ENVIROSOLUTIONS,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16981395.5.BUSINESS</w:t>
      </w:r>
    </w:p>
    <w:p>
      <w:pPr>
        <w:spacing w:after="0" w:line="20" w:lineRule="exact"/>
        <w:rPr>
          <w:sz w:val="20"/>
          <w:szCs w:val="20"/>
          <w:color w:val="auto"/>
        </w:rPr>
      </w:pPr>
      <w:r>
        <w:rPr>
          <w:sz w:val="20"/>
          <w:szCs w:val="20"/>
          <w:color w:val="auto"/>
        </w:rPr>
        <w:br w:type="column"/>
      </w:r>
    </w:p>
    <w:p>
      <w:pPr>
        <w:jc w:val="both"/>
        <w:spacing w:after="0" w:line="425" w:lineRule="auto"/>
        <w:rPr>
          <w:sz w:val="20"/>
          <w:szCs w:val="20"/>
          <w:color w:val="auto"/>
        </w:rPr>
      </w:pPr>
      <w:r>
        <w:rPr>
          <w:rFonts w:ascii="Arial" w:cs="Arial" w:eastAsia="Arial" w:hAnsi="Arial"/>
          <w:sz w:val="16"/>
          <w:szCs w:val="16"/>
          <w:color w:val="auto"/>
        </w:rPr>
        <w:t>PENNANTPARK INVESTMENT CORP PENNANTPARK INVESTMENT CORP PENNANTPARK INVESTMENT CORP PENNANTPARK INVESTMENT CORP PENNANTPARK INVESTMENT CORP PENNANTPARK INVESTMENT CORP PENNANTPARK INVESTMENT CORP PENNANTPARK INVESTMENT CORP PENNANTPARK INVESTMENT CORP PENNANTPARK INVESTMENT CORP PENNANTPARK INVESTMENT CORP PENNANTPARK INVESTMENT CORP PENNANTPARK INVESTMENT CORP PENNANTPARK INVESTMENT CORP PENNANTPARK INVESTMENT CORP PENNANTPARK INVESTMENT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-3398520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55" w:lineRule="auto"/>
        <w:rPr>
          <w:sz w:val="20"/>
          <w:szCs w:val="20"/>
          <w:color w:val="auto"/>
        </w:rPr>
      </w:pPr>
      <w:r>
        <w:rPr>
          <w:rFonts w:ascii="Arial" w:cs="Arial" w:eastAsia="Arial" w:hAnsi="Arial"/>
          <w:sz w:val="15"/>
          <w:szCs w:val="15"/>
          <w:color w:val="auto"/>
        </w:rPr>
        <w:t>First Lien First Lien First Lien First Lien First Lien First Lien Second Lien Second Lien Second Lien Second Lien Second Lien Second Lien Second Lien Second Lien Second Lien Second Lien</w:t>
      </w:r>
    </w:p>
    <w:p>
      <w:pPr>
        <w:sectPr>
          <w:pgSz w:w="11900" w:h="16838" w:orient="portrait"/>
          <w:cols w:equalWidth="0" w:num="3">
            <w:col w:w="5700" w:space="720"/>
            <w:col w:w="2940" w:space="660"/>
            <w:col w:w="880"/>
          </w:cols>
          <w:pgMar w:left="320" w:top="280" w:right="67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PERFORMANCE, INC.</w:t>
      </w:r>
    </w:p>
    <w:p>
      <w:pPr>
        <w:spacing w:after="0" w:line="117" w:lineRule="exact"/>
        <w:rPr>
          <w:sz w:val="20"/>
          <w:szCs w:val="20"/>
          <w:color w:val="auto"/>
        </w:rPr>
      </w:pPr>
    </w:p>
    <w:p>
      <w:pPr>
        <w:ind w:right="2180"/>
        <w:spacing w:after="0" w:line="375" w:lineRule="auto"/>
        <w:rPr>
          <w:sz w:val="20"/>
          <w:szCs w:val="20"/>
          <w:color w:val="auto"/>
        </w:rPr>
      </w:pPr>
      <w:r>
        <w:rPr>
          <w:rFonts w:ascii="Arial" w:cs="Arial" w:eastAsia="Arial" w:hAnsi="Arial"/>
          <w:sz w:val="18"/>
          <w:szCs w:val="18"/>
          <w:color w:val="auto"/>
        </w:rPr>
        <w:t>QUESTEX MEDIA GROUP LLC - Term Loan A REALOGY CORP. 2ND LIEN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ROC FINANCE LLC AND ROC FINANCE 1 CORP.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ESCORT, INC.</w:t>
      </w:r>
    </w:p>
    <w:p>
      <w:pPr>
        <w:spacing w:after="0" w:line="20" w:lineRule="exact"/>
        <w:rPr>
          <w:sz w:val="20"/>
          <w:szCs w:val="20"/>
          <w:color w:val="auto"/>
        </w:rPr>
      </w:pPr>
      <w:r>
        <w:rPr>
          <w:sz w:val="20"/>
          <w:szCs w:val="20"/>
          <w:color w:val="auto"/>
        </w:rPr>
        <w:br w:type="column"/>
      </w:r>
    </w:p>
    <w:p>
      <w:pPr>
        <w:spacing w:after="0"/>
        <w:tabs>
          <w:tab w:leader="none" w:pos="3580" w:val="left"/>
        </w:tabs>
        <w:rPr>
          <w:sz w:val="20"/>
          <w:szCs w:val="20"/>
          <w:color w:val="auto"/>
        </w:rPr>
      </w:pPr>
      <w:r>
        <w:rPr>
          <w:rFonts w:ascii="Arial" w:cs="Arial" w:eastAsia="Arial" w:hAnsi="Arial"/>
          <w:sz w:val="18"/>
          <w:szCs w:val="18"/>
          <w:color w:val="auto"/>
        </w:rPr>
        <w:t>PENNANTPARK INVESTMENT CORP</w:t>
      </w:r>
      <w:r>
        <w:rPr>
          <w:sz w:val="20"/>
          <w:szCs w:val="20"/>
          <w:color w:val="auto"/>
        </w:rPr>
        <w:tab/>
      </w:r>
      <w:r>
        <w:rPr>
          <w:rFonts w:ascii="Arial" w:cs="Arial" w:eastAsia="Arial" w:hAnsi="Arial"/>
          <w:sz w:val="15"/>
          <w:szCs w:val="15"/>
          <w:color w:val="auto"/>
        </w:rPr>
        <w:t>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-219710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97"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color w:val="auto"/>
        </w:rPr>
        <w:t>PENNANTPARK INVESTMENT CORP</w:t>
      </w:r>
      <w:r>
        <w:rPr>
          <w:sz w:val="20"/>
          <w:szCs w:val="20"/>
          <w:color w:val="auto"/>
        </w:rPr>
        <w:tab/>
      </w:r>
      <w:r>
        <w:rPr>
          <w:rFonts w:ascii="Arial" w:cs="Arial" w:eastAsia="Arial" w:hAnsi="Arial"/>
          <w:sz w:val="15"/>
          <w:szCs w:val="15"/>
          <w:color w:val="auto"/>
        </w:rPr>
        <w:t>Second Lien</w:t>
      </w:r>
    </w:p>
    <w:p>
      <w:pPr>
        <w:spacing w:after="0" w:line="117"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color w:val="auto"/>
        </w:rPr>
        <w:t>PENNANTPARK INVESTMENT CORP</w:t>
      </w:r>
      <w:r>
        <w:rPr>
          <w:sz w:val="20"/>
          <w:szCs w:val="20"/>
          <w:color w:val="auto"/>
        </w:rPr>
        <w:tab/>
      </w:r>
      <w:r>
        <w:rPr>
          <w:rFonts w:ascii="Arial" w:cs="Arial" w:eastAsia="Arial" w:hAnsi="Arial"/>
          <w:sz w:val="15"/>
          <w:szCs w:val="15"/>
          <w:color w:val="auto"/>
        </w:rPr>
        <w:t>Second Lien</w:t>
      </w:r>
    </w:p>
    <w:p>
      <w:pPr>
        <w:spacing w:after="0" w:line="117"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color w:val="auto"/>
        </w:rPr>
        <w:t>PENNANTPARK INVESTMENT CORP</w:t>
      </w:r>
      <w:r>
        <w:rPr>
          <w:sz w:val="20"/>
          <w:szCs w:val="20"/>
          <w:color w:val="auto"/>
        </w:rPr>
        <w:tab/>
      </w:r>
      <w:r>
        <w:rPr>
          <w:rFonts w:ascii="Arial" w:cs="Arial" w:eastAsia="Arial" w:hAnsi="Arial"/>
          <w:sz w:val="15"/>
          <w:szCs w:val="15"/>
          <w:color w:val="auto"/>
        </w:rPr>
        <w:t>Second Lien</w:t>
      </w:r>
    </w:p>
    <w:p>
      <w:pPr>
        <w:spacing w:after="0" w:line="117"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color w:val="auto"/>
        </w:rPr>
        <w:t>PENNANTPARK INVESTMENT CORP</w:t>
      </w:r>
      <w:r>
        <w:rPr>
          <w:sz w:val="20"/>
          <w:szCs w:val="20"/>
          <w:color w:val="auto"/>
        </w:rPr>
        <w:tab/>
      </w:r>
      <w:r>
        <w:rPr>
          <w:rFonts w:ascii="Arial" w:cs="Arial" w:eastAsia="Arial" w:hAnsi="Arial"/>
          <w:sz w:val="15"/>
          <w:szCs w:val="15"/>
          <w:color w:val="auto"/>
        </w:rPr>
        <w:t>Subordinate</w:t>
      </w:r>
    </w:p>
    <w:p>
      <w:pPr>
        <w:spacing w:after="0" w:line="1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Debt</w:t>
      </w:r>
    </w:p>
    <w:p>
      <w:pPr>
        <w:spacing w:after="0" w:line="111" w:lineRule="exact"/>
        <w:rPr>
          <w:sz w:val="20"/>
          <w:szCs w:val="20"/>
          <w:color w:val="auto"/>
        </w:rPr>
      </w:pPr>
    </w:p>
    <w:p>
      <w:pPr>
        <w:sectPr>
          <w:pgSz w:w="11900" w:h="16838" w:orient="portrait"/>
          <w:cols w:equalWidth="0" w:num="2">
            <w:col w:w="5700" w:space="720"/>
            <w:col w:w="4480"/>
          </w:cols>
          <w:pgMar w:left="320" w:top="280" w:right="679" w:bottom="1440" w:gutter="0" w:footer="0" w:header="0"/>
        </w:sect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LAST MILE FUNDING CORP. (3PD, INC.)</w:t>
            </w:r>
          </w:p>
        </w:tc>
        <w:tc>
          <w:tcPr>
            <w:tcW w:w="4880" w:type="dxa"/>
            <w:vAlign w:val="bottom"/>
          </w:tcPr>
          <w:p>
            <w:pPr>
              <w:ind w:left="1620"/>
              <w:spacing w:after="0"/>
              <w:rPr>
                <w:sz w:val="20"/>
                <w:szCs w:val="20"/>
                <w:color w:val="auto"/>
              </w:rPr>
            </w:pPr>
            <w:r>
              <w:rPr>
                <w:rFonts w:ascii="Arial" w:cs="Arial" w:eastAsia="Arial" w:hAnsi="Arial"/>
                <w:sz w:val="18"/>
                <w:szCs w:val="18"/>
                <w:color w:val="auto"/>
              </w:rPr>
              <w:t>PENNANTPARK INVESTMENT CORP</w:t>
            </w:r>
          </w:p>
        </w:tc>
        <w:tc>
          <w:tcPr>
            <w:tcW w:w="1180" w:type="dxa"/>
            <w:vAlign w:val="bottom"/>
          </w:tcPr>
          <w:p>
            <w:pPr>
              <w:ind w:left="340"/>
              <w:spacing w:after="0"/>
              <w:rPr>
                <w:sz w:val="20"/>
                <w:szCs w:val="20"/>
                <w:color w:val="auto"/>
              </w:rPr>
            </w:pPr>
            <w:r>
              <w:rPr>
                <w:rFonts w:ascii="Arial" w:cs="Arial" w:eastAsia="Arial" w:hAnsi="Arial"/>
                <w:sz w:val="18"/>
                <w:szCs w:val="18"/>
                <w:color w:val="auto"/>
                <w:w w:val="84"/>
              </w:rPr>
              <w:t>Subordinate</w:t>
            </w:r>
          </w:p>
        </w:tc>
      </w:tr>
      <w:tr>
        <w:trPr>
          <w:trHeight w:val="222"/>
        </w:trPr>
        <w:tc>
          <w:tcPr>
            <w:tcW w:w="48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Debt</w:t>
            </w:r>
          </w:p>
        </w:tc>
      </w:tr>
      <w:tr>
        <w:trPr>
          <w:trHeight w:val="318"/>
        </w:trPr>
        <w:tc>
          <w:tcPr>
            <w:tcW w:w="4800" w:type="dxa"/>
            <w:vAlign w:val="bottom"/>
          </w:tcPr>
          <w:p>
            <w:pPr>
              <w:spacing w:after="0"/>
              <w:rPr>
                <w:sz w:val="20"/>
                <w:szCs w:val="20"/>
                <w:color w:val="auto"/>
              </w:rPr>
            </w:pPr>
            <w:r>
              <w:rPr>
                <w:rFonts w:ascii="Arial" w:cs="Arial" w:eastAsia="Arial" w:hAnsi="Arial"/>
                <w:sz w:val="18"/>
                <w:szCs w:val="18"/>
                <w:color w:val="auto"/>
              </w:rPr>
              <w:t>LTI FLEXIBLE PRODUCTS, INC.</w:t>
            </w:r>
          </w:p>
        </w:tc>
        <w:tc>
          <w:tcPr>
            <w:tcW w:w="4880" w:type="dxa"/>
            <w:vAlign w:val="bottom"/>
          </w:tcPr>
          <w:p>
            <w:pPr>
              <w:ind w:left="1620"/>
              <w:spacing w:after="0"/>
              <w:rPr>
                <w:sz w:val="20"/>
                <w:szCs w:val="20"/>
                <w:color w:val="auto"/>
              </w:rPr>
            </w:pPr>
            <w:r>
              <w:rPr>
                <w:rFonts w:ascii="Arial" w:cs="Arial" w:eastAsia="Arial" w:hAnsi="Arial"/>
                <w:sz w:val="18"/>
                <w:szCs w:val="18"/>
                <w:color w:val="auto"/>
              </w:rPr>
              <w:t>PENNANTPARK INVESTMENT CORP</w:t>
            </w:r>
          </w:p>
        </w:tc>
        <w:tc>
          <w:tcPr>
            <w:tcW w:w="1180" w:type="dxa"/>
            <w:vAlign w:val="bottom"/>
          </w:tcPr>
          <w:p>
            <w:pPr>
              <w:ind w:left="340"/>
              <w:spacing w:after="0"/>
              <w:rPr>
                <w:sz w:val="20"/>
                <w:szCs w:val="20"/>
                <w:color w:val="auto"/>
              </w:rPr>
            </w:pPr>
            <w:r>
              <w:rPr>
                <w:rFonts w:ascii="Arial" w:cs="Arial" w:eastAsia="Arial" w:hAnsi="Arial"/>
                <w:sz w:val="18"/>
                <w:szCs w:val="18"/>
                <w:color w:val="auto"/>
                <w:w w:val="84"/>
              </w:rPr>
              <w:t>Subordinate</w:t>
            </w:r>
          </w:p>
        </w:tc>
      </w:tr>
      <w:tr>
        <w:trPr>
          <w:trHeight w:val="222"/>
        </w:trPr>
        <w:tc>
          <w:tcPr>
            <w:tcW w:w="48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Debt</w:t>
            </w:r>
          </w:p>
        </w:tc>
      </w:tr>
      <w:tr>
        <w:trPr>
          <w:trHeight w:val="318"/>
        </w:trPr>
        <w:tc>
          <w:tcPr>
            <w:tcW w:w="4800" w:type="dxa"/>
            <w:vAlign w:val="bottom"/>
          </w:tcPr>
          <w:p>
            <w:pPr>
              <w:spacing w:after="0"/>
              <w:rPr>
                <w:sz w:val="20"/>
                <w:szCs w:val="20"/>
                <w:color w:val="auto"/>
              </w:rPr>
            </w:pPr>
            <w:r>
              <w:rPr>
                <w:rFonts w:ascii="Arial" w:cs="Arial" w:eastAsia="Arial" w:hAnsi="Arial"/>
                <w:sz w:val="18"/>
                <w:szCs w:val="18"/>
                <w:color w:val="auto"/>
              </w:rPr>
              <w:t>MAILSOUTH, INC.</w:t>
            </w:r>
          </w:p>
        </w:tc>
        <w:tc>
          <w:tcPr>
            <w:tcW w:w="4880" w:type="dxa"/>
            <w:vAlign w:val="bottom"/>
          </w:tcPr>
          <w:p>
            <w:pPr>
              <w:ind w:left="1620"/>
              <w:spacing w:after="0"/>
              <w:rPr>
                <w:sz w:val="20"/>
                <w:szCs w:val="20"/>
                <w:color w:val="auto"/>
              </w:rPr>
            </w:pPr>
            <w:r>
              <w:rPr>
                <w:rFonts w:ascii="Arial" w:cs="Arial" w:eastAsia="Arial" w:hAnsi="Arial"/>
                <w:sz w:val="18"/>
                <w:szCs w:val="18"/>
                <w:color w:val="auto"/>
              </w:rPr>
              <w:t>PENNANTPARK INVESTMENT CORP</w:t>
            </w:r>
          </w:p>
        </w:tc>
        <w:tc>
          <w:tcPr>
            <w:tcW w:w="1180" w:type="dxa"/>
            <w:vAlign w:val="bottom"/>
          </w:tcPr>
          <w:p>
            <w:pPr>
              <w:ind w:left="340"/>
              <w:spacing w:after="0"/>
              <w:rPr>
                <w:sz w:val="20"/>
                <w:szCs w:val="20"/>
                <w:color w:val="auto"/>
              </w:rPr>
            </w:pPr>
            <w:r>
              <w:rPr>
                <w:rFonts w:ascii="Arial" w:cs="Arial" w:eastAsia="Arial" w:hAnsi="Arial"/>
                <w:sz w:val="18"/>
                <w:szCs w:val="18"/>
                <w:color w:val="auto"/>
                <w:w w:val="84"/>
              </w:rPr>
              <w:t>Subordinate</w:t>
            </w:r>
          </w:p>
        </w:tc>
      </w:tr>
      <w:tr>
        <w:trPr>
          <w:trHeight w:val="222"/>
        </w:trPr>
        <w:tc>
          <w:tcPr>
            <w:tcW w:w="48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Debt</w:t>
            </w:r>
          </w:p>
        </w:tc>
      </w:tr>
      <w:tr>
        <w:trPr>
          <w:trHeight w:val="318"/>
        </w:trPr>
        <w:tc>
          <w:tcPr>
            <w:tcW w:w="4800" w:type="dxa"/>
            <w:vAlign w:val="bottom"/>
          </w:tcPr>
          <w:p>
            <w:pPr>
              <w:spacing w:after="0"/>
              <w:rPr>
                <w:sz w:val="20"/>
                <w:szCs w:val="20"/>
                <w:color w:val="auto"/>
              </w:rPr>
            </w:pPr>
            <w:r>
              <w:rPr>
                <w:rFonts w:ascii="Arial" w:cs="Arial" w:eastAsia="Arial" w:hAnsi="Arial"/>
                <w:sz w:val="18"/>
                <w:szCs w:val="18"/>
                <w:color w:val="auto"/>
              </w:rPr>
              <w:t>MEDQUIST, INC.</w:t>
            </w:r>
          </w:p>
        </w:tc>
        <w:tc>
          <w:tcPr>
            <w:tcW w:w="4880" w:type="dxa"/>
            <w:vAlign w:val="bottom"/>
          </w:tcPr>
          <w:p>
            <w:pPr>
              <w:ind w:left="1620"/>
              <w:spacing w:after="0"/>
              <w:rPr>
                <w:sz w:val="20"/>
                <w:szCs w:val="20"/>
                <w:color w:val="auto"/>
              </w:rPr>
            </w:pPr>
            <w:r>
              <w:rPr>
                <w:rFonts w:ascii="Arial" w:cs="Arial" w:eastAsia="Arial" w:hAnsi="Arial"/>
                <w:sz w:val="18"/>
                <w:szCs w:val="18"/>
                <w:color w:val="auto"/>
              </w:rPr>
              <w:t>PENNANTPARK INVESTMENT CORP</w:t>
            </w:r>
          </w:p>
        </w:tc>
        <w:tc>
          <w:tcPr>
            <w:tcW w:w="1180" w:type="dxa"/>
            <w:vAlign w:val="bottom"/>
          </w:tcPr>
          <w:p>
            <w:pPr>
              <w:ind w:left="340"/>
              <w:spacing w:after="0"/>
              <w:rPr>
                <w:sz w:val="20"/>
                <w:szCs w:val="20"/>
                <w:color w:val="auto"/>
              </w:rPr>
            </w:pPr>
            <w:r>
              <w:rPr>
                <w:rFonts w:ascii="Arial" w:cs="Arial" w:eastAsia="Arial" w:hAnsi="Arial"/>
                <w:sz w:val="18"/>
                <w:szCs w:val="18"/>
                <w:color w:val="auto"/>
                <w:w w:val="84"/>
              </w:rPr>
              <w:t>Subordinate</w:t>
            </w:r>
          </w:p>
        </w:tc>
      </w:tr>
      <w:tr>
        <w:trPr>
          <w:trHeight w:val="222"/>
        </w:trPr>
        <w:tc>
          <w:tcPr>
            <w:tcW w:w="48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Debt</w:t>
            </w:r>
          </w:p>
        </w:tc>
      </w:tr>
      <w:tr>
        <w:trPr>
          <w:trHeight w:val="318"/>
        </w:trPr>
        <w:tc>
          <w:tcPr>
            <w:tcW w:w="4800" w:type="dxa"/>
            <w:vAlign w:val="bottom"/>
          </w:tcPr>
          <w:p>
            <w:pPr>
              <w:spacing w:after="0"/>
              <w:rPr>
                <w:sz w:val="20"/>
                <w:szCs w:val="20"/>
                <w:color w:val="auto"/>
              </w:rPr>
            </w:pPr>
            <w:r>
              <w:rPr>
                <w:rFonts w:ascii="Arial" w:cs="Arial" w:eastAsia="Arial" w:hAnsi="Arial"/>
                <w:sz w:val="18"/>
                <w:szCs w:val="18"/>
                <w:color w:val="auto"/>
              </w:rPr>
              <w:t>PAS TECHNOLOGIES, INC.</w:t>
            </w:r>
          </w:p>
        </w:tc>
        <w:tc>
          <w:tcPr>
            <w:tcW w:w="4880" w:type="dxa"/>
            <w:vAlign w:val="bottom"/>
          </w:tcPr>
          <w:p>
            <w:pPr>
              <w:ind w:left="1620"/>
              <w:spacing w:after="0"/>
              <w:rPr>
                <w:sz w:val="20"/>
                <w:szCs w:val="20"/>
                <w:color w:val="auto"/>
              </w:rPr>
            </w:pPr>
            <w:r>
              <w:rPr>
                <w:rFonts w:ascii="Arial" w:cs="Arial" w:eastAsia="Arial" w:hAnsi="Arial"/>
                <w:sz w:val="18"/>
                <w:szCs w:val="18"/>
                <w:color w:val="auto"/>
              </w:rPr>
              <w:t>PENNANTPARK INVESTMENT CORP</w:t>
            </w:r>
          </w:p>
        </w:tc>
        <w:tc>
          <w:tcPr>
            <w:tcW w:w="1180" w:type="dxa"/>
            <w:vAlign w:val="bottom"/>
          </w:tcPr>
          <w:p>
            <w:pPr>
              <w:ind w:left="340"/>
              <w:spacing w:after="0"/>
              <w:rPr>
                <w:sz w:val="20"/>
                <w:szCs w:val="20"/>
                <w:color w:val="auto"/>
              </w:rPr>
            </w:pPr>
            <w:r>
              <w:rPr>
                <w:rFonts w:ascii="Arial" w:cs="Arial" w:eastAsia="Arial" w:hAnsi="Arial"/>
                <w:sz w:val="18"/>
                <w:szCs w:val="18"/>
                <w:color w:val="auto"/>
                <w:w w:val="84"/>
              </w:rPr>
              <w:t>Subordinate</w:t>
            </w:r>
          </w:p>
        </w:tc>
      </w:tr>
      <w:tr>
        <w:trPr>
          <w:trHeight w:val="222"/>
        </w:trPr>
        <w:tc>
          <w:tcPr>
            <w:tcW w:w="48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Debt</w:t>
            </w:r>
          </w:p>
        </w:tc>
      </w:tr>
      <w:tr>
        <w:trPr>
          <w:trHeight w:val="318"/>
        </w:trPr>
        <w:tc>
          <w:tcPr>
            <w:tcW w:w="4800" w:type="dxa"/>
            <w:vAlign w:val="bottom"/>
          </w:tcPr>
          <w:p>
            <w:pPr>
              <w:spacing w:after="0"/>
              <w:rPr>
                <w:sz w:val="20"/>
                <w:szCs w:val="20"/>
                <w:color w:val="auto"/>
              </w:rPr>
            </w:pPr>
            <w:r>
              <w:rPr>
                <w:rFonts w:ascii="Arial" w:cs="Arial" w:eastAsia="Arial" w:hAnsi="Arial"/>
                <w:sz w:val="18"/>
                <w:szCs w:val="18"/>
                <w:color w:val="auto"/>
              </w:rPr>
              <w:t>PRINCE MINERAL HOLDING CORP</w:t>
            </w:r>
          </w:p>
        </w:tc>
        <w:tc>
          <w:tcPr>
            <w:tcW w:w="4880" w:type="dxa"/>
            <w:vAlign w:val="bottom"/>
          </w:tcPr>
          <w:p>
            <w:pPr>
              <w:ind w:left="1620"/>
              <w:spacing w:after="0"/>
              <w:rPr>
                <w:sz w:val="20"/>
                <w:szCs w:val="20"/>
                <w:color w:val="auto"/>
              </w:rPr>
            </w:pPr>
            <w:r>
              <w:rPr>
                <w:rFonts w:ascii="Arial" w:cs="Arial" w:eastAsia="Arial" w:hAnsi="Arial"/>
                <w:sz w:val="18"/>
                <w:szCs w:val="18"/>
                <w:color w:val="auto"/>
              </w:rPr>
              <w:t>PENNANTPARK INVESTMENT CORP</w:t>
            </w:r>
          </w:p>
        </w:tc>
        <w:tc>
          <w:tcPr>
            <w:tcW w:w="1180" w:type="dxa"/>
            <w:vAlign w:val="bottom"/>
          </w:tcPr>
          <w:p>
            <w:pPr>
              <w:ind w:left="340"/>
              <w:spacing w:after="0"/>
              <w:rPr>
                <w:sz w:val="20"/>
                <w:szCs w:val="20"/>
                <w:color w:val="auto"/>
              </w:rPr>
            </w:pPr>
            <w:r>
              <w:rPr>
                <w:rFonts w:ascii="Arial" w:cs="Arial" w:eastAsia="Arial" w:hAnsi="Arial"/>
                <w:sz w:val="18"/>
                <w:szCs w:val="18"/>
                <w:color w:val="auto"/>
                <w:w w:val="84"/>
              </w:rPr>
              <w:t>Subordinate</w:t>
            </w:r>
          </w:p>
        </w:tc>
      </w:tr>
      <w:tr>
        <w:trPr>
          <w:trHeight w:val="222"/>
        </w:trPr>
        <w:tc>
          <w:tcPr>
            <w:tcW w:w="48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Debt</w:t>
            </w:r>
          </w:p>
        </w:tc>
      </w:tr>
      <w:tr>
        <w:trPr>
          <w:trHeight w:val="318"/>
        </w:trPr>
        <w:tc>
          <w:tcPr>
            <w:tcW w:w="4800" w:type="dxa"/>
            <w:vAlign w:val="bottom"/>
          </w:tcPr>
          <w:p>
            <w:pPr>
              <w:spacing w:after="0"/>
              <w:rPr>
                <w:sz w:val="20"/>
                <w:szCs w:val="20"/>
                <w:color w:val="auto"/>
              </w:rPr>
            </w:pPr>
            <w:r>
              <w:rPr>
                <w:rFonts w:ascii="Arial" w:cs="Arial" w:eastAsia="Arial" w:hAnsi="Arial"/>
                <w:sz w:val="18"/>
                <w:szCs w:val="18"/>
                <w:color w:val="auto"/>
              </w:rPr>
              <w:t>TRAK ACQUISITION CORP</w:t>
            </w:r>
          </w:p>
        </w:tc>
        <w:tc>
          <w:tcPr>
            <w:tcW w:w="4880" w:type="dxa"/>
            <w:vAlign w:val="bottom"/>
          </w:tcPr>
          <w:p>
            <w:pPr>
              <w:ind w:left="1620"/>
              <w:spacing w:after="0"/>
              <w:rPr>
                <w:sz w:val="20"/>
                <w:szCs w:val="20"/>
                <w:color w:val="auto"/>
              </w:rPr>
            </w:pPr>
            <w:r>
              <w:rPr>
                <w:rFonts w:ascii="Arial" w:cs="Arial" w:eastAsia="Arial" w:hAnsi="Arial"/>
                <w:sz w:val="18"/>
                <w:szCs w:val="18"/>
                <w:color w:val="auto"/>
              </w:rPr>
              <w:t>PENNANTPARK INVESTMENT CORP</w:t>
            </w:r>
          </w:p>
        </w:tc>
        <w:tc>
          <w:tcPr>
            <w:tcW w:w="1180" w:type="dxa"/>
            <w:vAlign w:val="bottom"/>
          </w:tcPr>
          <w:p>
            <w:pPr>
              <w:ind w:left="340"/>
              <w:spacing w:after="0"/>
              <w:rPr>
                <w:sz w:val="20"/>
                <w:szCs w:val="20"/>
                <w:color w:val="auto"/>
              </w:rPr>
            </w:pPr>
            <w:r>
              <w:rPr>
                <w:rFonts w:ascii="Arial" w:cs="Arial" w:eastAsia="Arial" w:hAnsi="Arial"/>
                <w:sz w:val="18"/>
                <w:szCs w:val="18"/>
                <w:color w:val="auto"/>
                <w:w w:val="84"/>
              </w:rPr>
              <w:t>Subordinate</w:t>
            </w:r>
          </w:p>
        </w:tc>
      </w:tr>
      <w:tr>
        <w:trPr>
          <w:trHeight w:val="222"/>
        </w:trPr>
        <w:tc>
          <w:tcPr>
            <w:tcW w:w="48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Debt</w:t>
            </w:r>
          </w:p>
        </w:tc>
      </w:tr>
      <w:tr>
        <w:trPr>
          <w:trHeight w:val="318"/>
        </w:trPr>
        <w:tc>
          <w:tcPr>
            <w:tcW w:w="4800" w:type="dxa"/>
            <w:vAlign w:val="bottom"/>
          </w:tcPr>
          <w:p>
            <w:pPr>
              <w:spacing w:after="0"/>
              <w:rPr>
                <w:sz w:val="20"/>
                <w:szCs w:val="20"/>
                <w:color w:val="auto"/>
              </w:rPr>
            </w:pPr>
            <w:r>
              <w:rPr>
                <w:rFonts w:ascii="Arial" w:cs="Arial" w:eastAsia="Arial" w:hAnsi="Arial"/>
                <w:sz w:val="18"/>
                <w:szCs w:val="18"/>
                <w:color w:val="auto"/>
              </w:rPr>
              <w:t>VERITEXT CORP.</w:t>
            </w:r>
          </w:p>
        </w:tc>
        <w:tc>
          <w:tcPr>
            <w:tcW w:w="4880" w:type="dxa"/>
            <w:vAlign w:val="bottom"/>
          </w:tcPr>
          <w:p>
            <w:pPr>
              <w:ind w:left="1620"/>
              <w:spacing w:after="0"/>
              <w:rPr>
                <w:sz w:val="20"/>
                <w:szCs w:val="20"/>
                <w:color w:val="auto"/>
              </w:rPr>
            </w:pPr>
            <w:r>
              <w:rPr>
                <w:rFonts w:ascii="Arial" w:cs="Arial" w:eastAsia="Arial" w:hAnsi="Arial"/>
                <w:sz w:val="18"/>
                <w:szCs w:val="18"/>
                <w:color w:val="auto"/>
              </w:rPr>
              <w:t>PENNANTPARK INVESTMENT CORP</w:t>
            </w:r>
          </w:p>
        </w:tc>
        <w:tc>
          <w:tcPr>
            <w:tcW w:w="1180" w:type="dxa"/>
            <w:vAlign w:val="bottom"/>
          </w:tcPr>
          <w:p>
            <w:pPr>
              <w:ind w:left="340"/>
              <w:spacing w:after="0"/>
              <w:rPr>
                <w:sz w:val="20"/>
                <w:szCs w:val="20"/>
                <w:color w:val="auto"/>
              </w:rPr>
            </w:pPr>
            <w:r>
              <w:rPr>
                <w:rFonts w:ascii="Arial" w:cs="Arial" w:eastAsia="Arial" w:hAnsi="Arial"/>
                <w:sz w:val="18"/>
                <w:szCs w:val="18"/>
                <w:color w:val="auto"/>
                <w:w w:val="84"/>
              </w:rPr>
              <w:t>Subordinate</w:t>
            </w:r>
          </w:p>
        </w:tc>
      </w:tr>
      <w:tr>
        <w:trPr>
          <w:trHeight w:val="222"/>
        </w:trPr>
        <w:tc>
          <w:tcPr>
            <w:tcW w:w="48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Debt</w:t>
            </w:r>
          </w:p>
        </w:tc>
      </w:tr>
      <w:tr>
        <w:trPr>
          <w:trHeight w:val="318"/>
        </w:trPr>
        <w:tc>
          <w:tcPr>
            <w:tcW w:w="4800" w:type="dxa"/>
            <w:vAlign w:val="bottom"/>
          </w:tcPr>
          <w:p>
            <w:pPr>
              <w:spacing w:after="0"/>
              <w:rPr>
                <w:sz w:val="20"/>
                <w:szCs w:val="20"/>
                <w:color w:val="auto"/>
              </w:rPr>
            </w:pPr>
            <w:r>
              <w:rPr>
                <w:rFonts w:ascii="Arial" w:cs="Arial" w:eastAsia="Arial" w:hAnsi="Arial"/>
                <w:sz w:val="18"/>
                <w:szCs w:val="18"/>
                <w:color w:val="auto"/>
              </w:rPr>
              <w:t>AFFINION GROUP HOLDINGS, INC.</w:t>
            </w:r>
          </w:p>
        </w:tc>
        <w:tc>
          <w:tcPr>
            <w:tcW w:w="4880" w:type="dxa"/>
            <w:vAlign w:val="bottom"/>
          </w:tcPr>
          <w:p>
            <w:pPr>
              <w:ind w:left="1620"/>
              <w:spacing w:after="0"/>
              <w:rPr>
                <w:sz w:val="20"/>
                <w:szCs w:val="20"/>
                <w:color w:val="auto"/>
              </w:rPr>
            </w:pPr>
            <w:r>
              <w:rPr>
                <w:rFonts w:ascii="Arial" w:cs="Arial" w:eastAsia="Arial" w:hAnsi="Arial"/>
                <w:sz w:val="18"/>
                <w:szCs w:val="18"/>
                <w:color w:val="auto"/>
              </w:rPr>
              <w:t>PENNANTPARK INVESTMENT CORP</w:t>
            </w:r>
          </w:p>
        </w:tc>
        <w:tc>
          <w:tcPr>
            <w:tcW w:w="1180" w:type="dxa"/>
            <w:vAlign w:val="bottom"/>
          </w:tcPr>
          <w:p>
            <w:pPr>
              <w:ind w:left="340"/>
              <w:spacing w:after="0"/>
              <w:rPr>
                <w:sz w:val="20"/>
                <w:szCs w:val="20"/>
                <w:color w:val="auto"/>
              </w:rPr>
            </w:pPr>
            <w:r>
              <w:rPr>
                <w:rFonts w:ascii="Arial" w:cs="Arial" w:eastAsia="Arial" w:hAnsi="Arial"/>
                <w:sz w:val="18"/>
                <w:szCs w:val="18"/>
                <w:color w:val="auto"/>
                <w:w w:val="84"/>
              </w:rPr>
              <w:t>Subordinate</w:t>
            </w:r>
          </w:p>
        </w:tc>
      </w:tr>
      <w:tr>
        <w:trPr>
          <w:trHeight w:val="222"/>
        </w:trPr>
        <w:tc>
          <w:tcPr>
            <w:tcW w:w="48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Debt</w:t>
            </w:r>
          </w:p>
        </w:tc>
      </w:tr>
      <w:tr>
        <w:trPr>
          <w:trHeight w:val="318"/>
        </w:trPr>
        <w:tc>
          <w:tcPr>
            <w:tcW w:w="4800" w:type="dxa"/>
            <w:vAlign w:val="bottom"/>
          </w:tcPr>
          <w:p>
            <w:pPr>
              <w:spacing w:after="0"/>
              <w:rPr>
                <w:sz w:val="20"/>
                <w:szCs w:val="20"/>
                <w:color w:val="auto"/>
              </w:rPr>
            </w:pPr>
            <w:r>
              <w:rPr>
                <w:rFonts w:ascii="Arial" w:cs="Arial" w:eastAsia="Arial" w:hAnsi="Arial"/>
                <w:sz w:val="18"/>
                <w:szCs w:val="18"/>
                <w:color w:val="auto"/>
              </w:rPr>
              <w:t>REALOGY CORP.</w:t>
            </w:r>
          </w:p>
        </w:tc>
        <w:tc>
          <w:tcPr>
            <w:tcW w:w="4880" w:type="dxa"/>
            <w:vAlign w:val="bottom"/>
          </w:tcPr>
          <w:p>
            <w:pPr>
              <w:ind w:left="1620"/>
              <w:spacing w:after="0"/>
              <w:rPr>
                <w:sz w:val="20"/>
                <w:szCs w:val="20"/>
                <w:color w:val="auto"/>
              </w:rPr>
            </w:pPr>
            <w:r>
              <w:rPr>
                <w:rFonts w:ascii="Arial" w:cs="Arial" w:eastAsia="Arial" w:hAnsi="Arial"/>
                <w:sz w:val="18"/>
                <w:szCs w:val="18"/>
                <w:color w:val="auto"/>
              </w:rPr>
              <w:t>PENNANTPARK INVESTMENT CORP</w:t>
            </w:r>
          </w:p>
        </w:tc>
        <w:tc>
          <w:tcPr>
            <w:tcW w:w="1180" w:type="dxa"/>
            <w:vAlign w:val="bottom"/>
          </w:tcPr>
          <w:p>
            <w:pPr>
              <w:ind w:left="340"/>
              <w:spacing w:after="0"/>
              <w:rPr>
                <w:sz w:val="20"/>
                <w:szCs w:val="20"/>
                <w:color w:val="auto"/>
              </w:rPr>
            </w:pPr>
            <w:r>
              <w:rPr>
                <w:rFonts w:ascii="Arial" w:cs="Arial" w:eastAsia="Arial" w:hAnsi="Arial"/>
                <w:sz w:val="18"/>
                <w:szCs w:val="18"/>
                <w:color w:val="auto"/>
                <w:w w:val="84"/>
              </w:rPr>
              <w:t>Subordinate</w:t>
            </w:r>
          </w:p>
        </w:tc>
      </w:tr>
      <w:tr>
        <w:trPr>
          <w:trHeight w:val="222"/>
        </w:trPr>
        <w:tc>
          <w:tcPr>
            <w:tcW w:w="48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Debt</w:t>
            </w:r>
          </w:p>
        </w:tc>
      </w:tr>
      <w:tr>
        <w:trPr>
          <w:trHeight w:val="318"/>
        </w:trPr>
        <w:tc>
          <w:tcPr>
            <w:tcW w:w="4800" w:type="dxa"/>
            <w:vAlign w:val="bottom"/>
          </w:tcPr>
          <w:p>
            <w:pPr>
              <w:spacing w:after="0"/>
              <w:rPr>
                <w:sz w:val="20"/>
                <w:szCs w:val="20"/>
                <w:color w:val="auto"/>
              </w:rPr>
            </w:pPr>
            <w:r>
              <w:rPr>
                <w:rFonts w:ascii="Arial" w:cs="Arial" w:eastAsia="Arial" w:hAnsi="Arial"/>
                <w:sz w:val="18"/>
                <w:szCs w:val="18"/>
                <w:color w:val="auto"/>
              </w:rPr>
              <w:t>LEARNING CARE GROUP (US) INC.</w:t>
            </w:r>
          </w:p>
        </w:tc>
        <w:tc>
          <w:tcPr>
            <w:tcW w:w="4880" w:type="dxa"/>
            <w:vAlign w:val="bottom"/>
          </w:tcPr>
          <w:p>
            <w:pPr>
              <w:ind w:left="1620"/>
              <w:spacing w:after="0"/>
              <w:rPr>
                <w:sz w:val="20"/>
                <w:szCs w:val="20"/>
                <w:color w:val="auto"/>
              </w:rPr>
            </w:pPr>
            <w:r>
              <w:rPr>
                <w:rFonts w:ascii="Arial" w:cs="Arial" w:eastAsia="Arial" w:hAnsi="Arial"/>
                <w:sz w:val="18"/>
                <w:szCs w:val="18"/>
                <w:color w:val="auto"/>
              </w:rPr>
              <w:t>PENNANTPARK INVESTMENT CORP</w:t>
            </w:r>
          </w:p>
        </w:tc>
        <w:tc>
          <w:tcPr>
            <w:tcW w:w="1180" w:type="dxa"/>
            <w:vAlign w:val="bottom"/>
          </w:tcPr>
          <w:p>
            <w:pPr>
              <w:ind w:left="340"/>
              <w:spacing w:after="0"/>
              <w:rPr>
                <w:sz w:val="20"/>
                <w:szCs w:val="20"/>
                <w:color w:val="auto"/>
              </w:rPr>
            </w:pPr>
            <w:r>
              <w:rPr>
                <w:rFonts w:ascii="Arial" w:cs="Arial" w:eastAsia="Arial" w:hAnsi="Arial"/>
                <w:sz w:val="18"/>
                <w:szCs w:val="18"/>
                <w:color w:val="auto"/>
                <w:w w:val="84"/>
              </w:rPr>
              <w:t>Subordinate</w:t>
            </w:r>
          </w:p>
        </w:tc>
      </w:tr>
      <w:tr>
        <w:trPr>
          <w:trHeight w:val="222"/>
        </w:trPr>
        <w:tc>
          <w:tcPr>
            <w:tcW w:w="48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Debt</w:t>
            </w:r>
          </w:p>
        </w:tc>
      </w:tr>
      <w:tr>
        <w:trPr>
          <w:trHeight w:val="318"/>
        </w:trPr>
        <w:tc>
          <w:tcPr>
            <w:tcW w:w="4800" w:type="dxa"/>
            <w:vAlign w:val="bottom"/>
          </w:tcPr>
          <w:p>
            <w:pPr>
              <w:spacing w:after="0"/>
              <w:rPr>
                <w:sz w:val="20"/>
                <w:szCs w:val="20"/>
                <w:color w:val="auto"/>
              </w:rPr>
            </w:pPr>
            <w:r>
              <w:rPr>
                <w:rFonts w:ascii="Arial" w:cs="Arial" w:eastAsia="Arial" w:hAnsi="Arial"/>
                <w:sz w:val="18"/>
                <w:szCs w:val="18"/>
                <w:color w:val="auto"/>
              </w:rPr>
              <w:t>PERFORMANCE HOLDINGS, INC.</w:t>
            </w:r>
          </w:p>
        </w:tc>
        <w:tc>
          <w:tcPr>
            <w:tcW w:w="4880" w:type="dxa"/>
            <w:vAlign w:val="bottom"/>
          </w:tcPr>
          <w:p>
            <w:pPr>
              <w:ind w:left="1620"/>
              <w:spacing w:after="0"/>
              <w:rPr>
                <w:sz w:val="20"/>
                <w:szCs w:val="20"/>
                <w:color w:val="auto"/>
              </w:rPr>
            </w:pPr>
            <w:r>
              <w:rPr>
                <w:rFonts w:ascii="Arial" w:cs="Arial" w:eastAsia="Arial" w:hAnsi="Arial"/>
                <w:sz w:val="18"/>
                <w:szCs w:val="18"/>
                <w:color w:val="auto"/>
              </w:rPr>
              <w:t>PENNANTPARK INVESTMENT CORP</w:t>
            </w:r>
          </w:p>
        </w:tc>
        <w:tc>
          <w:tcPr>
            <w:tcW w:w="1180" w:type="dxa"/>
            <w:vAlign w:val="bottom"/>
          </w:tcPr>
          <w:p>
            <w:pPr>
              <w:ind w:left="340"/>
              <w:spacing w:after="0"/>
              <w:rPr>
                <w:sz w:val="20"/>
                <w:szCs w:val="20"/>
                <w:color w:val="auto"/>
              </w:rPr>
            </w:pPr>
            <w:r>
              <w:rPr>
                <w:rFonts w:ascii="Arial" w:cs="Arial" w:eastAsia="Arial" w:hAnsi="Arial"/>
                <w:sz w:val="18"/>
                <w:szCs w:val="18"/>
                <w:color w:val="auto"/>
                <w:w w:val="84"/>
              </w:rPr>
              <w:t>Subordinate</w:t>
            </w:r>
          </w:p>
        </w:tc>
      </w:tr>
      <w:tr>
        <w:trPr>
          <w:trHeight w:val="222"/>
        </w:trPr>
        <w:tc>
          <w:tcPr>
            <w:tcW w:w="48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rPr>
              <w:t>Debt</w:t>
            </w:r>
          </w:p>
        </w:tc>
      </w:tr>
      <w:tr>
        <w:trPr>
          <w:trHeight w:val="364"/>
        </w:trPr>
        <w:tc>
          <w:tcPr>
            <w:tcW w:w="4800" w:type="dxa"/>
            <w:vAlign w:val="bottom"/>
          </w:tcPr>
          <w:p>
            <w:pPr>
              <w:spacing w:after="0"/>
              <w:rPr>
                <w:sz w:val="20"/>
                <w:szCs w:val="20"/>
                <w:color w:val="auto"/>
              </w:rPr>
            </w:pPr>
            <w:r>
              <w:rPr>
                <w:rFonts w:ascii="Arial" w:cs="Arial" w:eastAsia="Arial" w:hAnsi="Arial"/>
                <w:sz w:val="18"/>
                <w:szCs w:val="18"/>
                <w:color w:val="auto"/>
              </w:rPr>
              <w:t>16981395.5.BUSINESS</w:t>
            </w:r>
          </w:p>
        </w:tc>
        <w:tc>
          <w:tcPr>
            <w:tcW w:w="48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900"/>
          </w:cols>
          <w:pgMar w:left="320" w:top="280" w:right="679" w:bottom="1440" w:gutter="0" w:footer="0" w:header="0"/>
          <w:type w:val="continuous"/>
        </w:sectPr>
      </w:pPr>
    </w:p>
    <w:bookmarkStart w:id="185" w:name="page186"/>
    <w:bookmarkEnd w:id="1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UP SUPPORT SERVICES, INC.</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rPr>
              <w:t>Subordinate</w:t>
            </w:r>
          </w:p>
        </w:tc>
      </w:tr>
      <w:tr>
        <w:trPr>
          <w:trHeight w:val="222"/>
        </w:trPr>
        <w:tc>
          <w:tcPr>
            <w:tcW w:w="59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500" w:type="dxa"/>
            <w:vAlign w:val="bottom"/>
          </w:tcPr>
          <w:p>
            <w:pPr>
              <w:ind w:left="340"/>
              <w:spacing w:after="0"/>
              <w:rPr>
                <w:sz w:val="20"/>
                <w:szCs w:val="20"/>
                <w:color w:val="auto"/>
              </w:rPr>
            </w:pPr>
            <w:r>
              <w:rPr>
                <w:rFonts w:ascii="Arial" w:cs="Arial" w:eastAsia="Arial" w:hAnsi="Arial"/>
                <w:sz w:val="18"/>
                <w:szCs w:val="18"/>
                <w:color w:val="auto"/>
              </w:rPr>
              <w:t>Debt</w:t>
            </w:r>
          </w:p>
        </w:tc>
      </w:tr>
      <w:tr>
        <w:trPr>
          <w:trHeight w:val="318"/>
        </w:trPr>
        <w:tc>
          <w:tcPr>
            <w:tcW w:w="5980" w:type="dxa"/>
            <w:vAlign w:val="bottom"/>
          </w:tcPr>
          <w:p>
            <w:pPr>
              <w:spacing w:after="0"/>
              <w:rPr>
                <w:sz w:val="20"/>
                <w:szCs w:val="20"/>
                <w:color w:val="auto"/>
              </w:rPr>
            </w:pPr>
            <w:r>
              <w:rPr>
                <w:rFonts w:ascii="Arial" w:cs="Arial" w:eastAsia="Arial" w:hAnsi="Arial"/>
                <w:sz w:val="18"/>
                <w:szCs w:val="18"/>
                <w:color w:val="auto"/>
              </w:rPr>
              <w:t>AHC MEZZANINE, LLC. (ADVANSTAR, INC.)</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7"/>
              </w:rPr>
              <w:t>Equity/Preferred</w:t>
            </w:r>
          </w:p>
        </w:tc>
      </w:tr>
      <w:tr>
        <w:trPr>
          <w:trHeight w:val="222"/>
        </w:trPr>
        <w:tc>
          <w:tcPr>
            <w:tcW w:w="59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500" w:type="dxa"/>
            <w:vAlign w:val="bottom"/>
          </w:tcPr>
          <w:p>
            <w:pPr>
              <w:ind w:left="340"/>
              <w:spacing w:after="0"/>
              <w:rPr>
                <w:sz w:val="20"/>
                <w:szCs w:val="20"/>
                <w:color w:val="auto"/>
              </w:rPr>
            </w:pPr>
            <w:r>
              <w:rPr>
                <w:rFonts w:ascii="Arial" w:cs="Arial" w:eastAsia="Arial" w:hAnsi="Arial"/>
                <w:sz w:val="18"/>
                <w:szCs w:val="18"/>
                <w:color w:val="auto"/>
              </w:rPr>
              <w:t>Cumulative</w:t>
            </w:r>
          </w:p>
        </w:tc>
      </w:tr>
      <w:tr>
        <w:trPr>
          <w:trHeight w:val="318"/>
        </w:trPr>
        <w:tc>
          <w:tcPr>
            <w:tcW w:w="5980" w:type="dxa"/>
            <w:vAlign w:val="bottom"/>
          </w:tcPr>
          <w:p>
            <w:pPr>
              <w:spacing w:after="0"/>
              <w:rPr>
                <w:sz w:val="20"/>
                <w:szCs w:val="20"/>
                <w:color w:val="auto"/>
              </w:rPr>
            </w:pPr>
            <w:r>
              <w:rPr>
                <w:rFonts w:ascii="Arial" w:cs="Arial" w:eastAsia="Arial" w:hAnsi="Arial"/>
                <w:sz w:val="18"/>
                <w:szCs w:val="18"/>
                <w:color w:val="auto"/>
              </w:rPr>
              <w:t>AH HOLDINGS, INC. (AMERICAN SURGICAL)</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7"/>
              </w:rPr>
              <w:t>Equity/Preferred</w:t>
            </w:r>
          </w:p>
        </w:tc>
      </w:tr>
      <w:tr>
        <w:trPr>
          <w:trHeight w:val="222"/>
        </w:trPr>
        <w:tc>
          <w:tcPr>
            <w:tcW w:w="59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500" w:type="dxa"/>
            <w:vAlign w:val="bottom"/>
          </w:tcPr>
          <w:p>
            <w:pPr>
              <w:ind w:left="340"/>
              <w:spacing w:after="0"/>
              <w:rPr>
                <w:sz w:val="20"/>
                <w:szCs w:val="20"/>
                <w:color w:val="auto"/>
              </w:rPr>
            </w:pPr>
            <w:r>
              <w:rPr>
                <w:rFonts w:ascii="Arial" w:cs="Arial" w:eastAsia="Arial" w:hAnsi="Arial"/>
                <w:sz w:val="18"/>
                <w:szCs w:val="18"/>
                <w:color w:val="auto"/>
              </w:rPr>
              <w:t>Cumulative</w:t>
            </w:r>
          </w:p>
        </w:tc>
      </w:tr>
      <w:tr>
        <w:trPr>
          <w:trHeight w:val="318"/>
        </w:trPr>
        <w:tc>
          <w:tcPr>
            <w:tcW w:w="5980" w:type="dxa"/>
            <w:vAlign w:val="bottom"/>
          </w:tcPr>
          <w:p>
            <w:pPr>
              <w:spacing w:after="0"/>
              <w:rPr>
                <w:sz w:val="20"/>
                <w:szCs w:val="20"/>
                <w:color w:val="auto"/>
              </w:rPr>
            </w:pPr>
            <w:r>
              <w:rPr>
                <w:rFonts w:ascii="Arial" w:cs="Arial" w:eastAsia="Arial" w:hAnsi="Arial"/>
                <w:sz w:val="18"/>
                <w:szCs w:val="18"/>
                <w:color w:val="auto"/>
              </w:rPr>
              <w:t>CI (IHS) Investment Holdings, LLC (Interactive Health Solutions)</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7"/>
              </w:rPr>
              <w:t>Equity/Preferred</w:t>
            </w:r>
          </w:p>
        </w:tc>
      </w:tr>
      <w:tr>
        <w:trPr>
          <w:trHeight w:val="222"/>
        </w:trPr>
        <w:tc>
          <w:tcPr>
            <w:tcW w:w="59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500" w:type="dxa"/>
            <w:vAlign w:val="bottom"/>
          </w:tcPr>
          <w:p>
            <w:pPr>
              <w:ind w:left="340"/>
              <w:spacing w:after="0"/>
              <w:rPr>
                <w:sz w:val="20"/>
                <w:szCs w:val="20"/>
                <w:color w:val="auto"/>
              </w:rPr>
            </w:pPr>
            <w:r>
              <w:rPr>
                <w:rFonts w:ascii="Arial" w:cs="Arial" w:eastAsia="Arial" w:hAnsi="Arial"/>
                <w:sz w:val="18"/>
                <w:szCs w:val="18"/>
                <w:color w:val="auto"/>
              </w:rPr>
              <w:t>Cumulative</w:t>
            </w:r>
          </w:p>
        </w:tc>
      </w:tr>
      <w:tr>
        <w:trPr>
          <w:trHeight w:val="318"/>
        </w:trPr>
        <w:tc>
          <w:tcPr>
            <w:tcW w:w="5980" w:type="dxa"/>
            <w:vAlign w:val="bottom"/>
          </w:tcPr>
          <w:p>
            <w:pPr>
              <w:spacing w:after="0"/>
              <w:rPr>
                <w:sz w:val="20"/>
                <w:szCs w:val="20"/>
                <w:color w:val="auto"/>
              </w:rPr>
            </w:pPr>
            <w:r>
              <w:rPr>
                <w:rFonts w:ascii="Arial" w:cs="Arial" w:eastAsia="Arial" w:hAnsi="Arial"/>
                <w:sz w:val="18"/>
                <w:szCs w:val="18"/>
                <w:color w:val="auto"/>
                <w:w w:val="98"/>
              </w:rPr>
              <w:t>CI (IHS) Investment Holdings, LLC (Unfunded) (Interactive Health Solutions)</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7"/>
              </w:rPr>
              <w:t>Equity/Preferred</w:t>
            </w:r>
          </w:p>
        </w:tc>
      </w:tr>
      <w:tr>
        <w:trPr>
          <w:trHeight w:val="222"/>
        </w:trPr>
        <w:tc>
          <w:tcPr>
            <w:tcW w:w="59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500" w:type="dxa"/>
            <w:vAlign w:val="bottom"/>
          </w:tcPr>
          <w:p>
            <w:pPr>
              <w:ind w:left="340"/>
              <w:spacing w:after="0"/>
              <w:rPr>
                <w:sz w:val="20"/>
                <w:szCs w:val="20"/>
                <w:color w:val="auto"/>
              </w:rPr>
            </w:pPr>
            <w:r>
              <w:rPr>
                <w:rFonts w:ascii="Arial" w:cs="Arial" w:eastAsia="Arial" w:hAnsi="Arial"/>
                <w:sz w:val="18"/>
                <w:szCs w:val="18"/>
                <w:color w:val="auto"/>
              </w:rPr>
              <w:t>Cumulative</w:t>
            </w:r>
          </w:p>
        </w:tc>
      </w:tr>
      <w:tr>
        <w:trPr>
          <w:trHeight w:val="318"/>
        </w:trPr>
        <w:tc>
          <w:tcPr>
            <w:tcW w:w="5980" w:type="dxa"/>
            <w:vAlign w:val="bottom"/>
          </w:tcPr>
          <w:p>
            <w:pPr>
              <w:spacing w:after="0"/>
              <w:rPr>
                <w:sz w:val="20"/>
                <w:szCs w:val="20"/>
                <w:color w:val="auto"/>
              </w:rPr>
            </w:pPr>
            <w:r>
              <w:rPr>
                <w:rFonts w:ascii="Arial" w:cs="Arial" w:eastAsia="Arial" w:hAnsi="Arial"/>
                <w:sz w:val="18"/>
                <w:szCs w:val="18"/>
                <w:color w:val="auto"/>
              </w:rPr>
              <w:t>PAS TECH HOLDINGS, INC. (SERIES A-1)</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7"/>
              </w:rPr>
              <w:t>Equity/Preferred</w:t>
            </w:r>
          </w:p>
        </w:tc>
      </w:tr>
      <w:tr>
        <w:trPr>
          <w:trHeight w:val="222"/>
        </w:trPr>
        <w:tc>
          <w:tcPr>
            <w:tcW w:w="59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500" w:type="dxa"/>
            <w:vAlign w:val="bottom"/>
          </w:tcPr>
          <w:p>
            <w:pPr>
              <w:ind w:left="340"/>
              <w:spacing w:after="0"/>
              <w:rPr>
                <w:sz w:val="20"/>
                <w:szCs w:val="20"/>
                <w:color w:val="auto"/>
              </w:rPr>
            </w:pPr>
            <w:r>
              <w:rPr>
                <w:rFonts w:ascii="Arial" w:cs="Arial" w:eastAsia="Arial" w:hAnsi="Arial"/>
                <w:sz w:val="18"/>
                <w:szCs w:val="18"/>
                <w:color w:val="auto"/>
              </w:rPr>
              <w:t>Cumulative</w:t>
            </w:r>
          </w:p>
        </w:tc>
      </w:tr>
      <w:tr>
        <w:trPr>
          <w:trHeight w:val="318"/>
        </w:trPr>
        <w:tc>
          <w:tcPr>
            <w:tcW w:w="5980" w:type="dxa"/>
            <w:vAlign w:val="bottom"/>
          </w:tcPr>
          <w:p>
            <w:pPr>
              <w:spacing w:after="0"/>
              <w:rPr>
                <w:sz w:val="20"/>
                <w:szCs w:val="20"/>
                <w:color w:val="auto"/>
              </w:rPr>
            </w:pPr>
            <w:r>
              <w:rPr>
                <w:rFonts w:ascii="Arial" w:cs="Arial" w:eastAsia="Arial" w:hAnsi="Arial"/>
                <w:sz w:val="18"/>
                <w:szCs w:val="18"/>
                <w:color w:val="auto"/>
              </w:rPr>
              <w:t>SUTTONPARK HOLDINGS, INC.</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7"/>
              </w:rPr>
              <w:t>Equity/Preferred</w:t>
            </w:r>
          </w:p>
        </w:tc>
      </w:tr>
      <w:tr>
        <w:trPr>
          <w:trHeight w:val="222"/>
        </w:trPr>
        <w:tc>
          <w:tcPr>
            <w:tcW w:w="59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500" w:type="dxa"/>
            <w:vAlign w:val="bottom"/>
          </w:tcPr>
          <w:p>
            <w:pPr>
              <w:ind w:left="340"/>
              <w:spacing w:after="0"/>
              <w:rPr>
                <w:sz w:val="20"/>
                <w:szCs w:val="20"/>
                <w:color w:val="auto"/>
              </w:rPr>
            </w:pPr>
            <w:r>
              <w:rPr>
                <w:rFonts w:ascii="Arial" w:cs="Arial" w:eastAsia="Arial" w:hAnsi="Arial"/>
                <w:sz w:val="18"/>
                <w:szCs w:val="18"/>
                <w:color w:val="auto"/>
              </w:rPr>
              <w:t>Cumulative</w:t>
            </w:r>
          </w:p>
        </w:tc>
      </w:tr>
      <w:tr>
        <w:trPr>
          <w:trHeight w:val="318"/>
        </w:trPr>
        <w:tc>
          <w:tcPr>
            <w:tcW w:w="5980" w:type="dxa"/>
            <w:vAlign w:val="bottom"/>
          </w:tcPr>
          <w:p>
            <w:pPr>
              <w:spacing w:after="0"/>
              <w:rPr>
                <w:sz w:val="20"/>
                <w:szCs w:val="20"/>
                <w:color w:val="auto"/>
              </w:rPr>
            </w:pPr>
            <w:r>
              <w:rPr>
                <w:rFonts w:ascii="Arial" w:cs="Arial" w:eastAsia="Arial" w:hAnsi="Arial"/>
                <w:sz w:val="18"/>
                <w:szCs w:val="18"/>
                <w:color w:val="auto"/>
              </w:rPr>
              <w:t>TZ HOLDINGS, L.P., SERIES B</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7"/>
              </w:rPr>
              <w:t>Equity/Preferred</w:t>
            </w:r>
          </w:p>
        </w:tc>
      </w:tr>
      <w:tr>
        <w:trPr>
          <w:trHeight w:val="222"/>
        </w:trPr>
        <w:tc>
          <w:tcPr>
            <w:tcW w:w="59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500" w:type="dxa"/>
            <w:vAlign w:val="bottom"/>
          </w:tcPr>
          <w:p>
            <w:pPr>
              <w:ind w:left="340"/>
              <w:spacing w:after="0"/>
              <w:rPr>
                <w:sz w:val="20"/>
                <w:szCs w:val="20"/>
                <w:color w:val="auto"/>
              </w:rPr>
            </w:pPr>
            <w:r>
              <w:rPr>
                <w:rFonts w:ascii="Arial" w:cs="Arial" w:eastAsia="Arial" w:hAnsi="Arial"/>
                <w:sz w:val="18"/>
                <w:szCs w:val="18"/>
                <w:color w:val="auto"/>
              </w:rPr>
              <w:t>Cumulative</w:t>
            </w:r>
          </w:p>
        </w:tc>
      </w:tr>
      <w:tr>
        <w:trPr>
          <w:trHeight w:val="318"/>
        </w:trPr>
        <w:tc>
          <w:tcPr>
            <w:tcW w:w="5980" w:type="dxa"/>
            <w:vAlign w:val="bottom"/>
          </w:tcPr>
          <w:p>
            <w:pPr>
              <w:spacing w:after="0"/>
              <w:rPr>
                <w:sz w:val="20"/>
                <w:szCs w:val="20"/>
                <w:color w:val="auto"/>
              </w:rPr>
            </w:pPr>
            <w:r>
              <w:rPr>
                <w:rFonts w:ascii="Arial" w:cs="Arial" w:eastAsia="Arial" w:hAnsi="Arial"/>
                <w:sz w:val="18"/>
                <w:szCs w:val="18"/>
                <w:color w:val="auto"/>
              </w:rPr>
              <w:t>TZ HOLDINGS, L.P., SERIES A (TRIZETTO GROUP, INC.)</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7"/>
              </w:rPr>
              <w:t>Equity/Preferred</w:t>
            </w:r>
          </w:p>
        </w:tc>
      </w:tr>
      <w:tr>
        <w:trPr>
          <w:trHeight w:val="222"/>
        </w:trPr>
        <w:tc>
          <w:tcPr>
            <w:tcW w:w="59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500" w:type="dxa"/>
            <w:vAlign w:val="bottom"/>
          </w:tcPr>
          <w:p>
            <w:pPr>
              <w:ind w:left="340"/>
              <w:spacing w:after="0"/>
              <w:rPr>
                <w:sz w:val="20"/>
                <w:szCs w:val="20"/>
                <w:color w:val="auto"/>
              </w:rPr>
            </w:pPr>
            <w:r>
              <w:rPr>
                <w:rFonts w:ascii="Arial" w:cs="Arial" w:eastAsia="Arial" w:hAnsi="Arial"/>
                <w:sz w:val="18"/>
                <w:szCs w:val="18"/>
                <w:color w:val="auto"/>
              </w:rPr>
              <w:t>- Non-Accrual</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CEA AUTUMN MANAGEMENT, L.L.C.</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8"/>
              </w:rPr>
              <w:t>Equity/Common</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CI (IHS) Investment Holdings, LLC (Interactive Health Solutions)</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8"/>
              </w:rPr>
              <w:t>Equity/Common</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w w:val="98"/>
              </w:rPr>
              <w:t>CI (IHS) Investment Holdings, LLC (Unfunded) (Interactive Health Solutions)</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8"/>
              </w:rPr>
              <w:t>Equity/Common</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CT TECHNOLOGIES HOLDINGS, LLC</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8"/>
              </w:rPr>
              <w:t>Equity/Common</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(CT TECHNOLOGIES INTERMEDIATE HOLDINGS, INC.)</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8"/>
              </w:rPr>
              <w:t>Equity/Common</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DIRECTBUY CO-INVESTORS, L.P.</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8"/>
              </w:rPr>
              <w:t>Equity/Common</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DIRECTBUY INVESTORS, L.P.</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8"/>
              </w:rPr>
              <w:t>Equity/Common</w:t>
            </w:r>
          </w:p>
        </w:tc>
      </w:tr>
      <w:tr>
        <w:trPr>
          <w:trHeight w:val="324"/>
        </w:trPr>
        <w:tc>
          <w:tcPr>
            <w:tcW w:w="5980" w:type="dxa"/>
            <w:vAlign w:val="bottom"/>
          </w:tcPr>
          <w:p>
            <w:pPr>
              <w:spacing w:after="0"/>
              <w:rPr>
                <w:sz w:val="20"/>
                <w:szCs w:val="20"/>
                <w:color w:val="auto"/>
              </w:rPr>
            </w:pPr>
            <w:r>
              <w:rPr>
                <w:rFonts w:ascii="Arial" w:cs="Arial" w:eastAsia="Arial" w:hAnsi="Arial"/>
                <w:sz w:val="18"/>
                <w:szCs w:val="18"/>
                <w:color w:val="auto"/>
              </w:rPr>
              <w:t>ENVIROSOLUTIONS, INC.</w:t>
            </w:r>
          </w:p>
        </w:tc>
        <w:tc>
          <w:tcPr>
            <w:tcW w:w="3700" w:type="dxa"/>
            <w:vAlign w:val="bottom"/>
          </w:tcPr>
          <w:p>
            <w:pPr>
              <w:ind w:left="440"/>
              <w:spacing w:after="0"/>
              <w:rPr>
                <w:sz w:val="20"/>
                <w:szCs w:val="20"/>
                <w:color w:val="auto"/>
              </w:rPr>
            </w:pPr>
            <w:r>
              <w:rPr>
                <w:rFonts w:ascii="Arial" w:cs="Arial" w:eastAsia="Arial" w:hAnsi="Arial"/>
                <w:sz w:val="18"/>
                <w:szCs w:val="18"/>
                <w:color w:val="auto"/>
              </w:rPr>
              <w:t>PENNANTPARK INVESTMENT CORP</w:t>
            </w:r>
          </w:p>
        </w:tc>
        <w:tc>
          <w:tcPr>
            <w:tcW w:w="1500" w:type="dxa"/>
            <w:vAlign w:val="bottom"/>
          </w:tcPr>
          <w:p>
            <w:pPr>
              <w:ind w:left="340"/>
              <w:spacing w:after="0"/>
              <w:rPr>
                <w:sz w:val="20"/>
                <w:szCs w:val="20"/>
                <w:color w:val="auto"/>
              </w:rPr>
            </w:pPr>
            <w:r>
              <w:rPr>
                <w:rFonts w:ascii="Arial" w:cs="Arial" w:eastAsia="Arial" w:hAnsi="Arial"/>
                <w:sz w:val="18"/>
                <w:szCs w:val="18"/>
                <w:color w:val="auto"/>
                <w:w w:val="88"/>
              </w:rPr>
              <w:t>Equity/Common</w:t>
            </w:r>
          </w:p>
        </w:tc>
      </w:tr>
      <w:tr>
        <w:trPr>
          <w:trHeight w:val="365"/>
        </w:trPr>
        <w:tc>
          <w:tcPr>
            <w:tcW w:w="5980" w:type="dxa"/>
            <w:vAlign w:val="bottom"/>
          </w:tcPr>
          <w:p>
            <w:pPr>
              <w:spacing w:after="0"/>
              <w:rPr>
                <w:sz w:val="20"/>
                <w:szCs w:val="20"/>
                <w:color w:val="auto"/>
              </w:rPr>
            </w:pPr>
            <w:r>
              <w:rPr>
                <w:rFonts w:ascii="Arial" w:cs="Arial" w:eastAsia="Arial" w:hAnsi="Arial"/>
                <w:sz w:val="18"/>
                <w:szCs w:val="18"/>
                <w:color w:val="auto"/>
              </w:rPr>
              <w:t>16981395.5.BUSINESS</w:t>
            </w:r>
          </w:p>
        </w:tc>
        <w:tc>
          <w:tcPr>
            <w:tcW w:w="37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180"/>
          </w:cols>
          <w:pgMar w:left="320" w:top="280" w:right="399" w:bottom="1440" w:gutter="0" w:footer="0" w:header="0"/>
        </w:sectPr>
      </w:pPr>
    </w:p>
    <w:bookmarkStart w:id="186" w:name="page187"/>
    <w:bookmarkEnd w:id="186"/>
    <w:p>
      <w:pPr>
        <w:ind w:right="2260"/>
        <w:spacing w:after="0" w:line="42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KADMON HOLDINGS, L.L.C., CLASS A MIDOCEAN PPL HOLDINGS, INC. (Pre-Paid Legal)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NCP-PERFORMANCE (PERFORMANCE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PAS TECH HOLDINGS, INC.</w:t>
      </w:r>
    </w:p>
    <w:p>
      <w:pPr>
        <w:spacing w:after="0" w:line="117" w:lineRule="exact"/>
        <w:rPr>
          <w:sz w:val="20"/>
          <w:szCs w:val="20"/>
          <w:color w:val="auto"/>
        </w:rPr>
      </w:pPr>
    </w:p>
    <w:p>
      <w:pPr>
        <w:jc w:val="both"/>
        <w:ind w:right="1100"/>
        <w:spacing w:after="0" w:line="375" w:lineRule="auto"/>
        <w:rPr>
          <w:sz w:val="20"/>
          <w:szCs w:val="20"/>
          <w:color w:val="auto"/>
        </w:rPr>
      </w:pPr>
      <w:r>
        <w:rPr>
          <w:rFonts w:ascii="Arial" w:cs="Arial" w:eastAsia="Arial" w:hAnsi="Arial"/>
          <w:sz w:val="18"/>
          <w:szCs w:val="18"/>
          <w:color w:val="auto"/>
        </w:rPr>
        <w:t>QMG HOLDCO, LLC, CLASS A (QUESTEX MEDIA GROUP, INC.) QMG HOLDCO, LLC, CLASS B (QUESTEX MEDIA GROUP, INC.) SUTTONPARK HOLDINGS, INC.2</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TRANSPORTATION 100 HOLDCO, L.L.C. (GREATWIDE LOGISTICS SERVICES, L.L.C.)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TZ HOLDINGS, L.P. (TRIZETTO GROUP, INC.)</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UNIVERSAL PEGASUS INTERNATIONAL, INC.(FORMERLY UP HOLDINGS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VERDE PARENT HOLDINGS, INC. (VPSI,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VTEXT HOLDINGS, INC. (VERITEXT CORP.)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AH HOLDINGS, INC. (AMERICAN SURGICAL)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LEARNING CARE GROUP (US) INC.</w:t>
      </w:r>
    </w:p>
    <w:p>
      <w:pPr>
        <w:spacing w:after="0" w:line="117" w:lineRule="exact"/>
        <w:rPr>
          <w:sz w:val="20"/>
          <w:szCs w:val="20"/>
          <w:color w:val="auto"/>
        </w:rPr>
      </w:pPr>
    </w:p>
    <w:p>
      <w:pPr>
        <w:ind w:right="2220"/>
        <w:spacing w:after="0" w:line="408" w:lineRule="auto"/>
        <w:rPr>
          <w:sz w:val="20"/>
          <w:szCs w:val="20"/>
          <w:color w:val="auto"/>
        </w:rPr>
      </w:pPr>
      <w:r>
        <w:rPr>
          <w:rFonts w:ascii="Arial" w:cs="Arial" w:eastAsia="Arial" w:hAnsi="Arial"/>
          <w:sz w:val="18"/>
          <w:szCs w:val="18"/>
          <w:color w:val="auto"/>
        </w:rPr>
        <w:t>MAGNUM HUNTER RESOURCES CORPORATION TRAK ACQUISITION CORP.W 16981395.5.BUSINESS</w:t>
      </w:r>
    </w:p>
    <w:p>
      <w:pPr>
        <w:spacing w:after="0" w:line="20" w:lineRule="exact"/>
        <w:rPr>
          <w:sz w:val="20"/>
          <w:szCs w:val="20"/>
          <w:color w:val="auto"/>
        </w:rPr>
      </w:pPr>
      <w:r>
        <w:rPr>
          <w:sz w:val="20"/>
          <w:szCs w:val="20"/>
          <w:color w:val="auto"/>
        </w:rPr>
        <w:br w:type="column"/>
      </w:r>
    </w:p>
    <w:p>
      <w:pPr>
        <w:jc w:val="both"/>
        <w:spacing w:after="0" w:line="429" w:lineRule="auto"/>
        <w:rPr>
          <w:sz w:val="20"/>
          <w:szCs w:val="20"/>
          <w:color w:val="auto"/>
        </w:rPr>
      </w:pPr>
      <w:r>
        <w:rPr>
          <w:rFonts w:ascii="Arial" w:cs="Arial" w:eastAsia="Arial" w:hAnsi="Arial"/>
          <w:sz w:val="16"/>
          <w:szCs w:val="16"/>
          <w:color w:val="auto"/>
        </w:rPr>
        <w:t>PENNANTPARK INVESTMENT CORP PENNANTPARK INVESTMENT CORP PENNANTPARK INVESTMENT CORP PENNANTPARK INVESTMENT CORP PENNANTPARK INVESTMENT CORP PENNANTPARK INVESTMENT CORP PENNANTPARK INVESTMENT CORP PENNANTPARK INVESTMENT CORP</w:t>
      </w:r>
    </w:p>
    <w:p>
      <w:pPr>
        <w:spacing w:after="0" w:line="177" w:lineRule="exact"/>
        <w:rPr>
          <w:sz w:val="20"/>
          <w:szCs w:val="20"/>
          <w:color w:val="auto"/>
        </w:rPr>
      </w:pPr>
    </w:p>
    <w:p>
      <w:pPr>
        <w:jc w:val="both"/>
        <w:spacing w:after="0" w:line="472" w:lineRule="auto"/>
        <w:rPr>
          <w:sz w:val="20"/>
          <w:szCs w:val="20"/>
          <w:color w:val="auto"/>
        </w:rPr>
      </w:pPr>
      <w:r>
        <w:rPr>
          <w:rFonts w:ascii="Arial" w:cs="Arial" w:eastAsia="Arial" w:hAnsi="Arial"/>
          <w:sz w:val="16"/>
          <w:szCs w:val="16"/>
          <w:color w:val="auto"/>
        </w:rPr>
        <w:t>PENNANTPARK INVESTMENT CORP PENNANTPARK INVESTMENT CORP</w:t>
      </w:r>
    </w:p>
    <w:p>
      <w:pPr>
        <w:spacing w:after="0" w:line="140" w:lineRule="exact"/>
        <w:rPr>
          <w:sz w:val="20"/>
          <w:szCs w:val="20"/>
          <w:color w:val="auto"/>
        </w:rPr>
      </w:pPr>
    </w:p>
    <w:p>
      <w:pPr>
        <w:jc w:val="both"/>
        <w:spacing w:after="0" w:line="432" w:lineRule="auto"/>
        <w:rPr>
          <w:sz w:val="20"/>
          <w:szCs w:val="20"/>
          <w:color w:val="auto"/>
        </w:rPr>
      </w:pPr>
      <w:r>
        <w:rPr>
          <w:rFonts w:ascii="Arial" w:cs="Arial" w:eastAsia="Arial" w:hAnsi="Arial"/>
          <w:sz w:val="16"/>
          <w:szCs w:val="16"/>
          <w:color w:val="auto"/>
        </w:rPr>
        <w:t>PENNANTPARK INVESTMENT CORP PENNANTPARK INVESTMENT CORP PENNANTPARK INVESTMENT CORP PENNANTPARK INVESTMENT CORP PENNANTPARK INVESTMENT CORP PENNANTPARK INVESTMENT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Equity/Common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Equity/Common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Equity/Warrants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Equity/Warrants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Equity/Warrants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Equity/Warrants</w:t>
      </w:r>
    </w:p>
    <w:p>
      <w:pPr>
        <w:sectPr>
          <w:pgSz w:w="11900" w:h="16838" w:orient="portrait"/>
          <w:cols w:equalWidth="0" w:num="3">
            <w:col w:w="6140" w:space="280"/>
            <w:col w:w="2940" w:space="660"/>
            <w:col w:w="1160"/>
          </w:cols>
          <w:pgMar w:left="320" w:top="280" w:right="399" w:bottom="1440" w:gutter="0" w:footer="0" w:header="0"/>
        </w:sectPr>
      </w:pPr>
    </w:p>
    <w:bookmarkStart w:id="187" w:name="page188"/>
    <w:bookmarkEnd w:id="187"/>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6.08</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Transactions with Affiliates</w:t>
      </w:r>
    </w:p>
    <w:p>
      <w:pPr>
        <w:spacing w:after="0" w:line="177" w:lineRule="exact"/>
        <w:rPr>
          <w:sz w:val="20"/>
          <w:szCs w:val="20"/>
          <w:color w:val="auto"/>
        </w:rPr>
      </w:pPr>
    </w:p>
    <w:p>
      <w:pPr>
        <w:ind w:right="120" w:firstLine="8"/>
        <w:spacing w:after="0" w:line="268" w:lineRule="auto"/>
        <w:tabs>
          <w:tab w:leader="none" w:pos="17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We hold the debt and equity of EnviroSolutions, Inc., Performance Holdings, Inc. and SuttonPark Holdings Inc. and we enter into certain transactions with such Persons (including receiving and making distributions).</w:t>
      </w:r>
    </w:p>
    <w:p>
      <w:pPr>
        <w:spacing w:after="0" w:line="131" w:lineRule="exact"/>
        <w:rPr>
          <w:rFonts w:ascii="Arial" w:cs="Arial" w:eastAsia="Arial" w:hAnsi="Arial"/>
          <w:sz w:val="18"/>
          <w:szCs w:val="18"/>
          <w:color w:val="auto"/>
        </w:rPr>
      </w:pPr>
    </w:p>
    <w:p>
      <w:pPr>
        <w:ind w:firstLine="8"/>
        <w:spacing w:after="0" w:line="253" w:lineRule="auto"/>
        <w:tabs>
          <w:tab w:leader="none" w:pos="17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We entered into an administration agreement with our controlled affiliate, SuttonPark Holdings Inc.(“SPH”). Under the administration agreement with SPH (the “SPH Administration Agreement”), PennantPark Investment Corporation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16981395.5.BUSINESS</w:t>
      </w:r>
    </w:p>
    <w:p>
      <w:pPr>
        <w:sectPr>
          <w:pgSz w:w="11900" w:h="16838" w:orient="portrait"/>
          <w:cols w:equalWidth="0" w:num="1">
            <w:col w:w="11160"/>
          </w:cols>
          <w:pgMar w:left="320" w:top="274" w:right="41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 AND ASSUMPTION</w:t>
      </w:r>
    </w:p>
    <w:p>
      <w:pPr>
        <w:spacing w:after="0" w:line="177" w:lineRule="exact"/>
        <w:rPr>
          <w:sz w:val="20"/>
          <w:szCs w:val="20"/>
          <w:color w:val="auto"/>
        </w:rPr>
      </w:pPr>
    </w:p>
    <w:p>
      <w:pPr>
        <w:ind w:firstLine="898"/>
        <w:spacing w:after="0" w:line="294" w:lineRule="auto"/>
        <w:rPr>
          <w:sz w:val="20"/>
          <w:szCs w:val="20"/>
          <w:color w:val="auto"/>
        </w:rPr>
      </w:pPr>
      <w:r>
        <w:rPr>
          <w:rFonts w:ascii="Arial" w:cs="Arial" w:eastAsia="Arial" w:hAnsi="Arial"/>
          <w:sz w:val="16"/>
          <w:szCs w:val="16"/>
          <w:color w:val="auto"/>
        </w:rPr>
        <w:t>This Assignment and Assumption (the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w:t>
      </w:r>
      <w:r>
        <w:rPr>
          <w:rFonts w:ascii="Arial" w:cs="Arial" w:eastAsia="Arial" w:hAnsi="Arial"/>
          <w:sz w:val="16"/>
          <w:szCs w:val="16"/>
          <w:i w:val="1"/>
          <w:iCs w:val="1"/>
          <w:color w:val="auto"/>
        </w:rPr>
        <w:t>Insert name of Assignor]</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Assignor</w:t>
      </w:r>
      <w:r>
        <w:rPr>
          <w:rFonts w:ascii="Arial" w:cs="Arial" w:eastAsia="Arial" w:hAnsi="Arial"/>
          <w:sz w:val="16"/>
          <w:szCs w:val="16"/>
          <w:color w:val="auto"/>
        </w:rPr>
        <w:t>”) and [</w:t>
      </w:r>
      <w:r>
        <w:rPr>
          <w:rFonts w:ascii="Arial" w:cs="Arial" w:eastAsia="Arial" w:hAnsi="Arial"/>
          <w:sz w:val="16"/>
          <w:szCs w:val="16"/>
          <w:i w:val="1"/>
          <w:iCs w:val="1"/>
          <w:color w:val="auto"/>
        </w:rPr>
        <w:t>Insert name of Assignee]</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Assignee</w:t>
      </w:r>
      <w:r>
        <w:rPr>
          <w:rFonts w:ascii="Arial" w:cs="Arial" w:eastAsia="Arial" w:hAnsi="Arial"/>
          <w:sz w:val="16"/>
          <w:szCs w:val="16"/>
          <w:color w:val="auto"/>
        </w:rPr>
        <w:t>”). Capitalized terms used but not defined herein shall have the meanings given to them in the Credit Agreement identified below (as amended, restated,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receipt of a copy of which is hereby acknowledged by the Assignee. The Standard Terms and Conditions set forth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attached hereto are hereby agreed to and incorporated herein by reference and made a part of this Assignment and Assumption as if set forth herein in full.</w:t>
      </w:r>
    </w:p>
    <w:p>
      <w:pPr>
        <w:spacing w:after="0" w:line="115" w:lineRule="exact"/>
        <w:rPr>
          <w:sz w:val="20"/>
          <w:szCs w:val="20"/>
          <w:color w:val="auto"/>
        </w:rPr>
      </w:pPr>
    </w:p>
    <w:p>
      <w:pPr>
        <w:ind w:right="20" w:firstLine="898"/>
        <w:spacing w:after="0" w:line="286" w:lineRule="auto"/>
        <w:rPr>
          <w:sz w:val="20"/>
          <w:szCs w:val="20"/>
          <w:color w:val="auto"/>
        </w:rPr>
      </w:pPr>
      <w:r>
        <w:rPr>
          <w:rFonts w:ascii="Arial" w:cs="Arial" w:eastAsia="Arial" w:hAnsi="Arial"/>
          <w:sz w:val="16"/>
          <w:szCs w:val="16"/>
          <w:color w:val="auto"/>
        </w:rPr>
        <w:t xml:space="preserve">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claims at law or in equity related to the rights and obligations sold and assigned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(the rights and obligations sold and assigned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being referred to herein collectively as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Such sale and assignment is without recourse to the Assignor and, except as expressly provided in this Assignment and Assumption, without representation or warranty by the Assignor.</w:t>
      </w:r>
    </w:p>
    <w:p>
      <w:pPr>
        <w:spacing w:after="0" w:line="191"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Assignor:</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-297180</wp:posOffset>
            </wp:positionV>
            <wp:extent cx="31375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-5715</wp:posOffset>
            </wp:positionV>
            <wp:extent cx="31375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[and is an Affiliate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r>
        <w:rPr>
          <w:rFonts w:ascii="Arial" w:cs="Arial" w:eastAsia="Arial" w:hAnsi="Arial"/>
          <w:sz w:val="11"/>
          <w:szCs w:val="11"/>
          <w:color w:val="auto"/>
        </w:rPr>
        <w:t>1</w:t>
      </w:r>
      <w:r>
        <w:rPr>
          <w:rFonts w:ascii="Arial" w:cs="Arial" w:eastAsia="Arial" w:hAnsi="Arial"/>
          <w:sz w:val="18"/>
          <w:szCs w:val="18"/>
          <w:color w:val="auto"/>
        </w:rPr>
        <w:t xml:space="preserve"> ]</w:t>
      </w:r>
    </w:p>
    <w:p>
      <w:pPr>
        <w:spacing w:after="0" w:line="219"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Borrower:  PennantPark Investment Corporation</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Administrative Agent: SunTrust Bank,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12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09"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22"/>
          <w:szCs w:val="22"/>
          <w:color w:val="auto"/>
          <w:vertAlign w:val="superscript"/>
        </w:rPr>
      </w:pPr>
      <w:r>
        <w:rPr>
          <w:rFonts w:ascii="Arial" w:cs="Arial" w:eastAsia="Arial" w:hAnsi="Arial"/>
          <w:sz w:val="18"/>
          <w:szCs w:val="18"/>
          <w:color w:val="auto"/>
        </w:rPr>
        <w:t>Select as applicable.</w:t>
      </w:r>
    </w:p>
    <w:p>
      <w:pPr>
        <w:sectPr>
          <w:pgSz w:w="11900" w:h="16838" w:orient="portrait"/>
          <w:cols w:equalWidth="0" w:num="1">
            <w:col w:w="11240"/>
          </w:cols>
          <w:pgMar w:left="320" w:top="274" w:right="339" w:bottom="1440" w:gutter="0" w:footer="0" w:header="0"/>
        </w:sectPr>
      </w:pPr>
    </w:p>
    <w:bookmarkStart w:id="189" w:name="page190"/>
    <w:bookmarkEnd w:id="189"/>
    <w:p>
      <w:pPr>
        <w:ind w:left="460" w:right="580" w:hanging="452"/>
        <w:spacing w:after="0" w:line="331" w:lineRule="auto"/>
        <w:tabs>
          <w:tab w:leader="none" w:pos="4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Credit Agreement: The $380,000,000 Amended and Restated Senior Secured Revolving Credit Agreement dated as of February 21, 2012, among PennantPark Investment Corporation, the Lenders parties thereto and SunTrust Bank, as Administrative Agent</w:t>
      </w:r>
    </w:p>
    <w:p>
      <w:pPr>
        <w:spacing w:after="0" w:line="127" w:lineRule="exact"/>
        <w:rPr>
          <w:rFonts w:ascii="Arial" w:cs="Arial" w:eastAsia="Arial" w:hAnsi="Arial"/>
          <w:sz w:val="16"/>
          <w:szCs w:val="16"/>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w w:val="94"/>
              </w:rPr>
              <w:t>Aggregate Amount of</w:t>
            </w:r>
          </w:p>
        </w:tc>
        <w:tc>
          <w:tcPr>
            <w:tcW w:w="920" w:type="dxa"/>
            <w:vAlign w:val="bottom"/>
          </w:tcPr>
          <w:p>
            <w:pPr>
              <w:spacing w:after="0"/>
              <w:rPr>
                <w:sz w:val="13"/>
                <w:szCs w:val="13"/>
                <w:color w:val="auto"/>
              </w:rPr>
            </w:pPr>
          </w:p>
        </w:tc>
        <w:tc>
          <w:tcPr>
            <w:tcW w:w="2020" w:type="dxa"/>
            <w:vAlign w:val="bottom"/>
            <w:gridSpan w:val="2"/>
          </w:tcPr>
          <w:p>
            <w:pPr>
              <w:jc w:val="center"/>
              <w:ind w:right="920"/>
              <w:spacing w:after="0"/>
              <w:rPr>
                <w:sz w:val="20"/>
                <w:szCs w:val="20"/>
                <w:color w:val="auto"/>
              </w:rPr>
            </w:pPr>
            <w:r>
              <w:rPr>
                <w:rFonts w:ascii="Arial" w:cs="Arial" w:eastAsia="Arial" w:hAnsi="Arial"/>
                <w:sz w:val="13"/>
                <w:szCs w:val="13"/>
                <w:color w:val="auto"/>
                <w:w w:val="97"/>
              </w:rPr>
              <w:t>Amount of</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Percentage Assigned</w:t>
            </w:r>
          </w:p>
        </w:tc>
        <w:tc>
          <w:tcPr>
            <w:tcW w:w="0" w:type="dxa"/>
            <w:vAlign w:val="bottom"/>
          </w:tcPr>
          <w:p>
            <w:pPr>
              <w:spacing w:after="0"/>
              <w:rPr>
                <w:sz w:val="1"/>
                <w:szCs w:val="1"/>
                <w:color w:val="auto"/>
              </w:rPr>
            </w:pPr>
          </w:p>
        </w:tc>
      </w:tr>
      <w:tr>
        <w:trPr>
          <w:trHeight w:val="132"/>
        </w:trPr>
        <w:tc>
          <w:tcPr>
            <w:tcW w:w="1360" w:type="dxa"/>
            <w:vAlign w:val="bottom"/>
            <w:gridSpan w:val="2"/>
            <w:vMerge w:val="restart"/>
          </w:tcPr>
          <w:p>
            <w:pPr>
              <w:spacing w:after="0"/>
              <w:rPr>
                <w:sz w:val="20"/>
                <w:szCs w:val="20"/>
                <w:color w:val="auto"/>
              </w:rPr>
            </w:pPr>
            <w:r>
              <w:rPr>
                <w:rFonts w:ascii="Arial" w:cs="Arial" w:eastAsia="Arial" w:hAnsi="Arial"/>
                <w:sz w:val="13"/>
                <w:szCs w:val="13"/>
                <w:color w:val="auto"/>
              </w:rPr>
              <w:t>Class Assigned</w:t>
            </w:r>
            <w:r>
              <w:rPr>
                <w:rFonts w:ascii="Arial" w:cs="Arial" w:eastAsia="Arial" w:hAnsi="Arial"/>
                <w:sz w:val="22"/>
                <w:szCs w:val="22"/>
                <w:color w:val="auto"/>
                <w:vertAlign w:val="superscript"/>
              </w:rPr>
              <w:t>2</w:t>
            </w:r>
          </w:p>
        </w:tc>
        <w:tc>
          <w:tcPr>
            <w:tcW w:w="450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3"/>
                <w:szCs w:val="13"/>
                <w:color w:val="auto"/>
                <w:w w:val="95"/>
              </w:rPr>
              <w:t>Commitment/Loans</w:t>
            </w:r>
          </w:p>
        </w:tc>
        <w:tc>
          <w:tcPr>
            <w:tcW w:w="2940" w:type="dxa"/>
            <w:vAlign w:val="bottom"/>
            <w:gridSpan w:val="3"/>
          </w:tcPr>
          <w:p>
            <w:pPr>
              <w:ind w:left="920"/>
              <w:spacing w:after="0" w:line="133" w:lineRule="exact"/>
              <w:rPr>
                <w:sz w:val="20"/>
                <w:szCs w:val="20"/>
                <w:color w:val="auto"/>
              </w:rPr>
            </w:pPr>
            <w:r>
              <w:rPr>
                <w:rFonts w:ascii="Arial" w:cs="Arial" w:eastAsia="Arial" w:hAnsi="Arial"/>
                <w:sz w:val="13"/>
                <w:szCs w:val="13"/>
                <w:color w:val="auto"/>
              </w:rPr>
              <w:t>Commitment/Loans</w:t>
            </w:r>
          </w:p>
        </w:tc>
        <w:tc>
          <w:tcPr>
            <w:tcW w:w="1240" w:type="dxa"/>
            <w:vAlign w:val="bottom"/>
            <w:gridSpan w:val="2"/>
          </w:tcPr>
          <w:p>
            <w:pPr>
              <w:jc w:val="right"/>
              <w:ind w:right="620"/>
              <w:spacing w:after="0" w:line="133" w:lineRule="exact"/>
              <w:rPr>
                <w:sz w:val="20"/>
                <w:szCs w:val="20"/>
                <w:color w:val="auto"/>
              </w:rPr>
            </w:pPr>
            <w:r>
              <w:rPr>
                <w:rFonts w:ascii="Arial" w:cs="Arial" w:eastAsia="Arial" w:hAnsi="Arial"/>
                <w:sz w:val="13"/>
                <w:szCs w:val="13"/>
                <w:color w:val="auto"/>
              </w:rPr>
              <w:t>of</w:t>
            </w:r>
          </w:p>
        </w:tc>
        <w:tc>
          <w:tcPr>
            <w:tcW w:w="0" w:type="dxa"/>
            <w:vAlign w:val="bottom"/>
          </w:tcPr>
          <w:p>
            <w:pPr>
              <w:spacing w:after="0"/>
              <w:rPr>
                <w:sz w:val="1"/>
                <w:szCs w:val="1"/>
                <w:color w:val="auto"/>
              </w:rPr>
            </w:pPr>
          </w:p>
        </w:tc>
      </w:tr>
      <w:tr>
        <w:trPr>
          <w:trHeight w:val="169"/>
        </w:trPr>
        <w:tc>
          <w:tcPr>
            <w:tcW w:w="1360" w:type="dxa"/>
            <w:vAlign w:val="bottom"/>
            <w:gridSpan w:val="2"/>
            <w:vMerge w:val="continue"/>
          </w:tcPr>
          <w:p>
            <w:pPr>
              <w:spacing w:after="0"/>
              <w:rPr>
                <w:sz w:val="14"/>
                <w:szCs w:val="14"/>
                <w:color w:val="auto"/>
              </w:rPr>
            </w:pPr>
          </w:p>
        </w:tc>
        <w:tc>
          <w:tcPr>
            <w:tcW w:w="45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7"/>
              </w:rPr>
              <w:t>for all Lenders</w:t>
            </w:r>
          </w:p>
        </w:tc>
        <w:tc>
          <w:tcPr>
            <w:tcW w:w="920" w:type="dxa"/>
            <w:vAlign w:val="bottom"/>
          </w:tcPr>
          <w:p>
            <w:pPr>
              <w:spacing w:after="0"/>
              <w:rPr>
                <w:sz w:val="14"/>
                <w:szCs w:val="14"/>
                <w:color w:val="auto"/>
              </w:rPr>
            </w:pPr>
          </w:p>
        </w:tc>
        <w:tc>
          <w:tcPr>
            <w:tcW w:w="2020" w:type="dxa"/>
            <w:vAlign w:val="bottom"/>
            <w:gridSpan w:val="2"/>
          </w:tcPr>
          <w:p>
            <w:pPr>
              <w:jc w:val="center"/>
              <w:ind w:right="920"/>
              <w:spacing w:after="0"/>
              <w:rPr>
                <w:sz w:val="20"/>
                <w:szCs w:val="20"/>
                <w:color w:val="auto"/>
              </w:rPr>
            </w:pPr>
            <w:r>
              <w:rPr>
                <w:rFonts w:ascii="Arial" w:cs="Arial" w:eastAsia="Arial" w:hAnsi="Arial"/>
                <w:sz w:val="13"/>
                <w:szCs w:val="13"/>
                <w:color w:val="auto"/>
                <w:w w:val="93"/>
              </w:rPr>
              <w:t>Assigned</w:t>
            </w:r>
          </w:p>
        </w:tc>
        <w:tc>
          <w:tcPr>
            <w:tcW w:w="1240" w:type="dxa"/>
            <w:vAlign w:val="bottom"/>
            <w:gridSpan w:val="2"/>
          </w:tcPr>
          <w:p>
            <w:pPr>
              <w:jc w:val="right"/>
              <w:ind w:right="100"/>
              <w:spacing w:after="0" w:line="162" w:lineRule="exact"/>
              <w:rPr>
                <w:sz w:val="20"/>
                <w:szCs w:val="20"/>
                <w:color w:val="auto"/>
              </w:rPr>
            </w:pPr>
            <w:r>
              <w:rPr>
                <w:rFonts w:ascii="Arial" w:cs="Arial" w:eastAsia="Arial" w:hAnsi="Arial"/>
                <w:sz w:val="11"/>
                <w:szCs w:val="11"/>
                <w:color w:val="auto"/>
              </w:rPr>
              <w:t>Commitment/Loans</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216"/>
        </w:trPr>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00" w:type="dxa"/>
            <w:vAlign w:val="bottom"/>
            <w:gridSpan w:val="2"/>
          </w:tcPr>
          <w:p>
            <w:pPr>
              <w:ind w:left="4500"/>
              <w:spacing w:after="0"/>
              <w:rPr>
                <w:sz w:val="20"/>
                <w:szCs w:val="20"/>
                <w:color w:val="auto"/>
              </w:rPr>
            </w:pPr>
            <w:r>
              <w:rPr>
                <w:rFonts w:ascii="Arial" w:cs="Arial" w:eastAsia="Arial" w:hAnsi="Arial"/>
                <w:sz w:val="18"/>
                <w:szCs w:val="18"/>
                <w:color w:val="auto"/>
              </w:rPr>
              <w:t>$</w:t>
            </w:r>
          </w:p>
        </w:tc>
        <w:tc>
          <w:tcPr>
            <w:tcW w:w="20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ind w:left="45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0"/>
        </w:trPr>
        <w:tc>
          <w:tcPr>
            <w:tcW w:w="136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9880" w:type="dxa"/>
            <w:vAlign w:val="bottom"/>
            <w:gridSpan w:val="7"/>
          </w:tcPr>
          <w:p>
            <w:pPr>
              <w:jc w:val="right"/>
              <w:ind w:right="1120"/>
              <w:spacing w:after="0"/>
              <w:rPr>
                <w:sz w:val="20"/>
                <w:szCs w:val="20"/>
                <w:color w:val="auto"/>
              </w:rPr>
            </w:pPr>
            <w:r>
              <w:rPr>
                <w:rFonts w:ascii="Arial" w:cs="Arial" w:eastAsia="Arial" w:hAnsi="Arial"/>
                <w:sz w:val="18"/>
                <w:szCs w:val="18"/>
                <w:color w:val="auto"/>
                <w:w w:val="98"/>
              </w:rPr>
              <w:t>, 201  [TO BE INSERTED BY ADMINISTRATIVE AGENT AND WHICH SHALL BE THE EFFECTIVE DATE OF</w:t>
            </w:r>
          </w:p>
        </w:tc>
        <w:tc>
          <w:tcPr>
            <w:tcW w:w="0" w:type="dxa"/>
            <w:vAlign w:val="bottom"/>
          </w:tcPr>
          <w:p>
            <w:pPr>
              <w:spacing w:after="0"/>
              <w:rPr>
                <w:sz w:val="1"/>
                <w:szCs w:val="1"/>
                <w:color w:val="auto"/>
              </w:rPr>
            </w:pPr>
          </w:p>
        </w:tc>
      </w:tr>
      <w:tr>
        <w:trPr>
          <w:trHeight w:val="222"/>
        </w:trPr>
        <w:tc>
          <w:tcPr>
            <w:tcW w:w="7060" w:type="dxa"/>
            <w:vAlign w:val="bottom"/>
            <w:gridSpan w:val="4"/>
          </w:tcPr>
          <w:p>
            <w:pPr>
              <w:spacing w:after="0"/>
              <w:rPr>
                <w:sz w:val="20"/>
                <w:szCs w:val="20"/>
                <w:color w:val="auto"/>
              </w:rPr>
            </w:pPr>
            <w:r>
              <w:rPr>
                <w:rFonts w:ascii="Arial" w:cs="Arial" w:eastAsia="Arial" w:hAnsi="Arial"/>
                <w:sz w:val="18"/>
                <w:szCs w:val="18"/>
                <w:color w:val="auto"/>
              </w:rPr>
              <w:t>RECORDATION OF TRANSFER IN THE REGISTER THEREFOR.]</w:t>
            </w: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12"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ASSIGNOR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10795</wp:posOffset>
            </wp:positionV>
            <wp:extent cx="258889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ASSIGNEE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10795</wp:posOffset>
            </wp:positionV>
            <wp:extent cx="25888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12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Fill in the appropriate terminology for the types of facilities under the Credit Agreement that are being assigned under this Assignment (e.g. “Dollar Commitment”, “Multicurrency Commitment”, etc.).</w:t>
      </w:r>
    </w:p>
    <w:p>
      <w:pPr>
        <w:spacing w:after="0"/>
        <w:rPr>
          <w:sz w:val="20"/>
          <w:szCs w:val="20"/>
          <w:color w:val="auto"/>
        </w:rPr>
      </w:pPr>
      <w:r>
        <w:rPr>
          <w:rFonts w:ascii="Arial" w:cs="Arial" w:eastAsia="Arial" w:hAnsi="Arial"/>
          <w:sz w:val="18"/>
          <w:szCs w:val="18"/>
          <w:color w:val="auto"/>
        </w:rPr>
        <w:t>Set forth, to at least 9 decimals, as a percentage of the Commitment/Loans of all Lenders thereunder.</w:t>
      </w:r>
    </w:p>
    <w:p>
      <w:pPr>
        <w:spacing w:after="0" w:line="151" w:lineRule="exact"/>
        <w:rPr>
          <w:sz w:val="20"/>
          <w:szCs w:val="20"/>
          <w:color w:val="auto"/>
        </w:rPr>
      </w:pPr>
    </w:p>
    <w:p>
      <w:pPr>
        <w:sectPr>
          <w:pgSz w:w="11900" w:h="16838" w:orient="portrait"/>
          <w:cols w:equalWidth="0" w:num="2">
            <w:col w:w="60" w:space="400"/>
            <w:col w:w="10780"/>
          </w:cols>
          <w:pgMar w:left="320" w:top="280" w:right="339" w:bottom="1440" w:gutter="0" w:footer="0" w:header="0"/>
          <w:type w:val="continuous"/>
        </w:sectPr>
      </w:pPr>
    </w:p>
    <w:p>
      <w:pPr>
        <w:spacing w:after="0"/>
        <w:tabs>
          <w:tab w:leader="none" w:pos="5660" w:val="left"/>
        </w:tabs>
        <w:rPr>
          <w:sz w:val="20"/>
          <w:szCs w:val="20"/>
          <w:color w:val="auto"/>
        </w:rPr>
      </w:pPr>
      <w:r>
        <w:rPr>
          <w:rFonts w:ascii="Arial" w:cs="Arial" w:eastAsia="Arial" w:hAnsi="Arial"/>
          <w:sz w:val="18"/>
          <w:szCs w:val="18"/>
          <w:color w:val="auto"/>
        </w:rPr>
        <w:t>701067097.3 11262547</w:t>
      </w:r>
      <w:r>
        <w:rPr>
          <w:sz w:val="20"/>
          <w:szCs w:val="20"/>
          <w:color w:val="auto"/>
        </w:rPr>
        <w:tab/>
      </w:r>
      <w:r>
        <w:rPr>
          <w:rFonts w:ascii="Arial" w:cs="Arial" w:eastAsia="Arial" w:hAnsi="Arial"/>
          <w:sz w:val="14"/>
          <w:szCs w:val="14"/>
          <w:color w:val="auto"/>
        </w:rPr>
        <w:t>2</w:t>
      </w:r>
    </w:p>
    <w:p>
      <w:pPr>
        <w:sectPr>
          <w:pgSz w:w="11900" w:h="16838" w:orient="portrait"/>
          <w:cols w:equalWidth="0" w:num="1">
            <w:col w:w="11240"/>
          </w:cols>
          <w:pgMar w:left="320" w:top="280" w:right="339" w:bottom="1440" w:gutter="0" w:footer="0" w:header="0"/>
          <w:type w:val="continuous"/>
        </w:sectPr>
      </w:pPr>
    </w:p>
    <w:bookmarkStart w:id="190" w:name="page191"/>
    <w:bookmarkEnd w:id="1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[Consented to and]</w:t>
      </w:r>
      <w:r>
        <w:rPr>
          <w:rFonts w:ascii="Arial" w:cs="Arial" w:eastAsia="Arial" w:hAnsi="Arial"/>
          <w:sz w:val="11"/>
          <w:szCs w:val="11"/>
          <w:color w:val="auto"/>
        </w:rPr>
        <w:t>4</w:t>
      </w:r>
      <w:r>
        <w:rPr>
          <w:rFonts w:ascii="Arial" w:cs="Arial" w:eastAsia="Arial" w:hAnsi="Arial"/>
          <w:sz w:val="18"/>
          <w:szCs w:val="18"/>
          <w:color w:val="auto"/>
        </w:rPr>
        <w:t xml:space="preserve">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BANK,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5546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BANK,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Issuing Bank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55460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1"/>
          <w:szCs w:val="11"/>
          <w:color w:val="auto"/>
        </w:rPr>
        <w:t>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PENNANTPARK INVESTMENT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5546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12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ectPr>
          <w:pgSz w:w="11900" w:h="16838" w:orient="portrait"/>
          <w:cols w:equalWidth="0" w:num="1">
            <w:col w:w="10139"/>
          </w:cols>
          <w:pgMar w:left="320" w:top="280" w:right="1440"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To be added only if the consent of the Administrative Agent is required by the terms of the Credit Agreement.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be added only when the consent of the Borrower is required by the terms of the Credit Agreement.</w:t>
      </w:r>
    </w:p>
    <w:p>
      <w:pPr>
        <w:spacing w:after="0" w:line="174" w:lineRule="exact"/>
        <w:rPr>
          <w:sz w:val="20"/>
          <w:szCs w:val="20"/>
          <w:color w:val="auto"/>
        </w:rPr>
      </w:pPr>
    </w:p>
    <w:p>
      <w:pPr>
        <w:sectPr>
          <w:pgSz w:w="11900" w:h="16838" w:orient="portrait"/>
          <w:cols w:equalWidth="0" w:num="2">
            <w:col w:w="60" w:space="400"/>
            <w:col w:w="9679"/>
          </w:cols>
          <w:pgMar w:left="320" w:top="280" w:right="1440" w:bottom="1440" w:gutter="0" w:footer="0" w:header="0"/>
          <w:type w:val="continuous"/>
        </w:sectPr>
      </w:pPr>
    </w:p>
    <w:p>
      <w:pPr>
        <w:spacing w:after="0"/>
        <w:tabs>
          <w:tab w:leader="none" w:pos="5660" w:val="left"/>
        </w:tabs>
        <w:rPr>
          <w:sz w:val="20"/>
          <w:szCs w:val="20"/>
          <w:color w:val="auto"/>
        </w:rPr>
      </w:pPr>
      <w:r>
        <w:rPr>
          <w:rFonts w:ascii="Arial" w:cs="Arial" w:eastAsia="Arial" w:hAnsi="Arial"/>
          <w:sz w:val="18"/>
          <w:szCs w:val="18"/>
          <w:color w:val="auto"/>
        </w:rPr>
        <w:t>701067097.3 11262547</w:t>
      </w:r>
      <w:r>
        <w:rPr>
          <w:sz w:val="20"/>
          <w:szCs w:val="20"/>
          <w:color w:val="auto"/>
        </w:rPr>
        <w:tab/>
      </w:r>
      <w:r>
        <w:rPr>
          <w:rFonts w:ascii="Arial" w:cs="Arial" w:eastAsia="Arial" w:hAnsi="Arial"/>
          <w:sz w:val="14"/>
          <w:szCs w:val="14"/>
          <w:color w:val="auto"/>
        </w:rPr>
        <w:t>3</w:t>
      </w:r>
    </w:p>
    <w:p>
      <w:pPr>
        <w:sectPr>
          <w:pgSz w:w="11900" w:h="16838" w:orient="portrait"/>
          <w:cols w:equalWidth="0" w:num="1">
            <w:col w:w="10139"/>
          </w:cols>
          <w:pgMar w:left="320" w:top="280" w:right="1440" w:bottom="1440" w:gutter="0" w:footer="0" w:header="0"/>
          <w:type w:val="continuous"/>
        </w:sectPr>
      </w:pPr>
    </w:p>
    <w:bookmarkStart w:id="191" w:name="page192"/>
    <w:bookmarkEnd w:id="191"/>
    <w:p>
      <w:pPr>
        <w:ind w:left="5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1</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STANDARD TERMS AND CONDITIONS FOR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Representative and Warranties.</w:t>
      </w:r>
    </w:p>
    <w:p>
      <w:pPr>
        <w:spacing w:after="0" w:line="171" w:lineRule="exact"/>
        <w:rPr>
          <w:sz w:val="20"/>
          <w:szCs w:val="20"/>
          <w:color w:val="auto"/>
        </w:rPr>
      </w:pPr>
    </w:p>
    <w:p>
      <w:pPr>
        <w:ind w:right="120" w:firstLine="898"/>
        <w:spacing w:after="0" w:line="303"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Assignor</w:t>
      </w:r>
      <w:r>
        <w:rPr>
          <w:rFonts w:ascii="Arial" w:cs="Arial" w:eastAsia="Arial" w:hAnsi="Arial"/>
          <w:sz w:val="15"/>
          <w:szCs w:val="15"/>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w:t>
      </w:r>
    </w:p>
    <w:p>
      <w:pPr>
        <w:spacing w:after="0" w:line="1" w:lineRule="exact"/>
        <w:rPr>
          <w:sz w:val="20"/>
          <w:szCs w:val="20"/>
          <w:color w:val="auto"/>
        </w:rPr>
      </w:pPr>
    </w:p>
    <w:p>
      <w:pPr>
        <w:ind w:right="100" w:firstLine="8"/>
        <w:spacing w:after="0" w:line="295" w:lineRule="auto"/>
        <w:tabs>
          <w:tab w:leader="none" w:pos="21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15" w:lineRule="exact"/>
        <w:rPr>
          <w:sz w:val="20"/>
          <w:szCs w:val="20"/>
          <w:color w:val="auto"/>
        </w:rPr>
      </w:pPr>
    </w:p>
    <w:p>
      <w:pPr>
        <w:ind w:firstLine="898"/>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30" w:lineRule="exact"/>
        <w:rPr>
          <w:sz w:val="20"/>
          <w:szCs w:val="20"/>
          <w:color w:val="auto"/>
        </w:rPr>
      </w:pPr>
    </w:p>
    <w:p>
      <w:pPr>
        <w:ind w:right="220" w:firstLine="906"/>
        <w:spacing w:after="0" w:line="259" w:lineRule="auto"/>
        <w:tabs>
          <w:tab w:leader="none" w:pos="1074"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up to but excluding the Effective Date and to the Assignee for amounts which have accrued from and after the Effective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701067097.3 11262547</w:t>
      </w:r>
    </w:p>
    <w:p>
      <w:pPr>
        <w:sectPr>
          <w:pgSz w:w="11900" w:h="16838" w:orient="portrait"/>
          <w:cols w:equalWidth="0" w:num="1">
            <w:col w:w="11240"/>
          </w:cols>
          <w:pgMar w:left="320" w:top="280" w:right="339" w:bottom="1440" w:gutter="0" w:footer="0" w:header="0"/>
        </w:sectPr>
      </w:pPr>
    </w:p>
    <w:bookmarkStart w:id="192" w:name="page193"/>
    <w:bookmarkEnd w:id="192"/>
    <w:p>
      <w:pPr>
        <w:ind w:firstLine="906"/>
        <w:spacing w:after="0" w:line="254" w:lineRule="auto"/>
        <w:tabs>
          <w:tab w:leader="none" w:pos="1074"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email or other electronic method of transmission shall be effective as deliver of a manually executed counterpart of this Assignment and Assumption. This Assignment and Assumption shall be governed by, and construed in accordance with, the law of the State of New York.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701067097.3 11262547</w:t>
      </w:r>
    </w:p>
    <w:p>
      <w:pPr>
        <w:sectPr>
          <w:pgSz w:w="11900" w:h="16838" w:orient="portrait"/>
          <w:cols w:equalWidth="0" w:num="1">
            <w:col w:w="11180"/>
          </w:cols>
          <w:pgMar w:left="320" w:top="280" w:right="39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BORROWING BASE CERTIFICATE</w:t>
      </w:r>
    </w:p>
    <w:p>
      <w:pPr>
        <w:spacing w:after="0" w:line="171" w:lineRule="exact"/>
        <w:rPr>
          <w:sz w:val="20"/>
          <w:szCs w:val="20"/>
          <w:color w:val="auto"/>
        </w:rPr>
      </w:pPr>
    </w:p>
    <w:tbl>
      <w:tblPr>
        <w:tblLayout w:type="fixed"/>
        <w:tblInd w:w="3820" w:type="dxa"/>
        <w:tblCellMar>
          <w:top w:w="0" w:type="dxa"/>
          <w:left w:w="0" w:type="dxa"/>
          <w:bottom w:w="0" w:type="dxa"/>
          <w:right w:w="0" w:type="dxa"/>
        </w:tblCellMar>
      </w:tblPr>
      <w:tr>
        <w:trPr>
          <w:trHeight w:val="228"/>
        </w:trPr>
        <w:tc>
          <w:tcPr>
            <w:tcW w:w="2800" w:type="dxa"/>
            <w:vAlign w:val="bottom"/>
          </w:tcPr>
          <w:p>
            <w:pPr>
              <w:spacing w:after="0"/>
              <w:rPr>
                <w:sz w:val="20"/>
                <w:szCs w:val="20"/>
                <w:color w:val="auto"/>
              </w:rPr>
            </w:pPr>
            <w:r>
              <w:rPr>
                <w:rFonts w:ascii="Arial" w:cs="Arial" w:eastAsia="Arial" w:hAnsi="Arial"/>
                <w:sz w:val="18"/>
                <w:szCs w:val="18"/>
                <w:b w:val="1"/>
                <w:bCs w:val="1"/>
                <w:color w:val="auto"/>
                <w:w w:val="96"/>
              </w:rPr>
              <w:t>Monthly accounting period ended</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 201</w:t>
            </w:r>
          </w:p>
        </w:tc>
      </w:tr>
    </w:tbl>
    <w:p>
      <w:pPr>
        <w:spacing w:after="0" w:line="156"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Reference is made to that certain Amended and Restated Senior Secured Revolving Credit Agreement, dated as of February 21, 2012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PENNANTPARK INVESTMENT CORPORATION, a Maryland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financial institutions party thereto as Lenders, and SunTrust Bank, as the Administrative Agent. Capitalized terms used herein without definition are so used as defined in the Credit Agreement.</w:t>
      </w:r>
    </w:p>
    <w:p>
      <w:pPr>
        <w:spacing w:after="0" w:line="143" w:lineRule="exact"/>
        <w:rPr>
          <w:sz w:val="20"/>
          <w:szCs w:val="20"/>
          <w:color w:val="auto"/>
        </w:rPr>
      </w:pPr>
    </w:p>
    <w:p>
      <w:pPr>
        <w:ind w:right="100" w:firstLine="449"/>
        <w:spacing w:after="0" w:line="285" w:lineRule="auto"/>
        <w:rPr>
          <w:sz w:val="20"/>
          <w:szCs w:val="20"/>
          <w:color w:val="auto"/>
        </w:rPr>
      </w:pPr>
      <w:r>
        <w:rPr>
          <w:rFonts w:ascii="Arial" w:cs="Arial" w:eastAsia="Arial" w:hAnsi="Arial"/>
          <w:sz w:val="16"/>
          <w:szCs w:val="16"/>
          <w:color w:val="auto"/>
        </w:rPr>
        <w:t xml:space="preserve">Pursuant to Section 5.01(d) of the Credit Agreement, the undersigned, the of the Borrower, and as such a Financial Officer of the Borrower, hereby certifies, represents and warrants on behalf of the Borrower that (a) attached hereto as </w:t>
      </w:r>
      <w:r>
        <w:rPr>
          <w:rFonts w:ascii="Arial" w:cs="Arial" w:eastAsia="Arial" w:hAnsi="Arial"/>
          <w:sz w:val="16"/>
          <w:szCs w:val="16"/>
          <w:u w:val="single" w:color="auto"/>
          <w:color w:val="auto"/>
        </w:rPr>
        <w:t>Annex 1</w:t>
      </w:r>
      <w:r>
        <w:rPr>
          <w:rFonts w:ascii="Arial" w:cs="Arial" w:eastAsia="Arial" w:hAnsi="Arial"/>
          <w:sz w:val="16"/>
          <w:szCs w:val="16"/>
          <w:color w:val="auto"/>
        </w:rPr>
        <w:t xml:space="preserve"> is (i) a complete and correct list as at the end of the</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monthly accounting period ended , 201 of all Portfolio Investments included in the Collateral and (ii) a true and correct calculation of the Borrowing Base as at the end of such monthly accounting period determined in accordance with the requirements of the Credit Agreement, and (b) without limiting the generality of the foregoing, all Portfolio Investments included in the calculation of the Borrowing Base herein have been Delivered (as defined in the Guarantee and Security Agreement) to the Collateral Agent.</w:t>
      </w:r>
    </w:p>
    <w:p>
      <w:pPr>
        <w:spacing w:after="0" w:line="147" w:lineRule="exact"/>
        <w:rPr>
          <w:sz w:val="20"/>
          <w:szCs w:val="20"/>
          <w:color w:val="auto"/>
        </w:rPr>
      </w:pPr>
    </w:p>
    <w:p>
      <w:pPr>
        <w:ind w:left="460"/>
        <w:spacing w:after="0"/>
        <w:tabs>
          <w:tab w:leader="none" w:pos="8320" w:val="left"/>
          <w:tab w:leader="none" w:pos="9340" w:val="left"/>
        </w:tabs>
        <w:rPr>
          <w:sz w:val="20"/>
          <w:szCs w:val="20"/>
          <w:color w:val="auto"/>
        </w:rPr>
      </w:pPr>
      <w:r>
        <w:rPr>
          <w:rFonts w:ascii="Arial" w:cs="Arial" w:eastAsia="Arial" w:hAnsi="Arial"/>
          <w:sz w:val="18"/>
          <w:szCs w:val="18"/>
          <w:color w:val="auto"/>
        </w:rPr>
        <w:t>IN WITNESS WHEREOF, the undersigned has caused this certificate to be duly executed as of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 .</w:t>
      </w:r>
    </w:p>
    <w:p>
      <w:pPr>
        <w:spacing w:after="0" w:line="21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10795</wp:posOffset>
            </wp:positionV>
            <wp:extent cx="258889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701067097.3 11262547</w:t>
      </w:r>
    </w:p>
    <w:p>
      <w:pPr>
        <w:sectPr>
          <w:pgSz w:w="11900" w:h="16838" w:orient="portrait"/>
          <w:cols w:equalWidth="0" w:num="1">
            <w:col w:w="11240"/>
          </w:cols>
          <w:pgMar w:left="320" w:top="274"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441"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80" w:firstLine="8"/>
        <w:spacing w:after="0" w:line="331" w:lineRule="auto"/>
        <w:tabs>
          <w:tab w:leader="none" w:pos="17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ind w:right="20" w:firstLine="8"/>
        <w:spacing w:after="0" w:line="259" w:lineRule="auto"/>
        <w:tabs>
          <w:tab w:leader="none" w:pos="17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0" w:lineRule="exact"/>
        <w:rPr>
          <w:sz w:val="20"/>
          <w:szCs w:val="20"/>
          <w:color w:val="auto"/>
        </w:rPr>
      </w:pPr>
    </w:p>
    <w:p>
      <w:pPr>
        <w:jc w:val="both"/>
        <w:ind w:right="240" w:firstLine="8"/>
        <w:spacing w:after="0" w:line="259" w:lineRule="auto"/>
        <w:tabs>
          <w:tab w:leader="none" w:pos="1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80" w:firstLine="8"/>
        <w:spacing w:after="0" w:line="259" w:lineRule="auto"/>
        <w:tabs>
          <w:tab w:leader="none" w:pos="19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2,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441"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80" w:firstLine="8"/>
        <w:spacing w:after="0" w:line="331" w:lineRule="auto"/>
        <w:tabs>
          <w:tab w:leader="none" w:pos="17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6" w:lineRule="exact"/>
        <w:rPr>
          <w:rFonts w:ascii="Arial" w:cs="Arial" w:eastAsia="Arial" w:hAnsi="Arial"/>
          <w:sz w:val="16"/>
          <w:szCs w:val="16"/>
          <w:color w:val="auto"/>
        </w:rPr>
      </w:pPr>
    </w:p>
    <w:p>
      <w:pPr>
        <w:jc w:val="both"/>
        <w:ind w:right="20" w:firstLine="8"/>
        <w:spacing w:after="0" w:line="369" w:lineRule="auto"/>
        <w:tabs>
          <w:tab w:leader="none" w:pos="175"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internal control over financial reporting (as defined in Exchange Act Rules 13a-15(f) and 15d-15(f)) for the company and have:</w:t>
      </w:r>
    </w:p>
    <w:p>
      <w:pPr>
        <w:spacing w:after="0" w:line="64" w:lineRule="exact"/>
        <w:rPr>
          <w:sz w:val="20"/>
          <w:szCs w:val="20"/>
          <w:color w:val="auto"/>
        </w:rPr>
      </w:pPr>
    </w:p>
    <w:p>
      <w:pPr>
        <w:jc w:val="both"/>
        <w:ind w:right="240" w:firstLine="8"/>
        <w:spacing w:after="0" w:line="259" w:lineRule="auto"/>
        <w:tabs>
          <w:tab w:leader="none" w:pos="1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 and</w:t>
      </w:r>
    </w:p>
    <w:p>
      <w:pPr>
        <w:spacing w:after="0" w:line="139" w:lineRule="exact"/>
        <w:rPr>
          <w:rFonts w:ascii="Arial" w:cs="Arial" w:eastAsia="Arial" w:hAnsi="Arial"/>
          <w:sz w:val="18"/>
          <w:szCs w:val="18"/>
          <w:color w:val="auto"/>
        </w:rPr>
      </w:pPr>
    </w:p>
    <w:p>
      <w:pPr>
        <w:ind w:right="280" w:firstLine="8"/>
        <w:spacing w:after="0" w:line="259" w:lineRule="auto"/>
        <w:tabs>
          <w:tab w:leader="none" w:pos="19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 and</w:t>
      </w:r>
    </w:p>
    <w:p>
      <w:pPr>
        <w:spacing w:after="0" w:line="139" w:lineRule="exact"/>
        <w:rPr>
          <w:rFonts w:ascii="Arial" w:cs="Arial" w:eastAsia="Arial" w:hAnsi="Arial"/>
          <w:sz w:val="18"/>
          <w:szCs w:val="18"/>
          <w:color w:val="auto"/>
        </w:rPr>
      </w:pPr>
    </w:p>
    <w:p>
      <w:pPr>
        <w:ind w:right="140" w:firstLine="8"/>
        <w:spacing w:after="0" w:line="268" w:lineRule="auto"/>
        <w:tabs>
          <w:tab w:leader="none" w:pos="1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180" w:firstLine="8"/>
        <w:spacing w:after="0" w:line="331" w:lineRule="auto"/>
        <w:tabs>
          <w:tab w:leader="none" w:pos="19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7" w:lineRule="exact"/>
        <w:rPr>
          <w:sz w:val="20"/>
          <w:szCs w:val="20"/>
          <w:color w:val="auto"/>
        </w:rPr>
      </w:pPr>
    </w:p>
    <w:p>
      <w:pPr>
        <w:ind w:right="380" w:firstLine="8"/>
        <w:spacing w:after="0" w:line="268" w:lineRule="auto"/>
        <w:tabs>
          <w:tab w:leader="none" w:pos="1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1"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2,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connection with this Report on Form 10-Q for the three and six months ended March 31, 2012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180" w:lineRule="exact"/>
        <w:rPr>
          <w:sz w:val="20"/>
          <w:szCs w:val="20"/>
          <w:color w:val="auto"/>
        </w:rPr>
      </w:pPr>
    </w:p>
    <w:p>
      <w:pPr>
        <w:ind w:left="900" w:hanging="447"/>
        <w:spacing w:after="0"/>
        <w:tabs>
          <w:tab w:leader="none" w:pos="9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 2012</w:t>
      </w:r>
    </w:p>
    <w:p>
      <w:pPr>
        <w:sectPr>
          <w:pgSz w:w="11900" w:h="16838" w:orient="portrait"/>
          <w:cols w:equalWidth="0" w:num="1">
            <w:col w:w="11240"/>
          </w:cols>
          <w:pgMar w:left="320" w:top="125"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connection with this Report on Form 10-Q for the three and six months ended March 31, 2012 (the “Report”) of PennantPark Investment Corporation (the “Registrant”), as filed with the Securities and Exchange Commission on the date hereof, I, Aviv Efrat, Chief Financial Officer of the Registrant, hereby certify, to the best of my knowledge, that:</w:t>
      </w:r>
    </w:p>
    <w:p>
      <w:pPr>
        <w:spacing w:after="0" w:line="180" w:lineRule="exact"/>
        <w:rPr>
          <w:sz w:val="20"/>
          <w:szCs w:val="20"/>
          <w:color w:val="auto"/>
        </w:rPr>
      </w:pPr>
    </w:p>
    <w:p>
      <w:pPr>
        <w:ind w:left="900" w:hanging="447"/>
        <w:spacing w:after="0"/>
        <w:tabs>
          <w:tab w:leader="none" w:pos="9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 2012</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
      <w:numFmt w:val="bullet"/>
      <w:start w:val="1"/>
    </w:lvl>
  </w:abstractNum>
  <w:abstractNum w:abstractNumId="2">
    <w:nsid w:val="5092CA79"/>
    <w:multiLevelType w:val="hybridMultilevel"/>
    <w:lvl w:ilvl="0">
      <w:lvlJc w:val="left"/>
      <w:lvlText w:val="(%1)"/>
      <w:numFmt w:val="decimal"/>
      <w:start w:val="1"/>
    </w:lvl>
  </w:abstractNum>
  <w:abstractNum w:abstractNumId="3">
    <w:nsid w:val="1D545C4D"/>
    <w:multiLevelType w:val="hybridMultilevel"/>
    <w:lvl w:ilvl="0">
      <w:lvlJc w:val="left"/>
      <w:lvlText w:val="(%1)"/>
      <w:numFmt w:val="decimal"/>
      <w:start w:val="1"/>
    </w:lvl>
  </w:abstractNum>
  <w:abstractNum w:abstractNumId="4">
    <w:nsid w:val="59ADEA3D"/>
    <w:multiLevelType w:val="hybridMultilevel"/>
    <w:lvl w:ilvl="0">
      <w:lvlJc w:val="left"/>
      <w:lvlText w:val="%1"/>
      <w:numFmt w:val="lowerLetter"/>
      <w:start w:val="1"/>
    </w:lvl>
    <w:lvl w:ilvl="1">
      <w:lvlJc w:val="left"/>
      <w:lvlText w:val="(%2)"/>
      <w:numFmt w:val="decimal"/>
      <w:start w:val="1"/>
    </w:lvl>
  </w:abstractNum>
  <w:abstractNum w:abstractNumId="5">
    <w:nsid w:val="288F1A34"/>
    <w:multiLevelType w:val="hybridMultilevel"/>
    <w:lvl w:ilvl="0">
      <w:lvlJc w:val="left"/>
      <w:lvlText w:val="(%1)"/>
      <w:numFmt w:val="lowerLetter"/>
      <w:start w:val="2"/>
    </w:lvl>
    <w:lvl w:ilvl="1">
      <w:lvlJc w:val="left"/>
      <w:lvlText w:val="%2"/>
      <w:numFmt w:val="decimal"/>
      <w:start w:val="1"/>
    </w:lvl>
  </w:abstractNum>
  <w:abstractNum w:abstractNumId="6">
    <w:nsid w:val="2A155DBC"/>
    <w:multiLevelType w:val="hybridMultilevel"/>
    <w:lvl w:ilvl="0">
      <w:lvlJc w:val="left"/>
      <w:lvlText w:val="(%1)"/>
      <w:numFmt w:val="decimal"/>
      <w:start w:val="1"/>
    </w:lvl>
  </w:abstractNum>
  <w:abstractNum w:abstractNumId="7">
    <w:nsid w:val="1D9F6E5F"/>
    <w:multiLevelType w:val="hybridMultilevel"/>
    <w:lvl w:ilvl="0">
      <w:lvlJc w:val="left"/>
      <w:lvlText w:val="(%1)"/>
      <w:numFmt w:val="decimal"/>
      <w:start w:val="1"/>
    </w:lvl>
  </w:abstractNum>
  <w:abstractNum w:abstractNumId="8">
    <w:nsid w:val="97E1B4E"/>
    <w:multiLevelType w:val="hybridMultilevel"/>
    <w:lvl w:ilvl="0">
      <w:lvlJc w:val="left"/>
      <w:lvlText w:val="*"/>
      <w:numFmt w:val="bullet"/>
      <w:start w:val="1"/>
    </w:lvl>
  </w:abstractNum>
  <w:abstractNum w:abstractNumId="9">
    <w:nsid w:val="51088277"/>
    <w:multiLevelType w:val="hybridMultilevel"/>
    <w:lvl w:ilvl="0">
      <w:lvlJc w:val="left"/>
      <w:lvlText w:val="(%1)"/>
      <w:numFmt w:val="decimal"/>
      <w:start w:val="1"/>
    </w:lvl>
  </w:abstractNum>
  <w:abstractNum w:abstractNumId="10">
    <w:nsid w:val="1CA0C5FA"/>
    <w:multiLevelType w:val="hybridMultilevel"/>
    <w:lvl w:ilvl="0">
      <w:lvlJc w:val="left"/>
      <w:lvlText w:val="(%1)"/>
      <w:numFmt w:val="decimal"/>
      <w:start w:val="1"/>
    </w:lvl>
  </w:abstractNum>
  <w:abstractNum w:abstractNumId="11">
    <w:nsid w:val="53584BCB"/>
    <w:multiLevelType w:val="hybridMultilevel"/>
    <w:lvl w:ilvl="0">
      <w:lvlJc w:val="left"/>
      <w:lvlText w:val="•"/>
      <w:numFmt w:val="bullet"/>
      <w:start w:val="1"/>
    </w:lvl>
  </w:abstractNum>
  <w:abstractNum w:abstractNumId="12">
    <w:nsid w:val="415E286C"/>
    <w:multiLevelType w:val="hybridMultilevel"/>
    <w:lvl w:ilvl="0">
      <w:lvlJc w:val="left"/>
      <w:lvlText w:val="•"/>
      <w:numFmt w:val="bullet"/>
      <w:start w:val="1"/>
    </w:lvl>
  </w:abstractNum>
  <w:abstractNum w:abstractNumId="13">
    <w:nsid w:val="7C58FD05"/>
    <w:multiLevelType w:val="hybridMultilevel"/>
    <w:lvl w:ilvl="0">
      <w:lvlJc w:val="left"/>
      <w:lvlText w:val="(%1)"/>
      <w:numFmt w:val="decimal"/>
      <w:start w:val="1"/>
    </w:lvl>
  </w:abstractNum>
  <w:abstractNum w:abstractNumId="14">
    <w:nsid w:val="23D86AAC"/>
    <w:multiLevelType w:val="hybridMultilevel"/>
    <w:lvl w:ilvl="0">
      <w:lvlJc w:val="left"/>
      <w:lvlText w:val="(%1)"/>
      <w:numFmt w:val="lowerLetter"/>
      <w:start w:val="1"/>
    </w:lvl>
  </w:abstractNum>
  <w:abstractNum w:abstractNumId="15">
    <w:nsid w:val="45E6D486"/>
    <w:multiLevelType w:val="hybridMultilevel"/>
    <w:lvl w:ilvl="0">
      <w:lvlJc w:val="left"/>
      <w:lvlText w:val="(%1)"/>
      <w:numFmt w:val="decimal"/>
      <w:start w:val="1"/>
    </w:lvl>
  </w:abstractNum>
  <w:abstractNum w:abstractNumId="16">
    <w:nsid w:val="5C10FE21"/>
    <w:multiLevelType w:val="hybridMultilevel"/>
    <w:lvl w:ilvl="0">
      <w:lvlJc w:val="left"/>
      <w:lvlText w:val="%1"/>
      <w:numFmt w:val="decimal"/>
      <w:start w:val="11"/>
    </w:lvl>
  </w:abstractNum>
  <w:abstractNum w:abstractNumId="17">
    <w:nsid w:val="E7FFA2B"/>
    <w:multiLevelType w:val="hybridMultilevel"/>
    <w:lvl w:ilvl="0">
      <w:lvlJc w:val="left"/>
      <w:lvlText w:val="(%1)"/>
      <w:numFmt w:val="lowerLetter"/>
      <w:start w:val="3"/>
    </w:lvl>
  </w:abstractNum>
  <w:abstractNum w:abstractNumId="18">
    <w:nsid w:val="3C5991AA"/>
    <w:multiLevelType w:val="hybridMultilevel"/>
    <w:lvl w:ilvl="0">
      <w:lvlJc w:val="left"/>
      <w:lvlText w:val="(%1)"/>
      <w:numFmt w:val="lowerLetter"/>
      <w:start w:val="2"/>
    </w:lvl>
  </w:abstractNum>
  <w:abstractNum w:abstractNumId="19">
    <w:nsid w:val="4BD8591A"/>
    <w:multiLevelType w:val="hybridMultilevel"/>
    <w:lvl w:ilvl="0">
      <w:lvlJc w:val="left"/>
      <w:lvlText w:val="(%1)"/>
      <w:numFmt w:val="lowerLetter"/>
      <w:start w:val="2"/>
    </w:lvl>
  </w:abstractNum>
  <w:abstractNum w:abstractNumId="20">
    <w:nsid w:val="78DF6A55"/>
    <w:multiLevelType w:val="hybridMultilevel"/>
    <w:lvl w:ilvl="0">
      <w:lvlJc w:val="left"/>
      <w:lvlText w:val="%1"/>
      <w:numFmt w:val="lowerLetter"/>
      <w:start w:val="1"/>
    </w:lvl>
    <w:lvl w:ilvl="1">
      <w:lvlJc w:val="left"/>
      <w:lvlText w:val="(%2)"/>
      <w:numFmt w:val="lowerLetter"/>
      <w:start w:val="2"/>
    </w:lvl>
  </w:abstractNum>
  <w:abstractNum w:abstractNumId="21">
    <w:nsid w:val="39B7AAA2"/>
    <w:multiLevelType w:val="hybridMultilevel"/>
    <w:lvl w:ilvl="0">
      <w:lvlJc w:val="left"/>
      <w:lvlText w:val="(%1)"/>
      <w:numFmt w:val="lowerLetter"/>
      <w:start w:val="9"/>
    </w:lvl>
    <w:lvl w:ilvl="1">
      <w:lvlJc w:val="left"/>
      <w:lvlText w:val="(%2)"/>
      <w:numFmt w:val="lowerLetter"/>
      <w:start w:val="4"/>
    </w:lvl>
  </w:abstractNum>
  <w:abstractNum w:abstractNumId="22">
    <w:nsid w:val="2B0D8DBE"/>
    <w:multiLevelType w:val="hybridMultilevel"/>
    <w:lvl w:ilvl="0">
      <w:lvlJc w:val="left"/>
      <w:lvlText w:val="(%1)"/>
      <w:numFmt w:val="lowerLetter"/>
      <w:start w:val="3"/>
    </w:lvl>
  </w:abstractNum>
  <w:abstractNum w:abstractNumId="23">
    <w:nsid w:val="6C80EC70"/>
    <w:multiLevelType w:val="hybridMultilevel"/>
    <w:lvl w:ilvl="0">
      <w:lvlJc w:val="left"/>
      <w:lvlText w:val="(%1)"/>
      <w:numFmt w:val="lowerLetter"/>
      <w:start w:val="9"/>
    </w:lvl>
  </w:abstractNum>
  <w:abstractNum w:abstractNumId="24">
    <w:nsid w:val="379E21B5"/>
    <w:multiLevelType w:val="hybridMultilevel"/>
    <w:lvl w:ilvl="0">
      <w:lvlJc w:val="left"/>
      <w:lvlText w:val="(%1)"/>
      <w:numFmt w:val="lowerRoman"/>
      <w:start w:val="2"/>
    </w:lvl>
  </w:abstractNum>
  <w:abstractNum w:abstractNumId="25">
    <w:nsid w:val="69E373"/>
    <w:multiLevelType w:val="hybridMultilevel"/>
    <w:lvl w:ilvl="0">
      <w:lvlJc w:val="left"/>
      <w:lvlText w:val="(%1)"/>
      <w:numFmt w:val="lowerLetter"/>
      <w:start w:val="2"/>
    </w:lvl>
  </w:abstractNum>
  <w:abstractNum w:abstractNumId="26">
    <w:nsid w:val="2C27173B"/>
    <w:multiLevelType w:val="hybridMultilevel"/>
    <w:lvl w:ilvl="0">
      <w:lvlJc w:val="left"/>
      <w:lvlText w:val="(%1)"/>
      <w:numFmt w:val="lowerLetter"/>
      <w:start w:val="1"/>
    </w:lvl>
  </w:abstractNum>
  <w:abstractNum w:abstractNumId="27">
    <w:nsid w:val="4C9B0904"/>
    <w:multiLevelType w:val="hybridMultilevel"/>
    <w:lvl w:ilvl="0">
      <w:lvlJc w:val="left"/>
      <w:lvlText w:val="(%1)"/>
      <w:numFmt w:val="lowerLetter"/>
      <w:start w:val="2"/>
    </w:lvl>
  </w:abstractNum>
  <w:abstractNum w:abstractNumId="28">
    <w:nsid w:val="6AA7B75C"/>
    <w:multiLevelType w:val="hybridMultilevel"/>
    <w:lvl w:ilvl="0">
      <w:lvlJc w:val="left"/>
      <w:lvlText w:val="(%1)"/>
      <w:numFmt w:val="lowerRoman"/>
      <w:start w:val="2"/>
    </w:lvl>
  </w:abstractNum>
  <w:abstractNum w:abstractNumId="29">
    <w:nsid w:val="1DF029D3"/>
    <w:multiLevelType w:val="hybridMultilevel"/>
    <w:lvl w:ilvl="0">
      <w:lvlJc w:val="left"/>
      <w:lvlText w:val="(%1)"/>
      <w:numFmt w:val="lowerLetter"/>
      <w:start w:val="1"/>
    </w:lvl>
  </w:abstractNum>
  <w:abstractNum w:abstractNumId="30">
    <w:nsid w:val="5675FF36"/>
    <w:multiLevelType w:val="hybridMultilevel"/>
    <w:lvl w:ilvl="0">
      <w:lvlJc w:val="left"/>
      <w:lvlText w:val="(%1)"/>
      <w:numFmt w:val="lowerLetter"/>
      <w:start w:val="1"/>
    </w:lvl>
  </w:abstractNum>
  <w:abstractNum w:abstractNumId="31">
    <w:nsid w:val="3DD15094"/>
    <w:multiLevelType w:val="hybridMultilevel"/>
    <w:lvl w:ilvl="0">
      <w:lvlJc w:val="left"/>
      <w:lvlText w:val="(%1)"/>
      <w:numFmt w:val="lowerLetter"/>
      <w:start w:val="3"/>
    </w:lvl>
  </w:abstractNum>
  <w:abstractNum w:abstractNumId="32">
    <w:nsid w:val="3DB012B3"/>
    <w:multiLevelType w:val="hybridMultilevel"/>
    <w:lvl w:ilvl="0">
      <w:lvlJc w:val="left"/>
      <w:lvlText w:val="(%1)"/>
      <w:numFmt w:val="lowerLetter"/>
      <w:start w:val="1"/>
    </w:lvl>
  </w:abstractNum>
  <w:abstractNum w:abstractNumId="33">
    <w:nsid w:val="2708C9AF"/>
    <w:multiLevelType w:val="hybridMultilevel"/>
    <w:lvl w:ilvl="0">
      <w:lvlJc w:val="left"/>
      <w:lvlText w:val="(%1)"/>
      <w:numFmt w:val="lowerLetter"/>
      <w:start w:val="1"/>
    </w:lvl>
  </w:abstractNum>
  <w:abstractNum w:abstractNumId="34">
    <w:nsid w:val="5B25ACE2"/>
    <w:multiLevelType w:val="hybridMultilevel"/>
    <w:lvl w:ilvl="0">
      <w:lvlJc w:val="left"/>
      <w:lvlText w:val="(%1)"/>
      <w:numFmt w:val="lowerLetter"/>
      <w:start w:val="1"/>
    </w:lvl>
  </w:abstractNum>
  <w:abstractNum w:abstractNumId="35">
    <w:nsid w:val="175DFCF0"/>
    <w:multiLevelType w:val="hybridMultilevel"/>
    <w:lvl w:ilvl="0">
      <w:lvlJc w:val="left"/>
      <w:lvlText w:val="(%1)"/>
      <w:numFmt w:val="lowerLetter"/>
      <w:start w:val="1"/>
    </w:lvl>
  </w:abstractNum>
  <w:abstractNum w:abstractNumId="36">
    <w:nsid w:val="4F97E3E4"/>
    <w:multiLevelType w:val="hybridMultilevel"/>
    <w:lvl w:ilvl="0">
      <w:lvlJc w:val="left"/>
      <w:lvlText w:val="(%1)"/>
      <w:numFmt w:val="lowerLetter"/>
      <w:start w:val="1"/>
    </w:lvl>
  </w:abstractNum>
  <w:abstractNum w:abstractNumId="37">
    <w:nsid w:val="53B0A9E"/>
    <w:multiLevelType w:val="hybridMultilevel"/>
    <w:lvl w:ilvl="0">
      <w:lvlJc w:val="left"/>
      <w:lvlText w:val="%1"/>
      <w:numFmt w:val="lowerLetter"/>
      <w:start w:val="1"/>
    </w:lvl>
    <w:lvl w:ilvl="1">
      <w:lvlJc w:val="left"/>
      <w:lvlText w:val="(%2)"/>
      <w:numFmt w:val="lowerLetter"/>
      <w:start w:val="1"/>
    </w:lvl>
  </w:abstractNum>
  <w:abstractNum w:abstractNumId="38">
    <w:nsid w:val="34FD6B4F"/>
    <w:multiLevelType w:val="hybridMultilevel"/>
    <w:lvl w:ilvl="0">
      <w:lvlJc w:val="left"/>
      <w:lvlText w:val="(%1)"/>
      <w:numFmt w:val="lowerLetter"/>
      <w:start w:val="9"/>
    </w:lvl>
    <w:lvl w:ilvl="1">
      <w:lvlJc w:val="left"/>
      <w:lvlText w:val="%2"/>
      <w:numFmt w:val="lowerLetter"/>
      <w:start w:val="1"/>
    </w:lvl>
  </w:abstractNum>
  <w:abstractNum w:abstractNumId="39">
    <w:nsid w:val="5915FF32"/>
    <w:multiLevelType w:val="hybridMultilevel"/>
    <w:lvl w:ilvl="0">
      <w:lvlJc w:val="left"/>
      <w:lvlText w:val="%1"/>
      <w:numFmt w:val="lowerRoman"/>
      <w:start w:val="1"/>
    </w:lvl>
    <w:lvl w:ilvl="1">
      <w:lvlJc w:val="left"/>
      <w:lvlText w:val="(%2)"/>
      <w:numFmt w:val="lowerLetter"/>
      <w:start w:val="2"/>
    </w:lvl>
  </w:abstractNum>
  <w:abstractNum w:abstractNumId="40">
    <w:nsid w:val="56438D15"/>
    <w:multiLevelType w:val="hybridMultilevel"/>
    <w:lvl w:ilvl="0">
      <w:lvlJc w:val="left"/>
      <w:lvlText w:val="(%1)"/>
      <w:numFmt w:val="lowerRoman"/>
      <w:start w:val="1"/>
    </w:lvl>
    <w:lvl w:ilvl="1">
      <w:lvlJc w:val="left"/>
      <w:lvlText w:val="(%2)"/>
      <w:numFmt w:val="lowerLetter"/>
      <w:start w:val="3"/>
    </w:lvl>
  </w:abstractNum>
  <w:abstractNum w:abstractNumId="41">
    <w:nsid w:val="519E3149"/>
    <w:multiLevelType w:val="hybridMultilevel"/>
    <w:lvl w:ilvl="0">
      <w:lvlJc w:val="left"/>
      <w:lvlText w:val="(%1)"/>
      <w:numFmt w:val="lowerLetter"/>
      <w:start w:val="1"/>
    </w:lvl>
  </w:abstractNum>
  <w:abstractNum w:abstractNumId="42">
    <w:nsid w:val="2C6E4AFD"/>
    <w:multiLevelType w:val="hybridMultilevel"/>
    <w:lvl w:ilvl="0">
      <w:lvlJc w:val="left"/>
      <w:lvlText w:val="(%1)"/>
      <w:numFmt w:val="lowerLetter"/>
      <w:start w:val="4"/>
    </w:lvl>
  </w:abstractNum>
  <w:abstractNum w:abstractNumId="43">
    <w:nsid w:val="17A1B582"/>
    <w:multiLevelType w:val="hybridMultilevel"/>
    <w:lvl w:ilvl="0">
      <w:lvlJc w:val="left"/>
      <w:lvlText w:val="(%1)"/>
      <w:numFmt w:val="lowerLetter"/>
      <w:start w:val="1"/>
    </w:lvl>
  </w:abstractNum>
  <w:abstractNum w:abstractNumId="44">
    <w:nsid w:val="4DF72E4E"/>
    <w:multiLevelType w:val="hybridMultilevel"/>
    <w:lvl w:ilvl="0">
      <w:lvlJc w:val="left"/>
      <w:lvlText w:val="(%1)"/>
      <w:numFmt w:val="lowerLetter"/>
      <w:start w:val="5"/>
    </w:lvl>
  </w:abstractNum>
  <w:abstractNum w:abstractNumId="45">
    <w:nsid w:val="5046B5A9"/>
    <w:multiLevelType w:val="hybridMultilevel"/>
    <w:lvl w:ilvl="0">
      <w:lvlJc w:val="left"/>
      <w:lvlText w:val="(%1)"/>
      <w:numFmt w:val="lowerLetter"/>
      <w:start w:val="6"/>
    </w:lvl>
  </w:abstractNum>
  <w:abstractNum w:abstractNumId="46">
    <w:nsid w:val="5D888A08"/>
    <w:multiLevelType w:val="hybridMultilevel"/>
    <w:lvl w:ilvl="0">
      <w:lvlJc w:val="left"/>
      <w:lvlText w:val="%1"/>
      <w:numFmt w:val="lowerLetter"/>
      <w:start w:val="1"/>
    </w:lvl>
    <w:lvl w:ilvl="1">
      <w:lvlJc w:val="left"/>
      <w:lvlText w:val="(%2)"/>
      <w:numFmt w:val="lowerLetter"/>
      <w:start w:val="7"/>
    </w:lvl>
  </w:abstractNum>
  <w:abstractNum w:abstractNumId="47">
    <w:nsid w:val="2A082C70"/>
    <w:multiLevelType w:val="hybridMultilevel"/>
    <w:lvl w:ilvl="0">
      <w:lvlJc w:val="left"/>
      <w:lvlText w:val="(%1)"/>
      <w:numFmt w:val="lowerLetter"/>
      <w:start w:val="61"/>
    </w:lvl>
    <w:lvl w:ilvl="1">
      <w:lvlJc w:val="left"/>
      <w:lvlText w:val="%2"/>
      <w:numFmt w:val="lowerLetter"/>
      <w:start w:val="1"/>
    </w:lvl>
  </w:abstractNum>
  <w:abstractNum w:abstractNumId="48">
    <w:nsid w:val="5EC6AFD4"/>
    <w:multiLevelType w:val="hybridMultilevel"/>
    <w:lvl w:ilvl="0">
      <w:lvlJc w:val="left"/>
      <w:lvlText w:val="(%1)"/>
      <w:numFmt w:val="lowerRoman"/>
      <w:start w:val="1"/>
    </w:lvl>
  </w:abstractNum>
  <w:abstractNum w:abstractNumId="49">
    <w:nsid w:val="19E21BB2"/>
    <w:multiLevelType w:val="hybridMultilevel"/>
    <w:lvl w:ilvl="0">
      <w:lvlJc w:val="left"/>
      <w:lvlText w:val="(%1)"/>
      <w:numFmt w:val="lowerRoman"/>
      <w:start w:val="2"/>
    </w:lvl>
    <w:lvl w:ilvl="1">
      <w:lvlJc w:val="left"/>
      <w:lvlText w:val="(%2)"/>
      <w:numFmt w:val="lowerLetter"/>
      <w:start w:val="8"/>
    </w:lvl>
  </w:abstractNum>
  <w:abstractNum w:abstractNumId="50">
    <w:nsid w:val="75E0858A"/>
    <w:multiLevelType w:val="hybridMultilevel"/>
    <w:lvl w:ilvl="0">
      <w:lvlJc w:val="left"/>
      <w:lvlText w:val="(%1)"/>
      <w:numFmt w:val="lowerLetter"/>
      <w:start w:val="3"/>
    </w:lvl>
  </w:abstractNum>
  <w:abstractNum w:abstractNumId="51">
    <w:nsid w:val="57A61A29"/>
    <w:multiLevelType w:val="hybridMultilevel"/>
    <w:lvl w:ilvl="0">
      <w:lvlJc w:val="left"/>
      <w:lvlText w:val="(%1)"/>
      <w:numFmt w:val="lowerLetter"/>
      <w:start w:val="1"/>
    </w:lvl>
  </w:abstractNum>
  <w:abstractNum w:abstractNumId="52">
    <w:nsid w:val="5399C654"/>
    <w:multiLevelType w:val="hybridMultilevel"/>
    <w:lvl w:ilvl="0">
      <w:lvlJc w:val="left"/>
      <w:lvlText w:val="(%1)"/>
      <w:numFmt w:val="lowerLetter"/>
      <w:start w:val="1"/>
    </w:lvl>
  </w:abstractNum>
  <w:abstractNum w:abstractNumId="53">
    <w:nsid w:val="20EE1348"/>
    <w:multiLevelType w:val="hybridMultilevel"/>
    <w:lvl w:ilvl="0">
      <w:lvlJc w:val="left"/>
      <w:lvlText w:val="%1"/>
      <w:numFmt w:val="lowerRoman"/>
      <w:start w:val="1"/>
    </w:lvl>
    <w:lvl w:ilvl="1">
      <w:lvlJc w:val="left"/>
      <w:lvlText w:val="(%2)"/>
      <w:numFmt w:val="lowerLetter"/>
      <w:start w:val="2"/>
    </w:lvl>
  </w:abstractNum>
  <w:abstractNum w:abstractNumId="54">
    <w:nsid w:val="4427069A"/>
    <w:multiLevelType w:val="hybridMultilevel"/>
    <w:lvl w:ilvl="0">
      <w:lvlJc w:val="left"/>
      <w:lvlText w:val="(%1)"/>
      <w:numFmt w:val="lowerRoman"/>
      <w:start w:val="1"/>
    </w:lvl>
    <w:lvl w:ilvl="1">
      <w:lvlJc w:val="left"/>
      <w:lvlText w:val="%2"/>
      <w:numFmt w:val="lowerLetter"/>
      <w:start w:val="1"/>
    </w:lvl>
  </w:abstractNum>
  <w:abstractNum w:abstractNumId="55">
    <w:nsid w:val="B37E80A"/>
    <w:multiLevelType w:val="hybridMultilevel"/>
    <w:lvl w:ilvl="0">
      <w:lvlJc w:val="left"/>
      <w:lvlText w:val="(%1)"/>
      <w:numFmt w:val="lowerLetter"/>
      <w:start w:val="4"/>
    </w:lvl>
  </w:abstractNum>
  <w:abstractNum w:abstractNumId="56">
    <w:nsid w:val="2157F6BC"/>
    <w:multiLevelType w:val="hybridMultilevel"/>
    <w:lvl w:ilvl="0">
      <w:lvlJc w:val="left"/>
      <w:lvlText w:val="(%1)"/>
      <w:numFmt w:val="lowerLetter"/>
      <w:start w:val="1"/>
    </w:lvl>
  </w:abstractNum>
  <w:abstractNum w:abstractNumId="57">
    <w:nsid w:val="704E1DD5"/>
    <w:multiLevelType w:val="hybridMultilevel"/>
    <w:lvl w:ilvl="0">
      <w:lvlJc w:val="left"/>
      <w:lvlText w:val="%1"/>
      <w:numFmt w:val="lowerLetter"/>
      <w:start w:val="1"/>
    </w:lvl>
    <w:lvl w:ilvl="1">
      <w:lvlJc w:val="left"/>
      <w:lvlText w:val="(%2)"/>
      <w:numFmt w:val="lowerLetter"/>
      <w:start w:val="5"/>
    </w:lvl>
    <w:lvl w:ilvl="2">
      <w:lvlJc w:val="left"/>
      <w:lvlText w:val="%3"/>
      <w:numFmt w:val="upperLetter"/>
      <w:start w:val="1"/>
    </w:lvl>
  </w:abstractNum>
  <w:abstractNum w:abstractNumId="58">
    <w:nsid w:val="57D2F10E"/>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59">
    <w:nsid w:val="BFFAE18"/>
    <w:multiLevelType w:val="hybridMultilevel"/>
    <w:lvl w:ilvl="0">
      <w:lvlJc w:val="left"/>
      <w:lvlText w:val="%1"/>
      <w:numFmt w:val="lowerRoman"/>
      <w:start w:val="1"/>
    </w:lvl>
    <w:lvl w:ilvl="1">
      <w:lvlJc w:val="left"/>
      <w:lvlText w:val="(%2)"/>
      <w:numFmt w:val="upperLetter"/>
      <w:start w:val="3"/>
    </w:lvl>
  </w:abstractNum>
  <w:abstractNum w:abstractNumId="60">
    <w:nsid w:val="E3E47A8"/>
    <w:multiLevelType w:val="hybridMultilevel"/>
    <w:lvl w:ilvl="0">
      <w:lvlJc w:val="left"/>
      <w:lvlText w:val="(%1)"/>
      <w:numFmt w:val="lowerRoman"/>
      <w:start w:val="2"/>
    </w:lvl>
    <w:lvl w:ilvl="1">
      <w:lvlJc w:val="left"/>
      <w:lvlText w:val="%2"/>
      <w:numFmt w:val="upperLetter"/>
      <w:start w:val="1"/>
    </w:lvl>
  </w:abstractNum>
  <w:abstractNum w:abstractNumId="61">
    <w:nsid w:val="2E48F044"/>
    <w:multiLevelType w:val="hybridMultilevel"/>
    <w:lvl w:ilvl="0">
      <w:lvlJc w:val="left"/>
      <w:lvlText w:val="(%1)"/>
      <w:numFmt w:val="lowerLetter"/>
      <w:start w:val="25"/>
    </w:lvl>
  </w:abstractNum>
  <w:abstractNum w:abstractNumId="62">
    <w:nsid w:val="49D0FEAC"/>
    <w:multiLevelType w:val="hybridMultilevel"/>
    <w:lvl w:ilvl="0">
      <w:lvlJc w:val="left"/>
      <w:lvlText w:val="%1"/>
      <w:numFmt w:val="lowerRoman"/>
      <w:start w:val="1"/>
    </w:lvl>
    <w:lvl w:ilvl="1">
      <w:lvlJc w:val="left"/>
      <w:lvlText w:val="(%2)"/>
      <w:numFmt w:val="lowerRoman"/>
      <w:start w:val="3"/>
    </w:lvl>
  </w:abstractNum>
  <w:abstractNum w:abstractNumId="63">
    <w:nsid w:val="4BEE5A5B"/>
    <w:multiLevelType w:val="hybridMultilevel"/>
    <w:lvl w:ilvl="0">
      <w:lvlJc w:val="left"/>
      <w:lvlText w:val="(%1)"/>
      <w:numFmt w:val="lowerRoman"/>
      <w:start w:val="10"/>
    </w:lvl>
    <w:lvl w:ilvl="1">
      <w:lvlJc w:val="left"/>
      <w:lvlText w:val="(%2)"/>
      <w:numFmt w:val="lowerRoman"/>
      <w:start w:val="4"/>
    </w:lvl>
  </w:abstractNum>
  <w:abstractNum w:abstractNumId="64">
    <w:nsid w:val="5551B9F3"/>
    <w:multiLevelType w:val="hybridMultilevel"/>
    <w:lvl w:ilvl="0">
      <w:lvlJc w:val="left"/>
      <w:lvlText w:val="%1"/>
      <w:numFmt w:val="lowerRoman"/>
      <w:start w:val="1"/>
    </w:lvl>
    <w:lvl w:ilvl="1">
      <w:lvlJc w:val="left"/>
      <w:lvlText w:val="(%2)"/>
      <w:numFmt w:val="lowerLetter"/>
      <w:start w:val="1"/>
    </w:lvl>
  </w:abstractNum>
  <w:abstractNum w:abstractNumId="65">
    <w:nsid w:val="24F6AB8E"/>
    <w:multiLevelType w:val="hybridMultilevel"/>
    <w:lvl w:ilvl="0">
      <w:lvlJc w:val="left"/>
      <w:lvlText w:val="(%1)"/>
      <w:numFmt w:val="lowerRoman"/>
      <w:start w:val="1"/>
    </w:lvl>
    <w:lvl w:ilvl="1">
      <w:lvlJc w:val="left"/>
      <w:lvlText w:val="%2"/>
      <w:numFmt w:val="lowerLetter"/>
      <w:start w:val="1"/>
    </w:lvl>
  </w:abstractNum>
  <w:abstractNum w:abstractNumId="66">
    <w:nsid w:val="634C574C"/>
    <w:multiLevelType w:val="hybridMultilevel"/>
    <w:lvl w:ilvl="0">
      <w:lvlJc w:val="left"/>
      <w:lvlText w:val="(%1)"/>
      <w:numFmt w:val="lowerLetter"/>
      <w:start w:val="2"/>
    </w:lvl>
  </w:abstractNum>
  <w:abstractNum w:abstractNumId="67">
    <w:nsid w:val="24E99DD7"/>
    <w:multiLevelType w:val="hybridMultilevel"/>
    <w:lvl w:ilvl="0">
      <w:lvlJc w:val="left"/>
      <w:lvlText w:val="(%1)"/>
      <w:numFmt w:val="lowerLetter"/>
      <w:start w:val="5"/>
    </w:lvl>
  </w:abstractNum>
  <w:abstractNum w:abstractNumId="68">
    <w:nsid w:val="2A31B62D"/>
    <w:multiLevelType w:val="hybridMultilevel"/>
    <w:lvl w:ilvl="0">
      <w:lvlJc w:val="left"/>
      <w:lvlText w:val="%1"/>
      <w:numFmt w:val="lowerRoman"/>
      <w:start w:val="1"/>
    </w:lvl>
    <w:lvl w:ilvl="1">
      <w:lvlJc w:val="left"/>
      <w:lvlText w:val="(%2)"/>
      <w:numFmt w:val="lowerLetter"/>
      <w:start w:val="1"/>
    </w:lvl>
  </w:abstractNum>
  <w:abstractNum w:abstractNumId="69">
    <w:nsid w:val="1849C29B"/>
    <w:multiLevelType w:val="hybridMultilevel"/>
    <w:lvl w:ilvl="0">
      <w:lvlJc w:val="left"/>
      <w:lvlText w:val="(%1)"/>
      <w:numFmt w:val="lowerRoman"/>
      <w:start w:val="1"/>
    </w:lvl>
    <w:lvl w:ilvl="1">
      <w:lvlJc w:val="left"/>
      <w:lvlText w:val="%2"/>
      <w:numFmt w:val="lowerLetter"/>
      <w:start w:val="1"/>
    </w:lvl>
  </w:abstractNum>
  <w:abstractNum w:abstractNumId="70">
    <w:nsid w:val="7DFF9D09"/>
    <w:multiLevelType w:val="hybridMultilevel"/>
    <w:lvl w:ilvl="0">
      <w:lvlJc w:val="left"/>
      <w:lvlText w:val="%1"/>
      <w:numFmt w:val="lowerLetter"/>
      <w:start w:val="1"/>
    </w:lvl>
    <w:lvl w:ilvl="1">
      <w:lvlJc w:val="left"/>
      <w:lvlText w:val="(%2)"/>
      <w:numFmt w:val="lowerLetter"/>
      <w:start w:val="3"/>
    </w:lvl>
  </w:abstractNum>
  <w:abstractNum w:abstractNumId="71">
    <w:nsid w:val="754342"/>
    <w:multiLevelType w:val="hybridMultilevel"/>
    <w:lvl w:ilvl="0">
      <w:lvlJc w:val="left"/>
      <w:lvlText w:val="(%1)"/>
      <w:numFmt w:val="lowerLetter"/>
      <w:start w:val="9"/>
    </w:lvl>
    <w:lvl w:ilvl="1">
      <w:lvlJc w:val="left"/>
      <w:lvlText w:val="%2"/>
      <w:numFmt w:val="lowerLetter"/>
      <w:start w:val="1"/>
    </w:lvl>
  </w:abstractNum>
  <w:abstractNum w:abstractNumId="72">
    <w:nsid w:val="69E7F3E5"/>
    <w:multiLevelType w:val="hybridMultilevel"/>
    <w:lvl w:ilvl="0">
      <w:lvlJc w:val="left"/>
      <w:lvlText w:val="(%1)"/>
      <w:numFmt w:val="lowerRoman"/>
      <w:start w:val="2"/>
    </w:lvl>
  </w:abstractNum>
  <w:abstractNum w:abstractNumId="73">
    <w:nsid w:val="2A6DE806"/>
    <w:multiLevelType w:val="hybridMultilevel"/>
    <w:lvl w:ilvl="0">
      <w:lvlJc w:val="left"/>
      <w:lvlText w:val="%1"/>
      <w:numFmt w:val="lowerLetter"/>
      <w:start w:val="1"/>
    </w:lvl>
    <w:lvl w:ilvl="1">
      <w:lvlJc w:val="left"/>
      <w:lvlText w:val="(%2)"/>
      <w:numFmt w:val="lowerLetter"/>
      <w:start w:val="6"/>
    </w:lvl>
  </w:abstractNum>
  <w:abstractNum w:abstractNumId="74">
    <w:nsid w:val="1816F8C4"/>
    <w:multiLevelType w:val="hybridMultilevel"/>
    <w:lvl w:ilvl="0">
      <w:lvlJc w:val="left"/>
      <w:lvlText w:val="(%1)"/>
      <w:numFmt w:val="lowerLetter"/>
      <w:start w:val="22"/>
    </w:lvl>
    <w:lvl w:ilvl="1">
      <w:lvlJc w:val="left"/>
      <w:lvlText w:val="%2"/>
      <w:numFmt w:val="lowerLetter"/>
      <w:start w:val="1"/>
    </w:lvl>
  </w:abstractNum>
  <w:abstractNum w:abstractNumId="75">
    <w:nsid w:val="37DF2233"/>
    <w:multiLevelType w:val="hybridMultilevel"/>
    <w:lvl w:ilvl="0">
      <w:lvlJc w:val="left"/>
      <w:lvlText w:val="(%1)"/>
      <w:numFmt w:val="lowerLetter"/>
      <w:start w:val="1"/>
    </w:lvl>
  </w:abstractNum>
  <w:abstractNum w:abstractNumId="76">
    <w:nsid w:val="7AB49DAF"/>
    <w:multiLevelType w:val="hybridMultilevel"/>
    <w:lvl w:ilvl="0">
      <w:lvlJc w:val="left"/>
      <w:lvlText w:val="(%1)"/>
      <w:numFmt w:val="lowerLetter"/>
      <w:start w:val="2"/>
    </w:lvl>
  </w:abstractNum>
  <w:abstractNum w:abstractNumId="77">
    <w:nsid w:val="759F82CD"/>
    <w:multiLevelType w:val="hybridMultilevel"/>
    <w:lvl w:ilvl="0">
      <w:lvlJc w:val="left"/>
      <w:lvlText w:val="%1"/>
      <w:numFmt w:val="lowerLetter"/>
      <w:start w:val="1"/>
    </w:lvl>
    <w:lvl w:ilvl="1">
      <w:lvlJc w:val="left"/>
      <w:lvlText w:val="(%2)"/>
      <w:numFmt w:val="lowerLetter"/>
      <w:start w:val="1"/>
    </w:lvl>
  </w:abstractNum>
  <w:abstractNum w:abstractNumId="78">
    <w:nsid w:val="61E74EA3"/>
    <w:multiLevelType w:val="hybridMultilevel"/>
    <w:lvl w:ilvl="0">
      <w:lvlJc w:val="left"/>
      <w:lvlText w:val="(%1)"/>
      <w:numFmt w:val="lowerLetter"/>
      <w:start w:val="3"/>
    </w:lvl>
    <w:lvl w:ilvl="1">
      <w:lvlJc w:val="left"/>
      <w:lvlText w:val="(%2)"/>
      <w:numFmt w:val="lowerLetter"/>
      <w:start w:val="5"/>
    </w:lvl>
  </w:abstractNum>
  <w:abstractNum w:abstractNumId="79">
    <w:nsid w:val="597B4D84"/>
    <w:multiLevelType w:val="hybridMultilevel"/>
    <w:lvl w:ilvl="0">
      <w:lvlJc w:val="left"/>
      <w:lvlText w:val="(%1)"/>
      <w:numFmt w:val="lowerLetter"/>
      <w:start w:val="1"/>
    </w:lvl>
  </w:abstractNum>
  <w:abstractNum w:abstractNumId="80">
    <w:nsid w:val="F819E7F"/>
    <w:multiLevelType w:val="hybridMultilevel"/>
    <w:lvl w:ilvl="0">
      <w:lvlJc w:val="left"/>
      <w:lvlText w:val="%1"/>
      <w:numFmt w:val="lowerRoman"/>
      <w:start w:val="1"/>
    </w:lvl>
    <w:lvl w:ilvl="1">
      <w:lvlJc w:val="left"/>
      <w:lvlText w:val="(%2)"/>
      <w:numFmt w:val="lowerLetter"/>
      <w:start w:val="1"/>
    </w:lvl>
  </w:abstractNum>
  <w:abstractNum w:abstractNumId="81">
    <w:nsid w:val="57C7D42D"/>
    <w:multiLevelType w:val="hybridMultilevel"/>
    <w:lvl w:ilvl="0">
      <w:lvlJc w:val="left"/>
      <w:lvlText w:val="(%1)"/>
      <w:numFmt w:val="lowerRoman"/>
      <w:start w:val="1"/>
    </w:lvl>
    <w:lvl w:ilvl="1">
      <w:lvlJc w:val="left"/>
      <w:lvlText w:val="%2"/>
      <w:numFmt w:val="lowerLetter"/>
      <w:start w:val="1"/>
    </w:lvl>
  </w:abstractNum>
  <w:abstractNum w:abstractNumId="82">
    <w:nsid w:val="312167AD"/>
    <w:multiLevelType w:val="hybridMultilevel"/>
    <w:lvl w:ilvl="0">
      <w:lvlJc w:val="left"/>
      <w:lvlText w:val="(%1)"/>
      <w:numFmt w:val="lowerLetter"/>
      <w:start w:val="2"/>
    </w:lvl>
  </w:abstractNum>
  <w:abstractNum w:abstractNumId="83">
    <w:nsid w:val="631B64D4"/>
    <w:multiLevelType w:val="hybridMultilevel"/>
    <w:lvl w:ilvl="0">
      <w:lvlJc w:val="left"/>
      <w:lvlText w:val="(%1)"/>
      <w:numFmt w:val="lowerLetter"/>
      <w:start w:val="3"/>
    </w:lvl>
  </w:abstractNum>
  <w:abstractNum w:abstractNumId="84">
    <w:nsid w:val="78B5E776"/>
    <w:multiLevelType w:val="hybridMultilevel"/>
    <w:lvl w:ilvl="0">
      <w:lvlJc w:val="left"/>
      <w:lvlText w:val="(%1)"/>
      <w:numFmt w:val="lowerRoman"/>
      <w:start w:val="1"/>
    </w:lvl>
  </w:abstractNum>
  <w:abstractNum w:abstractNumId="85">
    <w:nsid w:val="75486E47"/>
    <w:multiLevelType w:val="hybridMultilevel"/>
    <w:lvl w:ilvl="0">
      <w:lvlJc w:val="left"/>
      <w:lvlText w:val="(%1)"/>
      <w:numFmt w:val="lowerRoman"/>
      <w:start w:val="2"/>
    </w:lvl>
  </w:abstractNum>
  <w:abstractNum w:abstractNumId="86">
    <w:nsid w:val="6E534CDE"/>
    <w:multiLevelType w:val="hybridMultilevel"/>
    <w:lvl w:ilvl="0">
      <w:lvlJc w:val="left"/>
      <w:lvlText w:val="(%1)"/>
      <w:numFmt w:val="lowerLetter"/>
      <w:start w:val="1"/>
    </w:lvl>
  </w:abstractNum>
  <w:abstractNum w:abstractNumId="87">
    <w:nsid w:val="1A0DDE32"/>
    <w:multiLevelType w:val="hybridMultilevel"/>
    <w:lvl w:ilvl="0">
      <w:lvlJc w:val="left"/>
      <w:lvlText w:val="(%1)"/>
      <w:numFmt w:val="lowerLetter"/>
      <w:start w:val="4"/>
    </w:lvl>
  </w:abstractNum>
  <w:abstractNum w:abstractNumId="88">
    <w:nsid w:val="65968C1C"/>
    <w:multiLevelType w:val="hybridMultilevel"/>
    <w:lvl w:ilvl="0">
      <w:lvlJc w:val="left"/>
      <w:lvlText w:val="(%1)"/>
      <w:numFmt w:val="lowerRoman"/>
      <w:start w:val="2"/>
    </w:lvl>
    <w:lvl w:ilvl="1">
      <w:lvlJc w:val="left"/>
      <w:lvlText w:val="(%2)"/>
      <w:numFmt w:val="upperLetter"/>
      <w:start w:val="1"/>
    </w:lvl>
  </w:abstractNum>
  <w:abstractNum w:abstractNumId="89">
    <w:nsid w:val="46263DEC"/>
    <w:multiLevelType w:val="hybridMultilevel"/>
    <w:lvl w:ilvl="0">
      <w:lvlJc w:val="left"/>
      <w:lvlText w:val="%1"/>
      <w:numFmt w:val="lowerLetter"/>
      <w:start w:val="1"/>
    </w:lvl>
    <w:lvl w:ilvl="1">
      <w:lvlJc w:val="left"/>
      <w:lvlText w:val="(%2)"/>
      <w:numFmt w:val="upperLetter"/>
      <w:start w:val="2"/>
    </w:lvl>
    <w:lvl w:ilvl="2">
      <w:lvlJc w:val="left"/>
      <w:lvlText w:val="(%3)"/>
      <w:numFmt w:val="decimal"/>
    </w:lvl>
    <w:lvl w:ilvl="3">
      <w:lvlJc w:val="left"/>
      <w:lvlText w:val="(%4)"/>
      <w:numFmt w:val="lowerLetter"/>
      <w:start w:val="23"/>
    </w:lvl>
  </w:abstractNum>
  <w:abstractNum w:abstractNumId="90">
    <w:nsid w:val="260D8C4A"/>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lowerLetter"/>
      <w:start w:val="26"/>
    </w:lvl>
  </w:abstractNum>
  <w:abstractNum w:abstractNumId="91">
    <w:nsid w:val="73D4D3C4"/>
    <w:multiLevelType w:val="hybridMultilevel"/>
    <w:lvl w:ilvl="0">
      <w:lvlJc w:val="left"/>
      <w:lvlText w:val="(%1)"/>
      <w:numFmt w:val="lowerLetter"/>
      <w:start w:val="61"/>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92">
    <w:nsid w:val="746F2E30"/>
    <w:multiLevelType w:val="hybridMultilevel"/>
    <w:lvl w:ilvl="0">
      <w:lvlJc w:val="left"/>
      <w:lvlText w:val="(%1)"/>
      <w:numFmt w:val="lowerLetter"/>
      <w:start w:val="7"/>
    </w:lvl>
  </w:abstractNum>
  <w:abstractNum w:abstractNumId="93">
    <w:nsid w:val="6FDE8AF6"/>
    <w:multiLevelType w:val="hybridMultilevel"/>
    <w:lvl w:ilvl="0">
      <w:lvlJc w:val="left"/>
      <w:lvlText w:val="(%1)"/>
      <w:numFmt w:val="lowerLetter"/>
      <w:start w:val="1"/>
    </w:lvl>
  </w:abstractNum>
  <w:abstractNum w:abstractNumId="94">
    <w:nsid w:val="3FC32E20"/>
    <w:multiLevelType w:val="hybridMultilevel"/>
    <w:lvl w:ilvl="0">
      <w:lvlJc w:val="left"/>
      <w:lvlText w:val="(%1)"/>
      <w:numFmt w:val="lowerLetter"/>
      <w:start w:val="2"/>
    </w:lvl>
  </w:abstractNum>
  <w:abstractNum w:abstractNumId="95">
    <w:nsid w:val="49C0E823"/>
    <w:multiLevelType w:val="hybridMultilevel"/>
    <w:lvl w:ilvl="0">
      <w:lvlJc w:val="left"/>
      <w:lvlText w:val="(%1)"/>
      <w:numFmt w:val="lowerLetter"/>
      <w:start w:val="4"/>
    </w:lvl>
  </w:abstractNum>
  <w:abstractNum w:abstractNumId="96">
    <w:nsid w:val="14D53685"/>
    <w:multiLevelType w:val="hybridMultilevel"/>
    <w:lvl w:ilvl="0">
      <w:lvlJc w:val="left"/>
      <w:lvlText w:val="(%1)"/>
      <w:numFmt w:val="lowerLetter"/>
      <w:start w:val="1"/>
    </w:lvl>
  </w:abstractNum>
  <w:abstractNum w:abstractNumId="97">
    <w:nsid w:val="230F856C"/>
    <w:multiLevelType w:val="hybridMultilevel"/>
    <w:lvl w:ilvl="0">
      <w:lvlJc w:val="left"/>
      <w:lvlText w:val="(%1)"/>
      <w:numFmt w:val="lowerLetter"/>
      <w:start w:val="1"/>
    </w:lvl>
  </w:abstractNum>
  <w:abstractNum w:abstractNumId="98">
    <w:nsid w:val="6EAA85FB"/>
    <w:multiLevelType w:val="hybridMultilevel"/>
    <w:lvl w:ilvl="0">
      <w:lvlJc w:val="left"/>
      <w:lvlText w:val="(%1)"/>
      <w:numFmt w:val="lowerRoman"/>
      <w:start w:val="1"/>
    </w:lvl>
    <w:lvl w:ilvl="1">
      <w:lvlJc w:val="left"/>
      <w:lvlText w:val="(%2)"/>
      <w:numFmt w:val="upperLetter"/>
      <w:start w:val="1"/>
    </w:lvl>
  </w:abstractNum>
  <w:abstractNum w:abstractNumId="99">
    <w:nsid w:val="3F06ECB2"/>
    <w:multiLevelType w:val="hybridMultilevel"/>
    <w:lvl w:ilvl="0">
      <w:lvlJc w:val="left"/>
      <w:lvlText w:val="%1"/>
      <w:numFmt w:val="lowerRoman"/>
      <w:start w:val="1"/>
    </w:lvl>
    <w:lvl w:ilvl="1">
      <w:lvlJc w:val="left"/>
      <w:lvlText w:val="(%2)"/>
      <w:numFmt w:val="upperLetter"/>
      <w:start w:val="2"/>
    </w:lvl>
  </w:abstractNum>
  <w:abstractNum w:abstractNumId="100">
    <w:nsid w:val="3B594807"/>
    <w:multiLevelType w:val="hybridMultilevel"/>
    <w:lvl w:ilvl="0">
      <w:lvlJc w:val="left"/>
      <w:lvlText w:val="(%1)"/>
      <w:numFmt w:val="lowerRoman"/>
      <w:start w:val="10"/>
    </w:lvl>
    <w:lvl w:ilvl="1">
      <w:lvlJc w:val="left"/>
      <w:lvlText w:val="%2"/>
      <w:numFmt w:val="upperLetter"/>
      <w:start w:val="1"/>
    </w:lvl>
  </w:abstractNum>
  <w:abstractNum w:abstractNumId="101">
    <w:nsid w:val="6CAA2304"/>
    <w:multiLevelType w:val="hybridMultilevel"/>
    <w:lvl w:ilvl="0">
      <w:lvlJc w:val="left"/>
      <w:lvlText w:val="(%1)"/>
      <w:numFmt w:val="lowerRoman"/>
      <w:start w:val="3"/>
    </w:lvl>
    <w:lvl w:ilvl="1">
      <w:lvlJc w:val="left"/>
      <w:lvlText w:val="%2"/>
      <w:numFmt w:val="upperLetter"/>
      <w:start w:val="1"/>
    </w:lvl>
  </w:abstractNum>
  <w:abstractNum w:abstractNumId="102">
    <w:nsid w:val="3F7C2FF4"/>
    <w:multiLevelType w:val="hybridMultilevel"/>
    <w:lvl w:ilvl="0">
      <w:lvlJc w:val="left"/>
      <w:lvlText w:val="(%1)"/>
      <w:numFmt w:val="lowerRoman"/>
      <w:start w:val="3"/>
    </w:lvl>
  </w:abstractNum>
  <w:abstractNum w:abstractNumId="103">
    <w:nsid w:val="25413BE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104">
    <w:nsid w:val="17180B0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05">
    <w:nsid w:val="579328B9"/>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1"/>
    </w:lvl>
  </w:abstractNum>
  <w:abstractNum w:abstractNumId="106">
    <w:nsid w:val="5D205E20"/>
    <w:multiLevelType w:val="hybridMultilevel"/>
    <w:lvl w:ilvl="0">
      <w:lvlJc w:val="left"/>
      <w:lvlText w:val="(%1)"/>
      <w:numFmt w:val="lowerRoman"/>
      <w:start w:val="2"/>
    </w:lvl>
  </w:abstractNum>
  <w:abstractNum w:abstractNumId="107">
    <w:nsid w:val="11CCA8BA"/>
    <w:multiLevelType w:val="hybridMultilevel"/>
    <w:lvl w:ilvl="0">
      <w:lvlJc w:val="left"/>
      <w:lvlText w:val="(%1)"/>
      <w:numFmt w:val="lowerLetter"/>
      <w:start w:val="1"/>
    </w:lvl>
  </w:abstractNum>
  <w:abstractNum w:abstractNumId="108">
    <w:nsid w:val="4D32AB86"/>
    <w:multiLevelType w:val="hybridMultilevel"/>
    <w:lvl w:ilvl="0">
      <w:lvlJc w:val="left"/>
      <w:lvlText w:val="(%1)"/>
      <w:numFmt w:val="lowerLetter"/>
      <w:start w:val="1"/>
    </w:lvl>
  </w:abstractNum>
  <w:abstractNum w:abstractNumId="109">
    <w:nsid w:val="3F07ACC3"/>
    <w:multiLevelType w:val="hybridMultilevel"/>
    <w:lvl w:ilvl="0">
      <w:lvlJc w:val="left"/>
      <w:lvlText w:val="(%1)"/>
      <w:numFmt w:val="lowerLetter"/>
      <w:start w:val="3"/>
    </w:lvl>
  </w:abstractNum>
  <w:abstractNum w:abstractNumId="110">
    <w:nsid w:val="6B47F63E"/>
    <w:multiLevelType w:val="hybridMultilevel"/>
    <w:lvl w:ilvl="0">
      <w:lvlJc w:val="left"/>
      <w:lvlText w:val="(%1)"/>
      <w:numFmt w:val="lowerLetter"/>
      <w:start w:val="1"/>
    </w:lvl>
  </w:abstractNum>
  <w:abstractNum w:abstractNumId="111">
    <w:nsid w:val="5CB44A05"/>
    <w:multiLevelType w:val="hybridMultilevel"/>
    <w:lvl w:ilvl="0">
      <w:lvlJc w:val="left"/>
      <w:lvlText w:val="(%1)"/>
      <w:numFmt w:val="lowerLetter"/>
      <w:start w:val="1"/>
    </w:lvl>
  </w:abstractNum>
  <w:abstractNum w:abstractNumId="112">
    <w:nsid w:val="16CF80F1"/>
    <w:multiLevelType w:val="hybridMultilevel"/>
    <w:lvl w:ilvl="0">
      <w:lvlJc w:val="left"/>
      <w:lvlText w:val="(%1)"/>
      <w:numFmt w:val="lowerLetter"/>
      <w:start w:val="1"/>
    </w:lvl>
  </w:abstractNum>
  <w:abstractNum w:abstractNumId="113">
    <w:nsid w:val="1C695DEC"/>
    <w:multiLevelType w:val="hybridMultilevel"/>
    <w:lvl w:ilvl="0">
      <w:lvlJc w:val="left"/>
      <w:lvlText w:val="(%1)"/>
      <w:numFmt w:val="lowerLetter"/>
      <w:start w:val="2"/>
    </w:lvl>
  </w:abstractNum>
  <w:abstractNum w:abstractNumId="114">
    <w:nsid w:val="3FCFAED9"/>
    <w:multiLevelType w:val="hybridMultilevel"/>
    <w:lvl w:ilvl="0">
      <w:lvlJc w:val="left"/>
      <w:lvlText w:val="%1"/>
      <w:numFmt w:val="lowerRoman"/>
      <w:start w:val="1"/>
    </w:lvl>
    <w:lvl w:ilvl="1">
      <w:lvlJc w:val="left"/>
      <w:lvlText w:val="(%2)"/>
      <w:numFmt w:val="lowerLetter"/>
      <w:start w:val="1"/>
    </w:lvl>
  </w:abstractNum>
  <w:abstractNum w:abstractNumId="115">
    <w:nsid w:val="F856867"/>
    <w:multiLevelType w:val="hybridMultilevel"/>
    <w:lvl w:ilvl="0">
      <w:lvlJc w:val="left"/>
      <w:lvlText w:val="(%1)"/>
      <w:numFmt w:val="lowerRoman"/>
      <w:start w:val="1"/>
    </w:lvl>
    <w:lvl w:ilvl="1">
      <w:lvlJc w:val="left"/>
      <w:lvlText w:val="(%2)"/>
      <w:numFmt w:val="lowerLetter"/>
      <w:start w:val="2"/>
    </w:lvl>
  </w:abstractNum>
  <w:abstractNum w:abstractNumId="116">
    <w:nsid w:val="11B1CC33"/>
    <w:multiLevelType w:val="hybridMultilevel"/>
    <w:lvl w:ilvl="0">
      <w:lvlJc w:val="left"/>
      <w:lvlText w:val="(%1)"/>
      <w:numFmt w:val="lowerLetter"/>
      <w:start w:val="3"/>
    </w:lvl>
  </w:abstractNum>
  <w:abstractNum w:abstractNumId="117">
    <w:nsid w:val="2E22FBB7"/>
    <w:multiLevelType w:val="hybridMultilevel"/>
    <w:lvl w:ilvl="0">
      <w:lvlJc w:val="left"/>
      <w:lvlText w:val="(%1)"/>
      <w:numFmt w:val="lowerLetter"/>
      <w:start w:val="1"/>
    </w:lvl>
  </w:abstractNum>
  <w:abstractNum w:abstractNumId="118">
    <w:nsid w:val="29934699"/>
    <w:multiLevelType w:val="hybridMultilevel"/>
    <w:lvl w:ilvl="0">
      <w:lvlJc w:val="left"/>
      <w:lvlText w:val="%1"/>
      <w:numFmt w:val="lowerRoman"/>
      <w:start w:val="1"/>
    </w:lvl>
    <w:lvl w:ilvl="1">
      <w:lvlJc w:val="left"/>
      <w:lvlText w:val="(%2)"/>
      <w:numFmt w:val="lowerLetter"/>
      <w:start w:val="1"/>
    </w:lvl>
  </w:abstractNum>
  <w:abstractNum w:abstractNumId="119">
    <w:nsid w:val="77485850"/>
    <w:multiLevelType w:val="hybridMultilevel"/>
    <w:lvl w:ilvl="0">
      <w:lvlJc w:val="left"/>
      <w:lvlText w:val="(%1)"/>
      <w:numFmt w:val="lowerRoman"/>
      <w:start w:val="1"/>
    </w:lvl>
    <w:lvl w:ilvl="1">
      <w:lvlJc w:val="left"/>
      <w:lvlText w:val="%2"/>
      <w:numFmt w:val="lowerLetter"/>
      <w:start w:val="1"/>
    </w:lvl>
  </w:abstractNum>
  <w:abstractNum w:abstractNumId="120">
    <w:nsid w:val="744939A3"/>
    <w:multiLevelType w:val="hybridMultilevel"/>
    <w:lvl w:ilvl="0">
      <w:lvlJc w:val="left"/>
      <w:lvlText w:val="(%1)"/>
      <w:numFmt w:val="lowerLetter"/>
      <w:start w:val="4"/>
    </w:lvl>
  </w:abstractNum>
  <w:abstractNum w:abstractNumId="121">
    <w:nsid w:val="4FA0D2E3"/>
    <w:multiLevelType w:val="hybridMultilevel"/>
    <w:lvl w:ilvl="0">
      <w:lvlJc w:val="left"/>
      <w:lvlText w:val="(%1)"/>
      <w:numFmt w:val="lowerLetter"/>
      <w:start w:val="1"/>
    </w:lvl>
  </w:abstractNum>
  <w:abstractNum w:abstractNumId="122">
    <w:nsid w:val="6B1D2C14"/>
    <w:multiLevelType w:val="hybridMultilevel"/>
    <w:lvl w:ilvl="0">
      <w:lvlJc w:val="left"/>
      <w:lvlText w:val="(%1)"/>
      <w:numFmt w:val="lowerLetter"/>
      <w:start w:val="1"/>
    </w:lvl>
  </w:abstractNum>
  <w:abstractNum w:abstractNumId="123">
    <w:nsid w:val="68B867D3"/>
    <w:multiLevelType w:val="hybridMultilevel"/>
    <w:lvl w:ilvl="0">
      <w:lvlJc w:val="left"/>
      <w:lvlText w:val="(%1)"/>
      <w:numFmt w:val="lowerLetter"/>
      <w:start w:val="1"/>
    </w:lvl>
  </w:abstractNum>
  <w:abstractNum w:abstractNumId="124">
    <w:nsid w:val="3F7F5DD9"/>
    <w:multiLevelType w:val="hybridMultilevel"/>
    <w:lvl w:ilvl="0">
      <w:lvlJc w:val="left"/>
      <w:lvlText w:val="(%1)"/>
      <w:numFmt w:val="lowerLetter"/>
      <w:start w:val="2"/>
    </w:lvl>
  </w:abstractNum>
  <w:abstractNum w:abstractNumId="125">
    <w:nsid w:val="2AE05A34"/>
    <w:multiLevelType w:val="hybridMultilevel"/>
    <w:lvl w:ilvl="0">
      <w:lvlJc w:val="left"/>
      <w:lvlText w:val="%1"/>
      <w:numFmt w:val="lowerLetter"/>
      <w:start w:val="1"/>
    </w:lvl>
    <w:lvl w:ilvl="1">
      <w:lvlJc w:val="left"/>
      <w:lvlText w:val="(%2)"/>
      <w:numFmt w:val="lowerLetter"/>
      <w:start w:val="1"/>
    </w:lvl>
  </w:abstractNum>
  <w:abstractNum w:abstractNumId="126">
    <w:nsid w:val="32794FF7"/>
    <w:multiLevelType w:val="hybridMultilevel"/>
    <w:lvl w:ilvl="0">
      <w:lvlJc w:val="left"/>
      <w:lvlText w:val="(%1)"/>
      <w:numFmt w:val="lowerLetter"/>
      <w:start w:val="9"/>
    </w:lvl>
    <w:lvl w:ilvl="1">
      <w:lvlJc w:val="left"/>
      <w:lvlText w:val="%2"/>
      <w:numFmt w:val="lowerLetter"/>
      <w:start w:val="1"/>
    </w:lvl>
  </w:abstractNum>
  <w:abstractNum w:abstractNumId="127">
    <w:nsid w:val="5454945E"/>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23"/>
    </w:lvl>
  </w:abstractNum>
  <w:abstractNum w:abstractNumId="128">
    <w:nsid w:val="4DEFDFA0"/>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4"/>
    </w:lvl>
  </w:abstractNum>
  <w:abstractNum w:abstractNumId="129">
    <w:nsid w:val="2123D5F2"/>
    <w:multiLevelType w:val="hybridMultilevel"/>
    <w:lvl w:ilvl="0">
      <w:lvlJc w:val="left"/>
      <w:lvlText w:val="(%1)"/>
      <w:numFmt w:val="upperLetter"/>
      <w:start w:val="3"/>
    </w:lvl>
    <w:lvl w:ilvl="1">
      <w:lvlJc w:val="left"/>
      <w:lvlText w:val="(%2)"/>
      <w:numFmt w:val="lowerRoman"/>
      <w:start w:val="10"/>
    </w:lvl>
  </w:abstractNum>
  <w:abstractNum w:abstractNumId="130">
    <w:nsid w:val="135B8110"/>
    <w:multiLevelType w:val="hybridMultilevel"/>
    <w:lvl w:ilvl="0">
      <w:lvlJc w:val="left"/>
      <w:lvlText w:val="(%1)"/>
      <w:numFmt w:val="lowerRoman"/>
      <w:start w:val="1"/>
    </w:lvl>
  </w:abstractNum>
  <w:abstractNum w:abstractNumId="131">
    <w:nsid w:val="94927A8"/>
    <w:multiLevelType w:val="hybridMultilevel"/>
    <w:lvl w:ilvl="0">
      <w:lvlJc w:val="left"/>
      <w:lvlText w:val="(%1)"/>
      <w:numFmt w:val="lowerRoman"/>
      <w:start w:val="2"/>
    </w:lvl>
    <w:lvl w:ilvl="1">
      <w:lvlJc w:val="left"/>
      <w:lvlText w:val="(%2)"/>
      <w:numFmt w:val="decimal"/>
      <w:start w:val="1"/>
    </w:lvl>
  </w:abstractNum>
  <w:abstractNum w:abstractNumId="132">
    <w:nsid w:val="DCDF8F6"/>
    <w:multiLevelType w:val="hybridMultilevel"/>
    <w:lvl w:ilvl="0">
      <w:lvlJc w:val="left"/>
      <w:lvlText w:val="%1"/>
      <w:numFmt w:val="lowerLetter"/>
      <w:start w:val="1"/>
    </w:lvl>
    <w:lvl w:ilvl="1">
      <w:lvlJc w:val="left"/>
      <w:lvlText w:val="(%2)"/>
      <w:numFmt w:val="lowerLetter"/>
      <w:start w:val="25"/>
    </w:lvl>
  </w:abstractNum>
  <w:abstractNum w:abstractNumId="133">
    <w:nsid w:val="52D7B105"/>
    <w:multiLevelType w:val="hybridMultilevel"/>
    <w:lvl w:ilvl="0">
      <w:lvlJc w:val="left"/>
      <w:lvlText w:val="(%1)"/>
      <w:numFmt w:val="lowerLetter"/>
      <w:start w:val="1"/>
    </w:lvl>
    <w:lvl w:ilvl="1">
      <w:lvlJc w:val="left"/>
      <w:lvlText w:val="(%2)"/>
      <w:numFmt w:val="lowerLetter"/>
      <w:start w:val="26"/>
    </w:lvl>
  </w:abstractNum>
  <w:abstractNum w:abstractNumId="134">
    <w:nsid w:val="2E8A6394"/>
    <w:multiLevelType w:val="hybridMultilevel"/>
    <w:lvl w:ilvl="0">
      <w:lvlJc w:val="left"/>
      <w:lvlText w:val="%1"/>
      <w:numFmt w:val="decimal"/>
      <w:start w:val="1"/>
    </w:lvl>
    <w:lvl w:ilvl="1">
      <w:lvlJc w:val="left"/>
      <w:lvlText w:val="(%2)"/>
      <w:numFmt w:val="upperLetter"/>
      <w:start w:val="6"/>
    </w:lvl>
  </w:abstractNum>
  <w:abstractNum w:abstractNumId="135">
    <w:nsid w:val="24E60401"/>
    <w:multiLevelType w:val="hybridMultilevel"/>
    <w:lvl w:ilvl="0">
      <w:lvlJc w:val="left"/>
      <w:lvlText w:val="(%1)"/>
      <w:numFmt w:val="decimal"/>
      <w:start w:val="2"/>
    </w:lvl>
    <w:lvl w:ilvl="1">
      <w:lvlJc w:val="left"/>
      <w:lvlText w:val="%2"/>
      <w:numFmt w:val="upperLetter"/>
      <w:start w:val="1"/>
    </w:lvl>
  </w:abstractNum>
  <w:abstractNum w:abstractNumId="136">
    <w:nsid w:val="2A6AD9BE"/>
    <w:multiLevelType w:val="hybridMultilevel"/>
    <w:lvl w:ilvl="0">
      <w:lvlJc w:val="left"/>
      <w:lvlText w:val="(%1)"/>
      <w:numFmt w:val="lowerLetter"/>
      <w:start w:val="3"/>
    </w:lvl>
  </w:abstractNum>
  <w:abstractNum w:abstractNumId="137">
    <w:nsid w:val="BAAC1B4"/>
    <w:multiLevelType w:val="hybridMultilevel"/>
    <w:lvl w:ilvl="0">
      <w:lvlJc w:val="left"/>
      <w:lvlText w:val="(%1)"/>
      <w:numFmt w:val="lowerLetter"/>
      <w:start w:val="1"/>
    </w:lvl>
  </w:abstractNum>
  <w:abstractNum w:abstractNumId="138">
    <w:nsid w:val="36B2ACBC"/>
    <w:multiLevelType w:val="hybridMultilevel"/>
    <w:lvl w:ilvl="0">
      <w:lvlJc w:val="left"/>
      <w:lvlText w:val="(%1)"/>
      <w:numFmt w:val="lowerLetter"/>
      <w:start w:val="6"/>
    </w:lvl>
  </w:abstractNum>
  <w:abstractNum w:abstractNumId="139">
    <w:nsid w:val="779D8544"/>
    <w:multiLevelType w:val="hybridMultilevel"/>
    <w:lvl w:ilvl="0">
      <w:lvlJc w:val="left"/>
      <w:lvlText w:val="(%1)"/>
      <w:numFmt w:val="lowerRoman"/>
      <w:start w:val="1"/>
    </w:lvl>
  </w:abstractNum>
  <w:abstractNum w:abstractNumId="140">
    <w:nsid w:val="4AB26E78"/>
    <w:multiLevelType w:val="hybridMultilevel"/>
    <w:lvl w:ilvl="0">
      <w:lvlJc w:val="left"/>
      <w:lvlText w:val="(%1)"/>
      <w:numFmt w:val="lowerLetter"/>
      <w:start w:val="1"/>
    </w:lvl>
  </w:abstractNum>
  <w:abstractNum w:abstractNumId="141">
    <w:nsid w:val="21FAA2FA"/>
    <w:multiLevelType w:val="hybridMultilevel"/>
    <w:lvl w:ilvl="0">
      <w:lvlJc w:val="left"/>
      <w:lvlText w:val="(%1)"/>
      <w:numFmt w:val="lowerLetter"/>
      <w:start w:val="4"/>
    </w:lvl>
  </w:abstractNum>
  <w:abstractNum w:abstractNumId="142">
    <w:nsid w:val="5451CF49"/>
    <w:multiLevelType w:val="hybridMultilevel"/>
    <w:lvl w:ilvl="0">
      <w:lvlJc w:val="left"/>
      <w:lvlText w:val="(%1)"/>
      <w:numFmt w:val="lowerLetter"/>
      <w:start w:val="7"/>
    </w:lvl>
  </w:abstractNum>
  <w:abstractNum w:abstractNumId="143">
    <w:nsid w:val="6181EF69"/>
    <w:multiLevelType w:val="hybridMultilevel"/>
    <w:lvl w:ilvl="0">
      <w:lvlJc w:val="left"/>
      <w:lvlText w:val="(%1)"/>
      <w:numFmt w:val="lowerLetter"/>
      <w:start w:val="1"/>
    </w:lvl>
  </w:abstractNum>
  <w:abstractNum w:abstractNumId="144">
    <w:nsid w:val="3E6400E6"/>
    <w:multiLevelType w:val="hybridMultilevel"/>
    <w:lvl w:ilvl="0">
      <w:lvlJc w:val="left"/>
      <w:lvlText w:val="(%1)"/>
      <w:numFmt w:val="lowerLetter"/>
      <w:start w:val="3"/>
    </w:lvl>
  </w:abstractNum>
  <w:abstractNum w:abstractNumId="145">
    <w:nsid w:val="14217E23"/>
    <w:multiLevelType w:val="hybridMultilevel"/>
    <w:lvl w:ilvl="0">
      <w:lvlJc w:val="left"/>
      <w:lvlText w:val="(%1)"/>
      <w:numFmt w:val="lowerLetter"/>
      <w:start w:val="4"/>
    </w:lvl>
  </w:abstractNum>
  <w:abstractNum w:abstractNumId="146">
    <w:nsid w:val="710757D0"/>
    <w:multiLevelType w:val="hybridMultilevel"/>
    <w:lvl w:ilvl="0">
      <w:lvlJc w:val="left"/>
      <w:lvlText w:val="(%1)"/>
      <w:numFmt w:val="lowerLetter"/>
      <w:start w:val="1"/>
    </w:lvl>
  </w:abstractNum>
  <w:abstractNum w:abstractNumId="147">
    <w:nsid w:val="5015CD1A"/>
    <w:multiLevelType w:val="hybridMultilevel"/>
    <w:lvl w:ilvl="0">
      <w:lvlJc w:val="left"/>
      <w:lvlText w:val="(%1)"/>
      <w:numFmt w:val="lowerLetter"/>
      <w:start w:val="3"/>
    </w:lvl>
  </w:abstractNum>
  <w:abstractNum w:abstractNumId="148">
    <w:nsid w:val="424479DA"/>
    <w:multiLevelType w:val="hybridMultilevel"/>
    <w:lvl w:ilvl="0">
      <w:lvlJc w:val="left"/>
      <w:lvlText w:val="(%1)"/>
      <w:numFmt w:val="lowerLetter"/>
      <w:start w:val="1"/>
    </w:lvl>
  </w:abstractNum>
  <w:abstractNum w:abstractNumId="149">
    <w:nsid w:val="1A9A9E69"/>
    <w:multiLevelType w:val="hybridMultilevel"/>
    <w:lvl w:ilvl="0">
      <w:lvlJc w:val="left"/>
      <w:lvlText w:val="%1"/>
      <w:numFmt w:val="lowerLetter"/>
      <w:start w:val="1"/>
    </w:lvl>
    <w:lvl w:ilvl="1">
      <w:lvlJc w:val="left"/>
      <w:lvlText w:val="(%2)"/>
      <w:numFmt w:val="lowerLetter"/>
      <w:start w:val="6"/>
    </w:lvl>
  </w:abstractNum>
  <w:abstractNum w:abstractNumId="150">
    <w:nsid w:val="475E256A"/>
    <w:multiLevelType w:val="hybridMultilevel"/>
    <w:lvl w:ilvl="0">
      <w:lvlJc w:val="left"/>
      <w:lvlText w:val="(%1)"/>
      <w:numFmt w:val="lowerLetter"/>
      <w:start w:val="6"/>
    </w:lvl>
    <w:lvl w:ilvl="1">
      <w:lvlJc w:val="left"/>
      <w:lvlText w:val="(%2)"/>
      <w:numFmt w:val="lowerLetter"/>
      <w:start w:val="7"/>
    </w:lvl>
  </w:abstractNum>
  <w:abstractNum w:abstractNumId="151">
    <w:nsid w:val="368DB37E"/>
    <w:multiLevelType w:val="hybridMultilevel"/>
    <w:lvl w:ilvl="0">
      <w:lvlJc w:val="left"/>
      <w:lvlText w:val="%1"/>
      <w:numFmt w:val="lowerLetter"/>
      <w:start w:val="1"/>
    </w:lvl>
    <w:lvl w:ilvl="1">
      <w:lvlJc w:val="left"/>
      <w:lvlText w:val="(%2)"/>
      <w:numFmt w:val="lowerLetter"/>
      <w:start w:val="1"/>
    </w:lvl>
  </w:abstractNum>
  <w:abstractNum w:abstractNumId="152">
    <w:nsid w:val="6A3B714C"/>
    <w:multiLevelType w:val="hybridMultilevel"/>
    <w:lvl w:ilvl="0">
      <w:lvlJc w:val="left"/>
      <w:lvlText w:val="(%1)"/>
      <w:numFmt w:val="lowerLetter"/>
      <w:start w:val="9"/>
    </w:lvl>
    <w:lvl w:ilvl="1">
      <w:lvlJc w:val="left"/>
      <w:lvlText w:val="%2"/>
      <w:numFmt w:val="lowerLetter"/>
      <w:start w:val="1"/>
    </w:lvl>
  </w:abstractNum>
  <w:abstractNum w:abstractNumId="153">
    <w:nsid w:val="327B517E"/>
    <w:multiLevelType w:val="hybridMultilevel"/>
    <w:lvl w:ilvl="0">
      <w:lvlJc w:val="left"/>
      <w:lvlText w:val="(%1)"/>
      <w:numFmt w:val="lowerLetter"/>
      <w:start w:val="35"/>
    </w:lvl>
    <w:lvl w:ilvl="1">
      <w:lvlJc w:val="left"/>
      <w:lvlText w:val="%2"/>
      <w:numFmt w:val="lowerLetter"/>
      <w:start w:val="1"/>
    </w:lvl>
  </w:abstractNum>
  <w:abstractNum w:abstractNumId="154">
    <w:nsid w:val="1F461B51"/>
    <w:multiLevelType w:val="hybridMultilevel"/>
    <w:lvl w:ilvl="0">
      <w:lvlJc w:val="left"/>
      <w:lvlText w:val="(%1)"/>
      <w:numFmt w:val="lowerLetter"/>
      <w:start w:val="4"/>
    </w:lvl>
    <w:lvl w:ilvl="1">
      <w:lvlJc w:val="left"/>
      <w:lvlText w:val="%2"/>
      <w:numFmt w:val="lowerLetter"/>
      <w:start w:val="1"/>
    </w:lvl>
  </w:abstractNum>
  <w:abstractNum w:abstractNumId="155">
    <w:nsid w:val="29BACF25"/>
    <w:multiLevelType w:val="hybridMultilevel"/>
    <w:lvl w:ilvl="0">
      <w:lvlJc w:val="left"/>
      <w:lvlText w:val="(%1)"/>
      <w:numFmt w:val="lowerRoman"/>
      <w:start w:val="3"/>
    </w:lvl>
  </w:abstractNum>
  <w:abstractNum w:abstractNumId="156">
    <w:nsid w:val="5D5BABB3"/>
    <w:multiLevelType w:val="hybridMultilevel"/>
    <w:lvl w:ilvl="0">
      <w:lvlJc w:val="left"/>
      <w:lvlText w:val="(%1)"/>
      <w:numFmt w:val="lowerLetter"/>
      <w:start w:val="2"/>
    </w:lvl>
  </w:abstractNum>
  <w:abstractNum w:abstractNumId="157">
    <w:nsid w:val="51BF6B48"/>
    <w:multiLevelType w:val="hybridMultilevel"/>
    <w:lvl w:ilvl="0">
      <w:lvlJc w:val="left"/>
      <w:lvlText w:val="(%1)"/>
      <w:numFmt w:val="lowerLetter"/>
      <w:start w:val="1"/>
    </w:lvl>
  </w:abstractNum>
  <w:abstractNum w:abstractNumId="158">
    <w:nsid w:val="7E0F6384"/>
    <w:multiLevelType w:val="hybridMultilevel"/>
    <w:lvl w:ilvl="0">
      <w:lvlJc w:val="left"/>
      <w:lvlText w:val="(%1)"/>
      <w:numFmt w:val="lowerLetter"/>
      <w:start w:val="1"/>
    </w:lvl>
  </w:abstractNum>
  <w:abstractNum w:abstractNumId="159">
    <w:nsid w:val="2B4B8B53"/>
    <w:multiLevelType w:val="hybridMultilevel"/>
    <w:lvl w:ilvl="0">
      <w:lvlJc w:val="left"/>
      <w:lvlText w:val="%1"/>
      <w:numFmt w:val="lowerLetter"/>
      <w:start w:val="1"/>
    </w:lvl>
    <w:lvl w:ilvl="1">
      <w:lvlJc w:val="left"/>
      <w:lvlText w:val="(%2)"/>
      <w:numFmt w:val="lowerLetter"/>
      <w:start w:val="6"/>
    </w:lvl>
  </w:abstractNum>
  <w:abstractNum w:abstractNumId="160">
    <w:nsid w:val="72E3413A"/>
    <w:multiLevelType w:val="hybridMultilevel"/>
    <w:lvl w:ilvl="0">
      <w:lvlJc w:val="left"/>
      <w:lvlText w:val="(%1)"/>
      <w:numFmt w:val="lowerLetter"/>
      <w:start w:val="61"/>
    </w:lvl>
    <w:lvl w:ilvl="1">
      <w:lvlJc w:val="left"/>
      <w:lvlText w:val="%2"/>
      <w:numFmt w:val="lowerLetter"/>
      <w:start w:val="1"/>
    </w:lvl>
  </w:abstractNum>
  <w:abstractNum w:abstractNumId="161">
    <w:nsid w:val="116AE494"/>
    <w:multiLevelType w:val="hybridMultilevel"/>
    <w:lvl w:ilvl="0">
      <w:lvlJc w:val="left"/>
      <w:lvlText w:val="(%1)"/>
      <w:numFmt w:val="lowerLetter"/>
      <w:start w:val="11"/>
    </w:lvl>
  </w:abstractNum>
  <w:abstractNum w:abstractNumId="162">
    <w:nsid w:val="3494B2FB"/>
    <w:multiLevelType w:val="hybridMultilevel"/>
    <w:lvl w:ilvl="0">
      <w:lvlJc w:val="left"/>
      <w:lvlText w:val="(%1)"/>
      <w:numFmt w:val="lowerRoman"/>
      <w:start w:val="2"/>
    </w:lvl>
  </w:abstractNum>
  <w:abstractNum w:abstractNumId="163">
    <w:nsid w:val="B13A31"/>
    <w:multiLevelType w:val="hybridMultilevel"/>
    <w:lvl w:ilvl="0">
      <w:lvlJc w:val="left"/>
      <w:lvlText w:val="(%1)"/>
      <w:numFmt w:val="lowerLetter"/>
      <w:start w:val="1"/>
    </w:lvl>
  </w:abstractNum>
  <w:abstractNum w:abstractNumId="164">
    <w:nsid w:val="64429599"/>
    <w:multiLevelType w:val="hybridMultilevel"/>
    <w:lvl w:ilvl="0">
      <w:lvlJc w:val="left"/>
      <w:lvlText w:val="(%1)"/>
      <w:numFmt w:val="lowerLetter"/>
      <w:start w:val="2"/>
    </w:lvl>
  </w:abstractNum>
  <w:abstractNum w:abstractNumId="165">
    <w:nsid w:val="631F1690"/>
    <w:multiLevelType w:val="hybridMultilevel"/>
    <w:lvl w:ilvl="0">
      <w:lvlJc w:val="left"/>
      <w:lvlText w:val="(%1)"/>
      <w:numFmt w:val="lowerRoman"/>
      <w:start w:val="1"/>
    </w:lvl>
  </w:abstractNum>
  <w:abstractNum w:abstractNumId="166">
    <w:nsid w:val="25973E32"/>
    <w:multiLevelType w:val="hybridMultilevel"/>
    <w:lvl w:ilvl="0">
      <w:lvlJc w:val="left"/>
      <w:lvlText w:val="(%1)"/>
      <w:numFmt w:val="lowerLetter"/>
      <w:start w:val="3"/>
    </w:lvl>
  </w:abstractNum>
  <w:abstractNum w:abstractNumId="167">
    <w:nsid w:val="EAD6F57"/>
    <w:multiLevelType w:val="hybridMultilevel"/>
    <w:lvl w:ilvl="0">
      <w:lvlJc w:val="left"/>
      <w:lvlText w:val="(%1)"/>
      <w:numFmt w:val="lowerLetter"/>
      <w:start w:val="1"/>
    </w:lvl>
  </w:abstractNum>
  <w:abstractNum w:abstractNumId="168">
    <w:nsid w:val="6EC9D844"/>
    <w:multiLevelType w:val="hybridMultilevel"/>
    <w:lvl w:ilvl="0">
      <w:lvlJc w:val="left"/>
      <w:lvlText w:val="%1"/>
      <w:numFmt w:val="lowerRoman"/>
      <w:start w:val="1"/>
    </w:lvl>
    <w:lvl w:ilvl="1">
      <w:lvlJc w:val="left"/>
      <w:lvlText w:val="(%2)"/>
      <w:numFmt w:val="lowerLetter"/>
      <w:start w:val="2"/>
    </w:lvl>
  </w:abstractNum>
  <w:abstractNum w:abstractNumId="169">
    <w:nsid w:val="5C49EAEE"/>
    <w:multiLevelType w:val="hybridMultilevel"/>
    <w:lvl w:ilvl="0">
      <w:lvlJc w:val="left"/>
      <w:lvlText w:val="(%1)"/>
      <w:numFmt w:val="lowerRoman"/>
      <w:start w:val="1"/>
    </w:lvl>
    <w:lvl w:ilvl="1">
      <w:lvlJc w:val="left"/>
      <w:lvlText w:val="%2"/>
      <w:numFmt w:val="lowerLetter"/>
      <w:start w:val="1"/>
    </w:lvl>
  </w:abstractNum>
  <w:abstractNum w:abstractNumId="170">
    <w:nsid w:val="64AF49B"/>
    <w:multiLevelType w:val="hybridMultilevel"/>
    <w:lvl w:ilvl="0">
      <w:lvlJc w:val="left"/>
      <w:lvlText w:val="(%1)"/>
      <w:numFmt w:val="lowerLetter"/>
      <w:start w:val="25"/>
    </w:lvl>
  </w:abstractNum>
  <w:abstractNum w:abstractNumId="171">
    <w:nsid w:val="397C46BC"/>
    <w:multiLevelType w:val="hybridMultilevel"/>
    <w:lvl w:ilvl="0">
      <w:lvlJc w:val="left"/>
      <w:lvlText w:val="(%1)"/>
      <w:numFmt w:val="lowerLetter"/>
      <w:start w:val="3"/>
    </w:lvl>
  </w:abstractNum>
  <w:abstractNum w:abstractNumId="172">
    <w:nsid w:val="7E448DE9"/>
    <w:multiLevelType w:val="hybridMultilevel"/>
    <w:lvl w:ilvl="0">
      <w:lvlJc w:val="left"/>
      <w:lvlText w:val="(%1)"/>
      <w:numFmt w:val="lowerLetter"/>
      <w:start w:val="1"/>
    </w:lvl>
  </w:abstractNum>
  <w:abstractNum w:abstractNumId="173">
    <w:nsid w:val="5A9CC3E5"/>
    <w:multiLevelType w:val="hybridMultilevel"/>
    <w:lvl w:ilvl="0">
      <w:lvlJc w:val="left"/>
      <w:lvlText w:val="(%1)"/>
      <w:numFmt w:val="lowerLetter"/>
      <w:start w:val="2"/>
    </w:lvl>
  </w:abstractNum>
  <w:abstractNum w:abstractNumId="174">
    <w:nsid w:val="1AFE3625"/>
    <w:multiLevelType w:val="hybridMultilevel"/>
    <w:lvl w:ilvl="0">
      <w:lvlJc w:val="left"/>
      <w:lvlText w:val="(%1)"/>
      <w:numFmt w:val="lowerLetter"/>
      <w:start w:val="3"/>
    </w:lvl>
  </w:abstractNum>
  <w:abstractNum w:abstractNumId="175">
    <w:nsid w:val="3CA88ECF"/>
    <w:multiLevelType w:val="hybridMultilevel"/>
    <w:lvl w:ilvl="0">
      <w:lvlJc w:val="left"/>
      <w:lvlText w:val="%1"/>
      <w:numFmt w:val="lowerLetter"/>
      <w:start w:val="1"/>
    </w:lvl>
    <w:lvl w:ilvl="1">
      <w:lvlJc w:val="left"/>
      <w:lvlText w:val="(%2)"/>
      <w:numFmt w:val="lowerLetter"/>
      <w:start w:val="1"/>
    </w:lvl>
  </w:abstractNum>
  <w:abstractNum w:abstractNumId="176">
    <w:nsid w:val="6EBE4208"/>
    <w:multiLevelType w:val="hybridMultilevel"/>
    <w:lvl w:ilvl="0">
      <w:lvlJc w:val="left"/>
      <w:lvlText w:val="(%1)"/>
      <w:numFmt w:val="lowerLetter"/>
      <w:start w:val="9"/>
    </w:lvl>
    <w:lvl w:ilvl="1">
      <w:lvlJc w:val="left"/>
      <w:lvlText w:val="%2"/>
      <w:numFmt w:val="lowerLetter"/>
      <w:start w:val="1"/>
    </w:lvl>
  </w:abstractNum>
  <w:abstractNum w:abstractNumId="177">
    <w:nsid w:val="C058DF5"/>
    <w:multiLevelType w:val="hybridMultilevel"/>
    <w:lvl w:ilvl="0">
      <w:lvlJc w:val="left"/>
      <w:lvlText w:val="%1"/>
      <w:numFmt w:val="lowerRoman"/>
      <w:start w:val="1"/>
    </w:lvl>
    <w:lvl w:ilvl="1">
      <w:lvlJc w:val="left"/>
      <w:lvlText w:val="(%2)"/>
      <w:numFmt w:val="upperLetter"/>
      <w:start w:val="1"/>
    </w:lvl>
  </w:abstractNum>
  <w:abstractNum w:abstractNumId="178">
    <w:nsid w:val="CBE5BE9"/>
    <w:multiLevelType w:val="hybridMultilevel"/>
    <w:lvl w:ilvl="0">
      <w:lvlJc w:val="left"/>
      <w:lvlText w:val="(%1)"/>
      <w:numFmt w:val="lowerRoman"/>
      <w:start w:val="2"/>
    </w:lvl>
    <w:lvl w:ilvl="1">
      <w:lvlJc w:val="left"/>
      <w:lvlText w:val="(%2)"/>
      <w:numFmt w:val="upperLetter"/>
      <w:start w:val="1"/>
    </w:lvl>
  </w:abstractNum>
  <w:abstractNum w:abstractNumId="179">
    <w:nsid w:val="3102BBE2"/>
    <w:multiLevelType w:val="hybridMultilevel"/>
    <w:lvl w:ilvl="0">
      <w:lvlJc w:val="left"/>
      <w:lvlText w:val="(%1)"/>
      <w:numFmt w:val="lowerLetter"/>
      <w:start w:val="3"/>
    </w:lvl>
  </w:abstractNum>
  <w:abstractNum w:abstractNumId="180">
    <w:nsid w:val="26A02C5E"/>
    <w:multiLevelType w:val="hybridMultilevel"/>
    <w:lvl w:ilvl="0">
      <w:lvlJc w:val="left"/>
      <w:lvlText w:val="(%1)"/>
      <w:numFmt w:val="lowerLetter"/>
      <w:start w:val="5"/>
    </w:lvl>
  </w:abstractNum>
  <w:abstractNum w:abstractNumId="181">
    <w:nsid w:val="541C8153"/>
    <w:multiLevelType w:val="hybridMultilevel"/>
    <w:lvl w:ilvl="0">
      <w:lvlJc w:val="left"/>
      <w:lvlText w:val="(%1)"/>
      <w:numFmt w:val="lowerLetter"/>
      <w:start w:val="6"/>
    </w:lvl>
  </w:abstractNum>
  <w:abstractNum w:abstractNumId="182">
    <w:nsid w:val="67906F60"/>
    <w:multiLevelType w:val="hybridMultilevel"/>
    <w:lvl w:ilvl="0">
      <w:lvlJc w:val="left"/>
      <w:lvlText w:val="(%1)"/>
      <w:numFmt w:val="lowerLetter"/>
      <w:start w:val="7"/>
    </w:lvl>
  </w:abstractNum>
  <w:abstractNum w:abstractNumId="183">
    <w:nsid w:val="10DB9DAA"/>
    <w:multiLevelType w:val="hybridMultilevel"/>
    <w:lvl w:ilvl="0">
      <w:lvlJc w:val="left"/>
      <w:lvlText w:val="(%1)"/>
      <w:numFmt w:val="lowerLetter"/>
      <w:start w:val="1"/>
    </w:lvl>
  </w:abstractNum>
  <w:abstractNum w:abstractNumId="184">
    <w:nsid w:val="697D2D2"/>
    <w:multiLevelType w:val="hybridMultilevel"/>
    <w:lvl w:ilvl="0">
      <w:lvlJc w:val="left"/>
      <w:lvlText w:val="(%1)"/>
      <w:numFmt w:val="lowerLetter"/>
      <w:start w:val="2"/>
    </w:lvl>
  </w:abstractNum>
  <w:abstractNum w:abstractNumId="185">
    <w:nsid w:val="6D68AB2"/>
    <w:multiLevelType w:val="hybridMultilevel"/>
    <w:lvl w:ilvl="0">
      <w:lvlJc w:val="left"/>
      <w:lvlText w:val="(%1)"/>
      <w:numFmt w:val="lowerLetter"/>
      <w:start w:val="1"/>
    </w:lvl>
  </w:abstractNum>
  <w:abstractNum w:abstractNumId="186">
    <w:nsid w:val="3A966CD0"/>
    <w:multiLevelType w:val="hybridMultilevel"/>
    <w:lvl w:ilvl="0">
      <w:lvlJc w:val="left"/>
      <w:lvlText w:val="(%1)"/>
      <w:numFmt w:val="lowerLetter"/>
      <w:start w:val="1"/>
    </w:lvl>
  </w:abstractNum>
  <w:abstractNum w:abstractNumId="187">
    <w:nsid w:val="63F37E85"/>
    <w:multiLevelType w:val="hybridMultilevel"/>
    <w:lvl w:ilvl="0">
      <w:lvlJc w:val="left"/>
      <w:lvlText w:val="(%1)"/>
      <w:numFmt w:val="lowerLetter"/>
      <w:start w:val="24"/>
    </w:lvl>
    <w:lvl w:ilvl="1">
      <w:lvlJc w:val="left"/>
      <w:lvlText w:val="(%2)"/>
      <w:numFmt w:val="lowerLetter"/>
      <w:start w:val="2"/>
    </w:lvl>
  </w:abstractNum>
  <w:abstractNum w:abstractNumId="188">
    <w:nsid w:val="5895F5FA"/>
    <w:multiLevelType w:val="hybridMultilevel"/>
    <w:lvl w:ilvl="0">
      <w:lvlJc w:val="left"/>
      <w:lvlText w:val="%1"/>
      <w:numFmt w:val="upperLetter"/>
      <w:start w:val="61"/>
    </w:lvl>
  </w:abstractNum>
  <w:abstractNum w:abstractNumId="189">
    <w:nsid w:val="38A5D054"/>
    <w:multiLevelType w:val="hybridMultilevel"/>
    <w:lvl w:ilvl="0">
      <w:lvlJc w:val="left"/>
      <w:lvlText w:val="%1."/>
      <w:numFmt w:val="decimal"/>
      <w:start w:val="1"/>
    </w:lvl>
  </w:abstractNum>
  <w:abstractNum w:abstractNumId="190">
    <w:nsid w:val="F3F09D8"/>
    <w:multiLevelType w:val="hybridMultilevel"/>
    <w:lvl w:ilvl="0">
      <w:lvlJc w:val="left"/>
      <w:lvlText w:val="%1."/>
      <w:numFmt w:val="decimal"/>
      <w:start w:val="41"/>
    </w:lvl>
  </w:abstractNum>
  <w:abstractNum w:abstractNumId="191">
    <w:nsid w:val="4B793735"/>
    <w:multiLevelType w:val="hybridMultilevel"/>
    <w:lvl w:ilvl="0">
      <w:lvlJc w:val="left"/>
      <w:lvlText w:val="%1."/>
      <w:numFmt w:val="decimal"/>
      <w:start w:val="1"/>
    </w:lvl>
  </w:abstractNum>
  <w:abstractNum w:abstractNumId="192">
    <w:nsid w:val="4A10B4E8"/>
    <w:multiLevelType w:val="hybridMultilevel"/>
    <w:lvl w:ilvl="0">
      <w:lvlJc w:val="left"/>
      <w:lvlText w:val="%1."/>
      <w:numFmt w:val="decimal"/>
      <w:start w:val="1"/>
    </w:lvl>
  </w:abstractNum>
  <w:abstractNum w:abstractNumId="193">
    <w:nsid w:val="43D3BCD4"/>
    <w:multiLevelType w:val="hybridMultilevel"/>
    <w:lvl w:ilvl="0">
      <w:lvlJc w:val="left"/>
      <w:lvlText w:val="%1."/>
      <w:numFmt w:val="decimal"/>
      <w:start w:val="1"/>
    </w:lvl>
  </w:abstractNum>
  <w:abstractNum w:abstractNumId="194">
    <w:nsid w:val="4C2A7166"/>
    <w:multiLevelType w:val="hybridMultilevel"/>
    <w:lvl w:ilvl="0">
      <w:lvlJc w:val="left"/>
      <w:lvlText w:val="%1."/>
      <w:numFmt w:val="decimal"/>
      <w:start w:val="3"/>
    </w:lvl>
  </w:abstractNum>
  <w:abstractNum w:abstractNumId="195">
    <w:nsid w:val="2E534A82"/>
    <w:multiLevelType w:val="hybridMultilevel"/>
    <w:lvl w:ilvl="0">
      <w:lvlJc w:val="left"/>
      <w:lvlText w:val="1"/>
      <w:numFmt w:val="bullet"/>
      <w:start w:val="1"/>
    </w:lvl>
  </w:abstractNum>
  <w:abstractNum w:abstractNumId="196">
    <w:nsid w:val="26F2D364"/>
    <w:multiLevelType w:val="hybridMultilevel"/>
    <w:lvl w:ilvl="0">
      <w:lvlJc w:val="left"/>
      <w:lvlText w:val="%1."/>
      <w:numFmt w:val="decimal"/>
      <w:start w:val="5"/>
    </w:lvl>
  </w:abstractNum>
  <w:abstractNum w:abstractNumId="197">
    <w:nsid w:val="71C1AF98"/>
    <w:multiLevelType w:val="hybridMultilevel"/>
    <w:lvl w:ilvl="0">
      <w:lvlJc w:val="left"/>
      <w:lvlText w:val="(%1)"/>
      <w:numFmt w:val="lowerRoman"/>
      <w:start w:val="1"/>
    </w:lvl>
  </w:abstractNum>
  <w:abstractNum w:abstractNumId="198">
    <w:nsid w:val="3D00B9D9"/>
    <w:multiLevelType w:val="hybridMultilevel"/>
    <w:lvl w:ilvl="0">
      <w:lvlJc w:val="left"/>
      <w:lvlText w:val="%1."/>
      <w:numFmt w:val="decimal"/>
      <w:start w:val="2"/>
    </w:lvl>
  </w:abstractNum>
  <w:abstractNum w:abstractNumId="199">
    <w:nsid w:val="15BCABA8"/>
    <w:multiLevelType w:val="hybridMultilevel"/>
    <w:lvl w:ilvl="0">
      <w:lvlJc w:val="left"/>
      <w:lvlText w:val="%1."/>
      <w:numFmt w:val="decimal"/>
      <w:start w:val="3"/>
    </w:lvl>
  </w:abstractNum>
  <w:abstractNum w:abstractNumId="200">
    <w:nsid w:val="4E0B9A87"/>
    <w:multiLevelType w:val="hybridMultilevel"/>
    <w:lvl w:ilvl="0">
      <w:lvlJc w:val="left"/>
      <w:lvlText w:val="%1."/>
      <w:numFmt w:val="decimal"/>
      <w:start w:val="1"/>
    </w:lvl>
  </w:abstractNum>
  <w:abstractNum w:abstractNumId="201">
    <w:nsid w:val="434BAE75"/>
    <w:multiLevelType w:val="hybridMultilevel"/>
    <w:lvl w:ilvl="0">
      <w:lvlJc w:val="left"/>
      <w:lvlText w:val="%1)"/>
      <w:numFmt w:val="lowerLetter"/>
      <w:start w:val="1"/>
    </w:lvl>
  </w:abstractNum>
  <w:abstractNum w:abstractNumId="202">
    <w:nsid w:val="4F38F265"/>
    <w:multiLevelType w:val="hybridMultilevel"/>
    <w:lvl w:ilvl="0">
      <w:lvlJc w:val="left"/>
      <w:lvlText w:val="%1."/>
      <w:numFmt w:val="decimal"/>
      <w:start w:val="5"/>
    </w:lvl>
  </w:abstractNum>
  <w:abstractNum w:abstractNumId="203">
    <w:nsid w:val="4C502870"/>
    <w:multiLevelType w:val="hybridMultilevel"/>
    <w:lvl w:ilvl="0">
      <w:lvlJc w:val="left"/>
      <w:lvlText w:val="%1)"/>
      <w:numFmt w:val="lowerLetter"/>
      <w:start w:val="1"/>
    </w:lvl>
  </w:abstractNum>
  <w:abstractNum w:abstractNumId="204">
    <w:nsid w:val="1DE8725A"/>
    <w:multiLevelType w:val="hybridMultilevel"/>
    <w:lvl w:ilvl="0">
      <w:lvlJc w:val="left"/>
      <w:lvlText w:val="%1."/>
      <w:numFmt w:val="decimal"/>
      <w:start w:val="1"/>
    </w:lvl>
  </w:abstractNum>
  <w:abstractNum w:abstractNumId="205">
    <w:nsid w:val="6A37288A"/>
    <w:multiLevelType w:val="hybridMultilevel"/>
    <w:lvl w:ilvl="0">
      <w:lvlJc w:val="left"/>
      <w:lvlText w:val="%1)"/>
      <w:numFmt w:val="lowerLetter"/>
      <w:start w:val="1"/>
    </w:lvl>
  </w:abstractNum>
  <w:abstractNum w:abstractNumId="206">
    <w:nsid w:val="8F8B73F"/>
    <w:multiLevelType w:val="hybridMultilevel"/>
    <w:lvl w:ilvl="0">
      <w:lvlJc w:val="left"/>
      <w:lvlText w:val="%1."/>
      <w:numFmt w:val="decimal"/>
      <w:start w:val="5"/>
    </w:lvl>
  </w:abstractNum>
  <w:abstractNum w:abstractNumId="207">
    <w:nsid w:val="CA6B462"/>
    <w:multiLevelType w:val="hybridMultilevel"/>
    <w:lvl w:ilvl="0">
      <w:lvlJc w:val="left"/>
      <w:lvlText w:val="%1)"/>
      <w:numFmt w:val="lowerLetter"/>
      <w:start w:val="1"/>
    </w:lvl>
  </w:abstractNum>
  <w:abstractNum w:abstractNumId="208">
    <w:nsid w:val="763CB680"/>
    <w:multiLevelType w:val="hybridMultilevel"/>
    <w:lvl w:ilvl="0">
      <w:lvlJc w:val="left"/>
      <w:lvlText w:val="(%1)"/>
      <w:numFmt w:val="decimal"/>
      <w:start w:val="1"/>
    </w:lvl>
  </w:abstractNum>
  <w:abstractNum w:abstractNumId="209">
    <w:nsid w:val="15B713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2020-05-05T15:10:04Z</dcterms:created>
  <dcterms:modified xsi:type="dcterms:W3CDTF">2020-05-05T15:10:04Z</dcterms:modified>
</cp:coreProperties>
</file>