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May 06, 2015</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jc w:val="both"/>
        <w:ind w:left="40" w:right="240"/>
        <w:spacing w:after="0"/>
        <w:rPr>
          <w:sz w:val="20"/>
          <w:szCs w:val="20"/>
          <w:color w:val="auto"/>
        </w:rPr>
      </w:pPr>
      <w:r>
        <w:rPr>
          <w:rFonts w:ascii="Arial" w:cs="Arial" w:eastAsia="Arial" w:hAnsi="Arial"/>
          <w:sz w:val="22"/>
          <w:szCs w:val="22"/>
          <w:color w:val="auto"/>
        </w:rPr>
        <w:t>On May 6, 2015, PennantPark Investment Corporation issued a press release announcing financial results for the second fiscal quarter ended March 31, 2015.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8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ectPr>
          <w:pgSz w:w="11900" w:h="16884" w:orient="portrait"/>
          <w:cols w:equalWidth="0" w:num="1">
            <w:col w:w="11200"/>
          </w:cols>
          <w:pgMar w:left="320" w:top="828" w:right="379" w:bottom="0" w:gutter="0" w:footer="0" w:header="0"/>
        </w:sectPr>
      </w:pPr>
    </w:p>
    <w:bookmarkStart w:id="1" w:name="page2"/>
    <w:bookmarkEnd w:id="1"/>
    <w:p>
      <w:pPr>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May 06,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May 06, 2015</w:t>
            </w:r>
          </w:p>
        </w:tc>
        <w:tc>
          <w:tcPr>
            <w:tcW w:w="6720" w:type="dxa"/>
            <w:vAlign w:val="bottom"/>
            <w:gridSpan w:val="3"/>
          </w:tcPr>
          <w:p>
            <w:pPr>
              <w:ind w:left="19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20" w:type="dxa"/>
            <w:vAlign w:val="bottom"/>
          </w:tcPr>
          <w:p>
            <w:pPr>
              <w:spacing w:after="0"/>
              <w:rPr>
                <w:sz w:val="24"/>
                <w:szCs w:val="24"/>
                <w:color w:val="auto"/>
              </w:rPr>
            </w:pPr>
          </w:p>
        </w:tc>
        <w:tc>
          <w:tcPr>
            <w:tcW w:w="672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72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72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9"/>
              </w:rPr>
              <w:t>May 06,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361" w:right="559" w:bottom="1440" w:gutter="0" w:footer="0" w:header="0"/>
        </w:sectPr>
      </w:pPr>
    </w:p>
    <w:bookmarkStart w:id="2" w:name="page3"/>
    <w:bookmarkEnd w:id="2"/>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Investment Corporation Announces Financial Results for the Quarter Ended March 31, 2015</w:t>
      </w:r>
    </w:p>
    <w:p>
      <w:pPr>
        <w:spacing w:after="0" w:line="213"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NEW YORK, NY -- (Marketwired - May 06, 2015) - PennantPark Investment Corporation (NASDAQ: PNNT) announced today financial results for the second fiscal quarter ended March 31, 2015.</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Quarter ended March 31, 2015</w:t>
      </w:r>
    </w:p>
    <w:p>
      <w:pPr>
        <w:spacing w:after="0" w:line="238" w:lineRule="auto"/>
        <w:rPr>
          <w:sz w:val="20"/>
          <w:szCs w:val="20"/>
          <w:color w:val="auto"/>
        </w:rPr>
      </w:pPr>
      <w:r>
        <w:rPr>
          <w:rFonts w:ascii="Courier New" w:cs="Courier New" w:eastAsia="Courier New" w:hAnsi="Courier New"/>
          <w:sz w:val="18"/>
          <w:szCs w:val="18"/>
          <w:color w:val="auto"/>
        </w:rPr>
        <w:t>($ 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1,300.4</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769.4</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10.25</w:t>
            </w:r>
          </w:p>
        </w:tc>
      </w:tr>
      <w:tr>
        <w:trPr>
          <w:trHeight w:val="405"/>
        </w:trPr>
        <w:tc>
          <w:tcPr>
            <w:tcW w:w="6060" w:type="dxa"/>
            <w:vAlign w:val="bottom"/>
          </w:tcPr>
          <w:p>
            <w:pPr>
              <w:ind w:left="220"/>
              <w:spacing w:after="0"/>
              <w:rPr>
                <w:sz w:val="20"/>
                <w:szCs w:val="20"/>
                <w:color w:val="auto"/>
              </w:rPr>
            </w:pPr>
            <w:r>
              <w:rPr>
                <w:rFonts w:ascii="Courier New" w:cs="Courier New" w:eastAsia="Courier New" w:hAnsi="Courier New"/>
                <w:sz w:val="18"/>
                <w:szCs w:val="18"/>
                <w:color w:val="auto"/>
              </w:rPr>
              <w:t>Credit Facility (cost $99.2)</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93.5</w:t>
            </w:r>
          </w:p>
        </w:tc>
      </w:tr>
      <w:tr>
        <w:trPr>
          <w:trHeight w:val="202"/>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2019 Notes (cost $250.0)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254.1</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2025 Notes (cost $71.3)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71.4</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SBA debentures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10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12.4%</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22.1</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0.29</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72.6</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103.2</w:t>
            </w:r>
          </w:p>
        </w:tc>
      </w:tr>
      <w:tr>
        <w:trPr>
          <w:trHeight w:val="405"/>
        </w:trPr>
        <w:tc>
          <w:tcPr>
            <w:tcW w:w="606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106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10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w:t>
            </w:r>
          </w:p>
        </w:tc>
        <w:tc>
          <w:tcPr>
            <w:tcW w:w="10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MAY 7, 2015</w:t>
      </w:r>
    </w:p>
    <w:p>
      <w:pPr>
        <w:spacing w:after="0" w:line="212" w:lineRule="exact"/>
        <w:rPr>
          <w:sz w:val="20"/>
          <w:szCs w:val="20"/>
          <w:color w:val="auto"/>
        </w:rPr>
      </w:pPr>
    </w:p>
    <w:p>
      <w:pPr>
        <w:ind w:right="180"/>
        <w:spacing w:after="0" w:line="248" w:lineRule="auto"/>
        <w:rPr>
          <w:sz w:val="20"/>
          <w:szCs w:val="20"/>
          <w:color w:val="auto"/>
        </w:rPr>
      </w:pPr>
      <w:r>
        <w:rPr>
          <w:rFonts w:ascii="Arial" w:cs="Arial" w:eastAsia="Arial" w:hAnsi="Arial"/>
          <w:sz w:val="21"/>
          <w:szCs w:val="21"/>
          <w:color w:val="auto"/>
        </w:rPr>
        <w:t>PennantPark Investment Corporation ("we," "our," "us" or "Company") will host a conference call at 10:00 a.m. (Eastern Time) on Thursday, May 7, 2015 to discuss its financial results. All interested parties are welcome to participate. You can access the conference call by dialing (888) 211-0353 approximately 5-10 minutes prior to the call. International callers should dial (913) 981-5524. All callers should reference PennantPark Investment Corporation. An archived replay of the call will be available through May 21, 2015 by calling (888) 203-1112. International callers please dial (719) 457-0820. For all phone replays, please reference conference ID #6062181.</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As of March 31, 2015, our portfolio totaled $1,300.4 million and consisted of $350.4 million of senior secured loans, $610.7 million of second lien secured debt, $216.1 million of subordinated debt and $123.2 million of preferred and common equity. Our debt portfolio consisted of 68% variable-rate investments (including 61% with a London Interbank Offered Rate, or LIBOR, or prime floor) and 32% fixed-rate investments. Overall, the portfolio had net unrealized depreciation of $78.8 million. As of March 31, 2015, we had two non-accrual debt investments, representing 1.2% of our overall portfolio on a cost basis. Our overall portfolio consisted of 67 companies with an average investment size of $19.4 million, had a weighted average yield on debt investments of 12.4% and was invested 27% in senior secured loans, 47% in second lien secured debt, 17% in subordinated debt and 9% in preferred and common equity.</w:t>
      </w:r>
    </w:p>
    <w:p>
      <w:pPr>
        <w:spacing w:after="0" w:line="180"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As of September 30, 2014, our portfolio totaled $1,318.1 million and consisted of $465.6 million of senior secured loans, $493.4 million of second lien secured debt, $247.1 million of subordinated debt and $112.0 million of preferred and common equity. Our debt portfolio consisted of 67% variable-rate investments (including 61% with a LIBOR or prime floor) and 33% fixed-rate investments. Overall, the portfolio had net unrealized depreciation of $0.9 million. As of September 30, 2014, we had one non-accrual debt investment, representing 0.3% of our overall portfolio on a cost basis. Our overall portfolio consisted of 67 companies with an average investment size of $19.7 million, had a weighted average yield on debt investments of 12.5% and was invested 35% in senior secured loans, 37% in second lien secured debt, 19% in subordinated debt and 9% in preferred and common equity.</w:t>
      </w:r>
    </w:p>
    <w:p>
      <w:pPr>
        <w:spacing w:after="0" w:line="187"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For the three months ended March 31, 2015, we invested $72.6 million in two new and eight existing portfolio companies with a weighted average yield on debt investments of 12.9%. Sales and repayments of investments for the three months ended March 31, 2015 totaled $103.2 million. For the six months ended March 31, 2015, we invested $231.5 million in five new and 13 existing portfolio companies with a weighted average yield on debt investments of 12.7%. Sales and repayments of investments for the six months ended March 31, 2015 totaled $182.5 million.</w:t>
      </w:r>
    </w:p>
    <w:p>
      <w:pPr>
        <w:spacing w:after="0" w:line="178"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For the three months ended March 31, 2014, we invested $142.0 million in four new and six existing portfolio companies with a weighted average yield on debt investments of 12.0%. Sales and repayments of investments for the three months ended March 31, 2014 totaled $116.8 million. For the six months ended March 31, 2014, we invested $370.0 million in 13 new and 13 existing</w:t>
      </w:r>
    </w:p>
    <w:p>
      <w:pPr>
        <w:sectPr>
          <w:pgSz w:w="11900" w:h="16925" w:orient="portrait"/>
          <w:cols w:equalWidth="0" w:num="1">
            <w:col w:w="11220"/>
          </w:cols>
          <w:pgMar w:left="320" w:top="111" w:right="359" w:bottom="0" w:gutter="0" w:footer="0" w:header="0"/>
        </w:sectPr>
      </w:pPr>
    </w:p>
    <w:bookmarkStart w:id="3" w:name="page4"/>
    <w:bookmarkEnd w:id="3"/>
    <w:p>
      <w:pPr>
        <w:ind w:right="300"/>
        <w:spacing w:after="0" w:line="251" w:lineRule="auto"/>
        <w:rPr>
          <w:sz w:val="20"/>
          <w:szCs w:val="20"/>
          <w:color w:val="auto"/>
        </w:rPr>
      </w:pPr>
      <w:r>
        <w:rPr>
          <w:rFonts w:ascii="Arial" w:cs="Arial" w:eastAsia="Arial" w:hAnsi="Arial"/>
          <w:sz w:val="22"/>
          <w:szCs w:val="22"/>
          <w:color w:val="auto"/>
        </w:rPr>
        <w:t>portfolio companies with a weighted average yield on debt investments of 12.2%. Sales and repayments of investments for the six months ended March 31, 2014 totaled $260.8 million.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six months ended March 31, 2015 and 2014.</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100"/>
        <w:spacing w:after="0" w:line="275" w:lineRule="auto"/>
        <w:rPr>
          <w:sz w:val="20"/>
          <w:szCs w:val="20"/>
          <w:color w:val="auto"/>
        </w:rPr>
      </w:pPr>
      <w:r>
        <w:rPr>
          <w:rFonts w:ascii="Arial" w:cs="Arial" w:eastAsia="Arial" w:hAnsi="Arial"/>
          <w:sz w:val="19"/>
          <w:szCs w:val="19"/>
          <w:color w:val="auto"/>
        </w:rPr>
        <w:t>Investment income for the three and six months ended March 31, 2015 was $42.7 million and $81.9 million, respectively, and was attributable to $15.7 million and $30.3 million from senior secured loans, $18.8 million and $34.6 million from second lien secured debt, $8.0 million and $16.3 million from subordinated debt, and $0.2 million and $0.7 million from preferred and common equity, respectively. This compares to investment income for the three and six months ended March 31, 2014, which was $37.9 million and $72.3 million, respectively, and was attributable to $10.6 million and $20.2 million from senior secured loans, $14.3 million and $26.6 million from second lien secured debt, $12.7 million and $24.1 million from subordinated debt, and $0.3 million and $1.4 million from preferred and common equity, respectively. The increase in investment income compared with the same periods in the prior year was primarily due to the growth of our portfolio.</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Expenses for the three and six months ended March 31, 2015 totaled $20.6 million and $40.3 million, respectively. Base management fee for the same periods totaled $6.8 million and $13.6 million, incentive fee totaled $5.5 million and $10.4 million, debt related interest and expenses totaled $6.6 million and $13.1 million and general and administrative expenses totaled $1.7 million and $3.2 million, respectively. This compares to expenses for the three and six months ended March 31, 2014, which totaled $17.8 million and $34.3 million, respectively. Base management fee for the same periods totaled $6.0 million and $11.8 million, incentive fee totaled $5.0 million and $9.5 million, debt related interest and expenses totaled $5.1 million and $9.7 million and general and administrative expenses totaled $1.7 million and $3.3 million, respectively. The increase in expenses compared with the same periods in the prior year was primarily due to increased borrowing costs and the growth of our portfolio.</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Net investment income totaled $22.1 million and $41.6 million, or $0.29 and $0.55 per share, for the three and six months ended March 31, 2015, respectively. Net investment income totaled $20.0 million and $38.0 million, or $0.30 and $0.57 per share, for the three and six months ended March 31, 2014, respectively. The increase in net investment income compared to the same period in the prior year was primarily due to the growth of our portfolio offset by higher financing costs. The decrease in net investment income per share compared with the same periods in the prior year was primarily due to the issuance of new shares.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Sales and repayments of investments for the three and six months ended March 31, 2015 totaled $103.2 million and $182.5 million, respectively, and realized gains totaled $9.5 million and $18.1 million, respectively. Sales and repayments of investments for the three and six months ended March 31, 2014 totaled $116.8 million and $260.8 million, respectively, and realized gains totaled $3.0 million and $5.7 million, respectively. The increase in realized gains compared with the same periods in the prior year was primarily due to the improved merger and acquisition environment and repayments of our investments.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Credit Facility, 2019 Notes and 2025 Notes</w:t>
      </w:r>
    </w:p>
    <w:p>
      <w:pPr>
        <w:spacing w:after="0" w:line="212"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For the three and six months ended March 31, 2015, we reported net unrealized depreciation on investments of $24.8 million and $77.9 million, respectively. For the three and six months ended March 31, 2014, we reported a net unrealized appreciation on investments of $23.8 million and $38.5 million, respectively. As of March 31, 2015 and September 30, 2014, our net unrealized depreciation on investments totaled $78.8 million and $0.9 million, respectively. The decrease compared with the same periods in the prior year was the result of the overall variation in the leveraged finance markets.</w:t>
      </w:r>
    </w:p>
    <w:p>
      <w:pPr>
        <w:spacing w:after="0" w:line="178" w:lineRule="exact"/>
        <w:rPr>
          <w:sz w:val="20"/>
          <w:szCs w:val="20"/>
          <w:color w:val="auto"/>
        </w:rPr>
      </w:pPr>
    </w:p>
    <w:p>
      <w:pPr>
        <w:ind w:right="220"/>
        <w:spacing w:after="0" w:line="282" w:lineRule="auto"/>
        <w:rPr>
          <w:sz w:val="20"/>
          <w:szCs w:val="20"/>
          <w:color w:val="auto"/>
        </w:rPr>
      </w:pPr>
      <w:r>
        <w:rPr>
          <w:rFonts w:ascii="Arial" w:cs="Arial" w:eastAsia="Arial" w:hAnsi="Arial"/>
          <w:sz w:val="19"/>
          <w:szCs w:val="19"/>
          <w:color w:val="auto"/>
        </w:rPr>
        <w:t>For the three and six months ended March 31, 2015, we reported net unrealized depreciation of $0.6 million and $1.7 million, respectively, on our multi-currency, senior secured revolving credit facility, or the Credit Facility, our 4.50% notes due 2019, or 2019 Notes, and our 6.25% senior notes due 2025, or 2025 Notes. For the three and six months ended March 31, 2014, we reported a net unrealized appreciation on our Credit Facility and 2025 Notes of $6.1 million and $2.0 million, respectively. The change compared with the same periods in the prior year was primarily due to changes in the capital markets.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Net change in net assets resulting from operations totaled $7.4 million and $(16.6) million, or $0.10 and $(0.22) per share, for the three and six months ended March 31, 2015, respectively. This compares to a net change in net assets resulting from operations of $40.7 million and $80.1 million, or $0.61 and $1.20 per share, for the three and six months ended March 31, 2014, respectively.</w:t>
      </w:r>
    </w:p>
    <w:p>
      <w:pPr>
        <w:spacing w:after="0" w:line="1"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The decrease in the net change in net assets from operations compared with the same periods in the prior year reflects the change in portfolio investment values during the reporting periods.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ectPr>
          <w:pgSz w:w="11900" w:h="16838" w:orient="portrait"/>
          <w:cols w:equalWidth="0" w:num="1">
            <w:col w:w="11240"/>
          </w:cols>
          <w:pgMar w:left="320" w:top="118" w:right="339" w:bottom="59" w:gutter="0" w:footer="0" w:header="0"/>
        </w:sectPr>
      </w:pPr>
    </w:p>
    <w:bookmarkStart w:id="4" w:name="page5"/>
    <w:bookmarkEnd w:id="4"/>
    <w:p>
      <w:pPr>
        <w:ind w:right="40"/>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88"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As of March 31, 2015 and September 30, 2014, there was $99.2 million and $55.2 million, respectively, in outstanding borrowings under the Credit Facility, with a weighted average interest rate at the time of 2.63% and 2.80%, respectively, exclusive of the fee on undrawn commitments of 0.375%. The annualized weighted average cost of debt for the six months ended March 31, 2015 and 2014, inclusive of the fee on the undrawn commitment on the Credit Facility and upfront fees on Small Business Administration, or SBA, debentures, was 4.57% and 4.03%, respectively. As of March 31, 2015 and September 30, 2014, we had $445.8 million and $489.8 million of unused borrowing capacity, respectively, subject to the regulatory restrictions that the 1940 Act imposes on us as a business development company.</w:t>
      </w:r>
    </w:p>
    <w:p>
      <w:pPr>
        <w:spacing w:after="0" w:line="184" w:lineRule="exact"/>
        <w:rPr>
          <w:sz w:val="20"/>
          <w:szCs w:val="20"/>
          <w:color w:val="auto"/>
        </w:rPr>
      </w:pPr>
    </w:p>
    <w:p>
      <w:pPr>
        <w:jc w:val="both"/>
        <w:ind w:right="180"/>
        <w:spacing w:after="0" w:line="257" w:lineRule="auto"/>
        <w:rPr>
          <w:sz w:val="20"/>
          <w:szCs w:val="20"/>
          <w:color w:val="auto"/>
        </w:rPr>
      </w:pPr>
      <w:r>
        <w:rPr>
          <w:rFonts w:ascii="Arial" w:cs="Arial" w:eastAsia="Arial" w:hAnsi="Arial"/>
          <w:sz w:val="21"/>
          <w:szCs w:val="21"/>
          <w:color w:val="auto"/>
        </w:rPr>
        <w:t>As of March 31, 2015 and September 30, 2014, we had $250.0 million and $71.3 million in aggregate principal amount of 2019 Notes and 2025 Notes, respectively, with a fixed interest rate of 4.50% and 6.25% per year, respectively. As of March 31, 2014, we had $71.3 million in aggregate principal amount of 2025 Notes with a fixed interest rate of 6.25%.</w:t>
      </w:r>
    </w:p>
    <w:p>
      <w:pPr>
        <w:spacing w:after="0" w:line="169" w:lineRule="exact"/>
        <w:rPr>
          <w:sz w:val="20"/>
          <w:szCs w:val="20"/>
          <w:color w:val="auto"/>
        </w:rPr>
      </w:pPr>
    </w:p>
    <w:p>
      <w:pPr>
        <w:ind w:right="20"/>
        <w:spacing w:after="0"/>
        <w:rPr>
          <w:sz w:val="20"/>
          <w:szCs w:val="20"/>
          <w:color w:val="auto"/>
        </w:rPr>
      </w:pPr>
      <w:r>
        <w:rPr>
          <w:rFonts w:ascii="Arial" w:cs="Arial" w:eastAsia="Arial" w:hAnsi="Arial"/>
          <w:sz w:val="22"/>
          <w:szCs w:val="22"/>
          <w:color w:val="auto"/>
        </w:rPr>
        <w:t>As of March 31, 2015 and September 30, 2014, we had $225.0 million in SBA debt commitments through certain of our consolidated subsidiaries and $150.0 million was drawn for each period. Both SBA debentures' upfront fees of 3.43% consist of a commitment fee of 1.00% and an issuance discount of 2.43%, which are being amortized.</w:t>
      </w:r>
    </w:p>
    <w:p>
      <w:pPr>
        <w:spacing w:after="0" w:line="186"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At March 31, 2015 and September 30, 2014, we had cash and cash equivalents of $62.8 million and $66.5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Our operating activities used cash of $5.5 million for the six months ended March 31, 2015, primarily for net purchases of investments. Our financing activities provided cash of $1.9 million for the same period, primarily from net borrowings under our Credit Facility.</w:t>
      </w:r>
    </w:p>
    <w:p>
      <w:pPr>
        <w:spacing w:after="0" w:line="186"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Our operating activities used cash of $133.2 million for the six months ended March 31, 2014, primarily for net purchases of investments. Our financing activities provided cash of $131.1 million for the same period, primarily from net borrowings under our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On May 6, 2015, the Company announced a share repurchase plan to purchase common stock in the open market in an amount up to $35 million. Unless extended, the program, which may be implemented at the discretion of management, will expire on the earlier of May 6, 2016 and the repurchase of $35 million of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180"/>
        <w:spacing w:after="0" w:line="275" w:lineRule="auto"/>
        <w:rPr>
          <w:sz w:val="20"/>
          <w:szCs w:val="20"/>
          <w:color w:val="auto"/>
        </w:rPr>
      </w:pPr>
      <w:r>
        <w:rPr>
          <w:rFonts w:ascii="Arial" w:cs="Arial" w:eastAsia="Arial" w:hAnsi="Arial"/>
          <w:sz w:val="19"/>
          <w:szCs w:val="19"/>
          <w:color w:val="auto"/>
        </w:rPr>
        <w:t>During the three and six months ended March 31, 2015, we declared to stockholders distributions of $0.28 and $0.56 per share, respectively, for total distributions of $21.0 million and $42.1 million, respectively. For the same periods in the prior year, we declared distributions of $0.28 and $0.56 per share, respectively, for total distributions of $18.6 million and $37.3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Securities and Exchange Commission, or the SEC.</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our website at www.pennantpark.com.</w:t>
      </w:r>
    </w:p>
    <w:p>
      <w:pPr>
        <w:spacing w:after="0" w:line="396"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8"/>
          <w:szCs w:val="18"/>
          <w:color w:val="auto"/>
        </w:rPr>
        <w:t>PENNANTPARK INVESTMENT CORPORATION AND SUBSIDIARIES</w:t>
      </w:r>
    </w:p>
    <w:p>
      <w:pPr>
        <w:jc w:val="center"/>
        <w:ind w:right="332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17"/>
                <w:szCs w:val="17"/>
                <w:color w:val="auto"/>
              </w:rPr>
            </w:pP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March 31, 2015</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4700" w:type="dxa"/>
            <w:vAlign w:val="bottom"/>
          </w:tcPr>
          <w:p>
            <w:pPr>
              <w:spacing w:after="0"/>
              <w:rPr>
                <w:sz w:val="17"/>
                <w:szCs w:val="17"/>
                <w:color w:val="auto"/>
              </w:rPr>
            </w:pPr>
          </w:p>
        </w:tc>
        <w:tc>
          <w:tcPr>
            <w:tcW w:w="1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(unaudited)</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2014</w:t>
            </w:r>
          </w:p>
        </w:tc>
      </w:tr>
      <w:tr>
        <w:trPr>
          <w:trHeight w:val="202"/>
        </w:trPr>
        <w:tc>
          <w:tcPr>
            <w:tcW w:w="470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Non-controlled, non-affiliated investments</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 $1,103,030,048 and</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2"/>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$1,171,573,359, respectively)</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$1,094,956,490</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$1,212,515,400</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affiliated investments</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 $203,579,582 and $108,572,406,</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2"/>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154,004,271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67,847,521</w:t>
            </w:r>
          </w:p>
        </w:tc>
      </w:tr>
      <w:tr>
        <w:trPr>
          <w:trHeight w:val="202"/>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Controlled, affiliated investments (cost -</w:t>
            </w:r>
          </w:p>
        </w:tc>
        <w:tc>
          <w:tcPr>
            <w:tcW w:w="162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ectPr>
          <w:pgSz w:w="11900" w:h="16838" w:orient="portrait"/>
          <w:cols w:equalWidth="0" w:num="1">
            <w:col w:w="11240"/>
          </w:cols>
          <w:pgMar w:left="320" w:top="118"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ind w:left="320"/>
              <w:spacing w:after="0"/>
              <w:rPr>
                <w:sz w:val="20"/>
                <w:szCs w:val="20"/>
                <w:color w:val="auto"/>
              </w:rPr>
            </w:pPr>
            <w:r>
              <w:rPr>
                <w:rFonts w:ascii="Courier New" w:cs="Courier New" w:eastAsia="Courier New" w:hAnsi="Courier New"/>
                <w:sz w:val="18"/>
                <w:szCs w:val="18"/>
                <w:color w:val="auto"/>
              </w:rPr>
              <w:t>$72,384,496 and $38,708,555,</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51,446,532</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37,691,845</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of investments (cost -</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$1,378,994,126 and $1,318,854,320,</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1,300,407,293</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1,318,054,766</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(cost -</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$63,051,050 and $66,600,195, 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62,823,624</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66,518,682</w:t>
            </w:r>
          </w:p>
        </w:tc>
      </w:tr>
      <w:tr>
        <w:trPr>
          <w:trHeight w:val="202"/>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12,715,483</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13,703,525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financing costs and other assets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13,326,399</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13,550,224</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assets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1,389,272,799</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1,411,827,197</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21,026,015</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21,026,015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8,022,188</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4,432,500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15,607,059</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 - $99,209,100</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$55,226,300, respectively)</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93,501,790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53,497,620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SBA debentures payable (cost - $150,000,000)</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150,000,000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150,000,000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2019 Notes payable (cost - $250,000,000)</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254,051,000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251,350,250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2025 Notes payable (cost - $71,250,000)</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71,421,000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71,820,000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6,799,736</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6,385,103</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5,523,967</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4,622,754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debt</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7,870,970</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1,962,264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1,665,207</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3,113,683</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619,881,873</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583,817,248</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75,092,911 shares issued and</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75,093</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75,093</w:t>
            </w: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Par value $0.001 per share and 100,000,000</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852,465,375</w:t>
            </w:r>
          </w:p>
        </w:tc>
        <w:tc>
          <w:tcPr>
            <w:tcW w:w="1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852,465,375</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in excess of net investment</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w:t>
            </w:r>
          </w:p>
        </w:tc>
        <w:tc>
          <w:tcPr>
            <w:tcW w:w="1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(12,281,869)</w:t>
            </w: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(11,802,580)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gain (loss) on</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6,461,276</w:t>
            </w: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(11,655,302)</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investments</w:t>
            </w:r>
          </w:p>
        </w:tc>
        <w:tc>
          <w:tcPr>
            <w:tcW w:w="16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(78,814,259)</w:t>
            </w: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(881,067)</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(appreciation)</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 debt</w:t>
            </w:r>
          </w:p>
        </w:tc>
        <w:tc>
          <w:tcPr>
            <w:tcW w:w="160" w:type="dxa"/>
            <w:vAlign w:val="bottom"/>
          </w:tcPr>
          <w:p>
            <w:pPr>
              <w:spacing w:after="0"/>
              <w:rPr>
                <w:sz w:val="17"/>
                <w:szCs w:val="17"/>
                <w:color w:val="auto"/>
              </w:rPr>
            </w:pP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1,485,310</w:t>
            </w: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(191,570)</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769,390,926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828,009,949</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$1,389,272,799</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$1,411,827,197</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11.03</w:t>
            </w:r>
          </w:p>
        </w:tc>
      </w:tr>
      <w:tr>
        <w:trPr>
          <w:trHeight w:val="203"/>
        </w:trPr>
        <w:tc>
          <w:tcPr>
            <w:tcW w:w="4700" w:type="dxa"/>
            <w:vAlign w:val="bottom"/>
          </w:tcPr>
          <w:p>
            <w:pPr>
              <w:spacing w:after="0"/>
              <w:rPr>
                <w:sz w:val="17"/>
                <w:szCs w:val="17"/>
                <w:color w:val="auto"/>
              </w:rPr>
            </w:pPr>
          </w:p>
        </w:tc>
        <w:tc>
          <w:tcPr>
            <w:tcW w:w="1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0"/>
          <w:szCs w:val="20"/>
          <w:color w:val="auto"/>
        </w:rPr>
      </w:pPr>
    </w:p>
    <w:p>
      <w:pPr>
        <w:spacing w:after="0" w:line="209" w:lineRule="exact"/>
        <w:rPr>
          <w:sz w:val="20"/>
          <w:szCs w:val="20"/>
          <w:color w:val="auto"/>
        </w:rPr>
      </w:pPr>
    </w:p>
    <w:p>
      <w:pPr>
        <w:jc w:val="center"/>
        <w:ind w:right="2219"/>
        <w:spacing w:after="0" w:line="236" w:lineRule="auto"/>
        <w:rPr>
          <w:sz w:val="20"/>
          <w:szCs w:val="20"/>
          <w:color w:val="auto"/>
        </w:rPr>
      </w:pPr>
      <w:r>
        <w:rPr>
          <w:rFonts w:ascii="Courier New" w:cs="Courier New" w:eastAsia="Courier New" w:hAnsi="Courier New"/>
          <w:sz w:val="18"/>
          <w:szCs w:val="18"/>
          <w:color w:val="auto"/>
        </w:rPr>
        <w:t>PENNANTPARK INVESTMENT CORPORATION AND SUBSIDIARIES CONSOLIDATED STATEMENTS OF OPERATIONS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580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7"/>
              </w:rPr>
              <w:t>Three Months Ended March 31, Six Months Ended March 31,</w:t>
            </w:r>
          </w:p>
        </w:tc>
      </w:tr>
      <w:tr>
        <w:trPr>
          <w:trHeight w:val="203"/>
        </w:trPr>
        <w:tc>
          <w:tcPr>
            <w:tcW w:w="2220" w:type="dxa"/>
            <w:vAlign w:val="bottom"/>
          </w:tcPr>
          <w:p>
            <w:pPr>
              <w:spacing w:after="0"/>
              <w:rPr>
                <w:sz w:val="17"/>
                <w:szCs w:val="17"/>
                <w:color w:val="auto"/>
              </w:rPr>
            </w:pPr>
          </w:p>
        </w:tc>
        <w:tc>
          <w:tcPr>
            <w:tcW w:w="580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20" w:type="dxa"/>
            <w:vAlign w:val="bottom"/>
          </w:tcPr>
          <w:p>
            <w:pPr>
              <w:spacing w:after="0"/>
              <w:rPr>
                <w:sz w:val="17"/>
                <w:szCs w:val="17"/>
                <w:color w:val="auto"/>
              </w:rPr>
            </w:pP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2015</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2014</w:t>
            </w:r>
          </w:p>
        </w:tc>
        <w:tc>
          <w:tcPr>
            <w:tcW w:w="14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2015</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2014</w:t>
            </w:r>
          </w:p>
        </w:tc>
      </w:tr>
      <w:tr>
        <w:trPr>
          <w:trHeight w:val="203"/>
        </w:trPr>
        <w:tc>
          <w:tcPr>
            <w:tcW w:w="2220" w:type="dxa"/>
            <w:vAlign w:val="bottom"/>
          </w:tcPr>
          <w:p>
            <w:pPr>
              <w:spacing w:after="0"/>
              <w:rPr>
                <w:sz w:val="17"/>
                <w:szCs w:val="17"/>
                <w:color w:val="auto"/>
              </w:rPr>
            </w:pPr>
          </w:p>
        </w:tc>
        <w:tc>
          <w:tcPr>
            <w:tcW w:w="43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 ------------ ------------</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non-affiliated</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$ 35,227,997</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$ 31,858,467</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$ 70,089,625</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$ 60,823,402</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4,818,465</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2,336,170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6,397,303</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4,851,027</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2"/>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2"/>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1,251,778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1,453,003</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2,737,188</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2,717,613</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controlled,</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2"/>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1,362,313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2,231,179</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2,641,109</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3,624,633</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300,833</w:t>
            </w:r>
          </w:p>
        </w:tc>
      </w:tr>
      <w:tr>
        <w:trPr>
          <w:trHeight w:val="203"/>
        </w:trPr>
        <w:tc>
          <w:tcPr>
            <w:tcW w:w="2220" w:type="dxa"/>
            <w:vAlign w:val="bottom"/>
          </w:tcPr>
          <w:p>
            <w:pPr>
              <w:spacing w:after="0"/>
              <w:rPr>
                <w:sz w:val="17"/>
                <w:szCs w:val="17"/>
                <w:color w:val="auto"/>
              </w:rPr>
            </w:pPr>
          </w:p>
        </w:tc>
        <w:tc>
          <w:tcPr>
            <w:tcW w:w="43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 ------------ ------------</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2"/>
        </w:trPr>
        <w:tc>
          <w:tcPr>
            <w:tcW w:w="2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42,660,553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37,878,819</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81,865,225</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72,317,508</w:t>
            </w:r>
          </w:p>
        </w:tc>
      </w:tr>
      <w:tr>
        <w:trPr>
          <w:trHeight w:val="203"/>
        </w:trPr>
        <w:tc>
          <w:tcPr>
            <w:tcW w:w="2220" w:type="dxa"/>
            <w:vAlign w:val="bottom"/>
          </w:tcPr>
          <w:p>
            <w:pPr>
              <w:spacing w:after="0"/>
              <w:rPr>
                <w:sz w:val="17"/>
                <w:szCs w:val="17"/>
                <w:color w:val="auto"/>
              </w:rPr>
            </w:pPr>
          </w:p>
        </w:tc>
        <w:tc>
          <w:tcPr>
            <w:tcW w:w="43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 ------------ ------------</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Base management fee</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6,799,737</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6,027,293</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13,596,488</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11,774,353</w:t>
            </w:r>
          </w:p>
        </w:tc>
      </w:tr>
    </w:tbl>
    <w:p>
      <w:pPr>
        <w:sectPr>
          <w:pgSz w:w="11900" w:h="16838" w:orient="portrait"/>
          <w:cols w:equalWidth="0" w:num="1">
            <w:col w:w="10139"/>
          </w:cols>
          <w:pgMar w:left="320" w:top="136" w:right="1440" w:bottom="0" w:gutter="0" w:footer="0" w:header="0"/>
        </w:sectPr>
      </w:pPr>
    </w:p>
    <w:bookmarkStart w:id="6" w:name="page7"/>
    <w:bookmarkEnd w:id="6"/>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ind w:left="220"/>
              <w:spacing w:after="0"/>
              <w:rPr>
                <w:sz w:val="20"/>
                <w:szCs w:val="20"/>
                <w:color w:val="auto"/>
              </w:rPr>
            </w:pPr>
            <w:r>
              <w:rPr>
                <w:rFonts w:ascii="Courier New" w:cs="Courier New" w:eastAsia="Courier New" w:hAnsi="Courier New"/>
                <w:sz w:val="18"/>
                <w:szCs w:val="18"/>
                <w:color w:val="auto"/>
              </w:rPr>
              <w:t>Performance-based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incentive fee</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5,523,967</w:t>
            </w:r>
          </w:p>
        </w:tc>
        <w:tc>
          <w:tcPr>
            <w:tcW w:w="16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5,007,264</w:t>
            </w:r>
          </w:p>
        </w:tc>
        <w:tc>
          <w:tcPr>
            <w:tcW w:w="12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10,393,185</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9,496,043</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 on debt</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6,567,496</w:t>
            </w:r>
          </w:p>
        </w:tc>
        <w:tc>
          <w:tcPr>
            <w:tcW w:w="16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5,099,113</w:t>
            </w:r>
          </w:p>
        </w:tc>
        <w:tc>
          <w:tcPr>
            <w:tcW w:w="12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13,082,827</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9,672,746</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services expenses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849,656</w:t>
            </w:r>
          </w:p>
        </w:tc>
        <w:tc>
          <w:tcPr>
            <w:tcW w:w="16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928,954</w:t>
            </w:r>
          </w:p>
        </w:tc>
        <w:tc>
          <w:tcPr>
            <w:tcW w:w="12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1,706,720</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1,840,550</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823,828</w:t>
            </w:r>
          </w:p>
        </w:tc>
        <w:tc>
          <w:tcPr>
            <w:tcW w:w="16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787,140</w:t>
            </w:r>
          </w:p>
        </w:tc>
        <w:tc>
          <w:tcPr>
            <w:tcW w:w="12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1,513,264</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1,549,644</w:t>
            </w:r>
          </w:p>
        </w:tc>
      </w:tr>
      <w:tr>
        <w:trPr>
          <w:trHeight w:val="203"/>
        </w:trPr>
        <w:tc>
          <w:tcPr>
            <w:tcW w:w="23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20,564,684</w:t>
            </w:r>
          </w:p>
        </w:tc>
        <w:tc>
          <w:tcPr>
            <w:tcW w:w="16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17,849,764</w:t>
            </w:r>
          </w:p>
        </w:tc>
        <w:tc>
          <w:tcPr>
            <w:tcW w:w="12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40,292,484</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34,333,336</w:t>
            </w:r>
          </w:p>
        </w:tc>
      </w:tr>
      <w:tr>
        <w:trPr>
          <w:trHeight w:val="203"/>
        </w:trPr>
        <w:tc>
          <w:tcPr>
            <w:tcW w:w="23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gridSpan w:val="4"/>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 ------------</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22,095,869</w:t>
            </w:r>
          </w:p>
        </w:tc>
        <w:tc>
          <w:tcPr>
            <w:tcW w:w="16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20,029,055</w:t>
            </w:r>
          </w:p>
        </w:tc>
        <w:tc>
          <w:tcPr>
            <w:tcW w:w="12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41,572,741</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37,984,172</w:t>
            </w:r>
          </w:p>
        </w:tc>
      </w:tr>
      <w:tr>
        <w:trPr>
          <w:trHeight w:val="203"/>
        </w:trPr>
        <w:tc>
          <w:tcPr>
            <w:tcW w:w="23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gridSpan w:val="4"/>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 ------------</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(loss)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 on investments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debt:</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gain on</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9,490,439</w:t>
            </w:r>
          </w:p>
        </w:tc>
        <w:tc>
          <w:tcPr>
            <w:tcW w:w="16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3,029,573</w:t>
            </w:r>
          </w:p>
        </w:tc>
        <w:tc>
          <w:tcPr>
            <w:tcW w:w="12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18,116,578</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5,688,684</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 on:</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Non-controlled, non-</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affiliated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(24,876,250)</w:t>
            </w:r>
          </w:p>
        </w:tc>
        <w:tc>
          <w:tcPr>
            <w:tcW w:w="16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15,782,680</w:t>
            </w:r>
          </w:p>
        </w:tc>
        <w:tc>
          <w:tcPr>
            <w:tcW w:w="1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(77,935,809)</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29,998,188</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Controlled and non-</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controlled,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affiliated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107,390</w:t>
            </w:r>
          </w:p>
        </w:tc>
        <w:tc>
          <w:tcPr>
            <w:tcW w:w="16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7,987,620</w:t>
            </w:r>
          </w:p>
        </w:tc>
        <w:tc>
          <w:tcPr>
            <w:tcW w:w="12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2,617</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8,508,837</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depreciation</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561,253</w:t>
            </w: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(6,147,777)</w:t>
            </w:r>
          </w:p>
        </w:tc>
        <w:tc>
          <w:tcPr>
            <w:tcW w:w="120" w:type="dxa"/>
            <w:vAlign w:val="bottom"/>
          </w:tcPr>
          <w:p>
            <w:pPr>
              <w:spacing w:after="0"/>
              <w:rPr>
                <w:sz w:val="17"/>
                <w:szCs w:val="17"/>
                <w:color w:val="auto"/>
              </w:rPr>
            </w:pP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1,676,880</w:t>
            </w:r>
          </w:p>
        </w:tc>
        <w:tc>
          <w:tcPr>
            <w:tcW w:w="2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(2,043,777)</w:t>
            </w:r>
          </w:p>
        </w:tc>
      </w:tr>
      <w:tr>
        <w:trPr>
          <w:trHeight w:val="203"/>
        </w:trPr>
        <w:tc>
          <w:tcPr>
            <w:tcW w:w="23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gridSpan w:val="4"/>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 ------------</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unrealized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 on</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and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debt</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(24,207,607)</w:t>
            </w:r>
          </w:p>
        </w:tc>
        <w:tc>
          <w:tcPr>
            <w:tcW w:w="16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17,622,523</w:t>
            </w:r>
          </w:p>
        </w:tc>
        <w:tc>
          <w:tcPr>
            <w:tcW w:w="1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(76,256,312)</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36,463,248</w:t>
            </w:r>
          </w:p>
        </w:tc>
      </w:tr>
      <w:tr>
        <w:trPr>
          <w:trHeight w:val="203"/>
        </w:trPr>
        <w:tc>
          <w:tcPr>
            <w:tcW w:w="23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gridSpan w:val="4"/>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 ------------</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(loss)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gain from investments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debt</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(14,717,168)</w:t>
            </w:r>
          </w:p>
        </w:tc>
        <w:tc>
          <w:tcPr>
            <w:tcW w:w="16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20,652,096</w:t>
            </w:r>
          </w:p>
        </w:tc>
        <w:tc>
          <w:tcPr>
            <w:tcW w:w="1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(58,139,734)</w:t>
            </w:r>
          </w:p>
        </w:tc>
        <w:tc>
          <w:tcPr>
            <w:tcW w:w="22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42,151,932</w:t>
            </w:r>
          </w:p>
        </w:tc>
      </w:tr>
      <w:tr>
        <w:trPr>
          <w:trHeight w:val="203"/>
        </w:trPr>
        <w:tc>
          <w:tcPr>
            <w:tcW w:w="23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gridSpan w:val="4"/>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 ------------</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(decrease) in net</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assets resulting from</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2"/>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7,378,701</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$ 40,681,151</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(16,566,993)</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$ 80,136,104</w:t>
            </w:r>
          </w:p>
        </w:tc>
      </w:tr>
      <w:tr>
        <w:trPr>
          <w:trHeight w:val="203"/>
        </w:trPr>
        <w:tc>
          <w:tcPr>
            <w:tcW w:w="23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gridSpan w:val="4"/>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 ============</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(decrease) in net</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assets resulting from</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operations per common</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0.61</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23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gridSpan w:val="4"/>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 ============</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0.30</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0.55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0.57</w:t>
            </w:r>
          </w:p>
        </w:tc>
      </w:tr>
      <w:tr>
        <w:trPr>
          <w:trHeight w:val="203"/>
        </w:trPr>
        <w:tc>
          <w:tcPr>
            <w:tcW w:w="23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gridSpan w:val="4"/>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 ============</w:t>
            </w:r>
          </w:p>
        </w:tc>
        <w:tc>
          <w:tcPr>
            <w:tcW w:w="14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2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w:t>
      </w:r>
    </w:p>
    <w:p>
      <w:pPr>
        <w:sectPr>
          <w:pgSz w:w="11900" w:h="16959" w:orient="portrait"/>
          <w:cols w:equalWidth="0" w:num="1">
            <w:col w:w="11220"/>
          </w:cols>
          <w:pgMar w:left="320" w:top="136" w:right="359" w:bottom="0" w:gutter="0" w:footer="0" w:header="0"/>
        </w:sectPr>
      </w:pPr>
    </w:p>
    <w:bookmarkStart w:id="7" w:name="page8"/>
    <w:bookmarkEnd w:id="7"/>
    <w:p>
      <w:pPr>
        <w:spacing w:after="0" w:line="251" w:lineRule="auto"/>
        <w:rPr>
          <w:sz w:val="20"/>
          <w:szCs w:val="20"/>
          <w:color w:val="auto"/>
        </w:rPr>
      </w:pPr>
      <w:r>
        <w:rPr>
          <w:rFonts w:ascii="Arial" w:cs="Arial" w:eastAsia="Arial" w:hAnsi="Arial"/>
          <w:sz w:val="22"/>
          <w:szCs w:val="22"/>
          <w:color w:val="auto"/>
        </w:rPr>
        <w:t>herein. You should not place undue influence on such forward-looking statements as such statements speak only as of the date on which they are made.</w:t>
      </w:r>
    </w:p>
    <w:p>
      <w:pPr>
        <w:spacing w:after="0" w:line="173"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We may use words such as "anticipates, "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180"/>
      </w:cols>
      <w:pgMar w:left="320" w:top="11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2020-05-05T15:07:27Z</dcterms:created>
  <dcterms:modified xsi:type="dcterms:W3CDTF">2020-05-05T15:07:27Z</dcterms:modified>
</cp:coreProperties>
</file>