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31750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6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CURRENT REPORT</w:t>
      </w:r>
    </w:p>
    <w:p>
      <w:pPr>
        <w:spacing w:after="0" w:line="15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Date of Report: October 22, 2024</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31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73" w:lineRule="exact"/>
        <w:rPr>
          <w:sz w:val="24"/>
          <w:szCs w:val="24"/>
          <w:color w:val="auto"/>
        </w:rPr>
      </w:pPr>
    </w:p>
    <w:tbl>
      <w:tblPr>
        <w:tblLayout w:type="fixed"/>
        <w:tblInd w:w="2300" w:type="dxa"/>
        <w:tblCellMar>
          <w:top w:w="0" w:type="dxa"/>
          <w:left w:w="0" w:type="dxa"/>
          <w:bottom w:w="0" w:type="dxa"/>
          <w:right w:w="0" w:type="dxa"/>
        </w:tblCellMar>
      </w:tblPr>
      <w:tr>
        <w:trPr>
          <w:trHeight w:val="220"/>
        </w:trPr>
        <w:tc>
          <w:tcPr>
            <w:tcW w:w="22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814-00736</w:t>
            </w:r>
          </w:p>
        </w:tc>
        <w:tc>
          <w:tcPr>
            <w:tcW w:w="2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20-8250744</w:t>
            </w:r>
          </w:p>
        </w:tc>
      </w:tr>
      <w:tr>
        <w:trPr>
          <w:trHeight w:val="216"/>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 File</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Number)</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200" w:lineRule="exact"/>
        <w:rPr>
          <w:sz w:val="24"/>
          <w:szCs w:val="24"/>
          <w:color w:val="auto"/>
        </w:rPr>
      </w:pPr>
    </w:p>
    <w:p>
      <w:pPr>
        <w:spacing w:after="0" w:line="372"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3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1691 Michigan Avenue</w:t>
            </w:r>
          </w:p>
        </w:tc>
        <w:tc>
          <w:tcPr>
            <w:tcW w:w="34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33139</w:t>
            </w:r>
          </w:p>
        </w:tc>
        <w:tc>
          <w:tcPr>
            <w:tcW w:w="0" w:type="dxa"/>
            <w:vAlign w:val="bottom"/>
          </w:tcPr>
          <w:p>
            <w:pPr>
              <w:spacing w:after="0"/>
              <w:rPr>
                <w:sz w:val="1"/>
                <w:szCs w:val="1"/>
                <w:color w:val="auto"/>
              </w:rPr>
            </w:pPr>
          </w:p>
        </w:tc>
      </w:tr>
      <w:tr>
        <w:trPr>
          <w:trHeight w:val="112"/>
        </w:trPr>
        <w:tc>
          <w:tcPr>
            <w:tcW w:w="30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40" w:type="dxa"/>
            <w:vAlign w:val="bottom"/>
            <w:vMerge w:val="continue"/>
          </w:tcPr>
          <w:p>
            <w:pPr>
              <w:spacing w:after="0"/>
              <w:rPr>
                <w:sz w:val="9"/>
                <w:szCs w:val="9"/>
                <w:color w:val="auto"/>
              </w:rPr>
            </w:pPr>
          </w:p>
        </w:tc>
        <w:tc>
          <w:tcPr>
            <w:tcW w:w="3460" w:type="dxa"/>
            <w:vAlign w:val="bottom"/>
            <w:vMerge w:val="restart"/>
          </w:tcPr>
          <w:p>
            <w:pPr>
              <w:jc w:val="center"/>
              <w:ind w:left="25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26"/>
        </w:trPr>
        <w:tc>
          <w:tcPr>
            <w:tcW w:w="3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4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4"/>
        </w:trPr>
        <w:tc>
          <w:tcPr>
            <w:tcW w:w="3040" w:type="dxa"/>
            <w:vAlign w:val="bottom"/>
          </w:tcPr>
          <w:p>
            <w:pPr>
              <w:spacing w:after="0"/>
              <w:rPr>
                <w:sz w:val="24"/>
                <w:szCs w:val="24"/>
                <w:color w:val="auto"/>
              </w:rPr>
            </w:pPr>
          </w:p>
        </w:tc>
        <w:tc>
          <w:tcPr>
            <w:tcW w:w="3460" w:type="dxa"/>
            <w:vAlign w:val="bottom"/>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(786) 297-9500</w:t>
            </w:r>
          </w:p>
        </w:tc>
        <w:tc>
          <w:tcPr>
            <w:tcW w:w="0" w:type="dxa"/>
            <w:vAlign w:val="bottom"/>
          </w:tcPr>
          <w:p>
            <w:pPr>
              <w:spacing w:after="0"/>
              <w:rPr>
                <w:sz w:val="1"/>
                <w:szCs w:val="1"/>
                <w:color w:val="auto"/>
              </w:rPr>
            </w:pPr>
          </w:p>
        </w:tc>
      </w:tr>
      <w:tr>
        <w:trPr>
          <w:trHeight w:val="234"/>
        </w:trPr>
        <w:tc>
          <w:tcPr>
            <w:tcW w:w="650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7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344"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9"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right="2840" w:firstLine="8"/>
        <w:spacing w:after="0" w:line="428" w:lineRule="auto"/>
        <w:tabs>
          <w:tab w:leader="none" w:pos="20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386" w:right="479" w:bottom="1440" w:gutter="0" w:footer="0" w:header="0"/>
        </w:sectPr>
      </w:pPr>
    </w:p>
    <w:p>
      <w:pPr>
        <w:ind w:left="13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52" w:lineRule="exact"/>
        <w:rPr>
          <w:sz w:val="24"/>
          <w:szCs w:val="24"/>
          <w:color w:val="auto"/>
        </w:rPr>
      </w:pPr>
    </w:p>
    <w:p>
      <w:pPr>
        <w:sectPr>
          <w:pgSz w:w="11900" w:h="16838" w:orient="portrait"/>
          <w:cols w:equalWidth="0" w:num="3">
            <w:col w:w="4060" w:space="720"/>
            <w:col w:w="1840" w:space="720"/>
            <w:col w:w="3760"/>
          </w:cols>
          <w:pgMar w:left="320" w:top="1386"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New York Stock Exchange</w:t>
      </w:r>
    </w:p>
    <w:p>
      <w:pPr>
        <w:spacing w:after="0" w:line="211" w:lineRule="exact"/>
        <w:rPr>
          <w:sz w:val="24"/>
          <w:szCs w:val="24"/>
          <w:color w:val="auto"/>
        </w:rPr>
      </w:pPr>
    </w:p>
    <w:p>
      <w:pPr>
        <w:sectPr>
          <w:pgSz w:w="11900" w:h="16838" w:orient="portrait"/>
          <w:cols w:equalWidth="0" w:num="3">
            <w:col w:w="4540" w:space="720"/>
            <w:col w:w="1980" w:space="720"/>
            <w:col w:w="3140"/>
          </w:cols>
          <w:pgMar w:left="320" w:top="1386" w:right="479" w:bottom="1440" w:gutter="0" w:footer="0" w:header="0"/>
          <w:type w:val="continuous"/>
        </w:sectPr>
      </w:pPr>
    </w:p>
    <w:p>
      <w:pPr>
        <w:spacing w:after="0" w:line="3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Wingdings" w:cs="Wingdings" w:eastAsia="Wingdings" w:hAnsi="Wingdings"/>
          <w:sz w:val="18"/>
          <w:szCs w:val="18"/>
          <w:b w:val="1"/>
          <w:bCs w:val="1"/>
          <w:color w:val="auto"/>
        </w:rPr>
        <w:t></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86" w:right="479" w:bottom="1440" w:gutter="0" w:footer="0" w:header="0"/>
          <w:type w:val="continuous"/>
        </w:sectPr>
      </w:pPr>
    </w:p>
    <w:bookmarkStart w:id="1" w:name="page2"/>
    <w:bookmarkEnd w:id="1"/>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of Results as of September 30, 2024</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October 22, 2024, PennantPark Investment Corporation (the “Company”) announced certain preliminary estimates of its financial results for the quarter ended September 30, 2024.</w:t>
      </w:r>
    </w:p>
    <w:p>
      <w:pPr>
        <w:spacing w:after="0" w:line="289" w:lineRule="exact"/>
        <w:rPr>
          <w:sz w:val="20"/>
          <w:szCs w:val="20"/>
          <w:color w:val="auto"/>
        </w:rPr>
      </w:pPr>
    </w:p>
    <w:p>
      <w:pPr>
        <w:ind w:left="1020" w:hanging="511"/>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estimated to be between $7.53 and $7.58 per common share at September 30, 2024. This compares to a net asset value per common share of $7.52 at June 30, 2024.</w:t>
      </w:r>
    </w:p>
    <w:p>
      <w:pPr>
        <w:spacing w:after="0" w:line="53" w:lineRule="exact"/>
        <w:rPr>
          <w:rFonts w:ascii="Times New Roman" w:cs="Times New Roman" w:eastAsia="Times New Roman" w:hAnsi="Times New Roman"/>
          <w:sz w:val="18"/>
          <w:szCs w:val="18"/>
          <w:color w:val="auto"/>
        </w:rPr>
      </w:pPr>
    </w:p>
    <w:p>
      <w:pPr>
        <w:ind w:left="1020" w:hanging="511"/>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is estimated to be between $0.21 and $0.23 per common share for the quarter ended September 30, 2024. This compares to net investment income of $0.24 per common share for the quarter ended June 30, 2024.</w:t>
      </w:r>
    </w:p>
    <w:p>
      <w:pPr>
        <w:spacing w:after="0" w:line="33" w:lineRule="exact"/>
        <w:rPr>
          <w:rFonts w:ascii="Times New Roman" w:cs="Times New Roman" w:eastAsia="Times New Roman" w:hAnsi="Times New Roman"/>
          <w:sz w:val="18"/>
          <w:szCs w:val="18"/>
          <w:color w:val="auto"/>
        </w:rPr>
      </w:pPr>
    </w:p>
    <w:p>
      <w:pPr>
        <w:ind w:left="1020" w:hanging="511"/>
        <w:spacing w:after="0" w:line="233"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net investment income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is estimated to be between $0.21 and $0.23 per common share for the quarter ended September 30, 2024. This compares to core net investment income of $0.21 per common share for the quarter ended June 30, 2024.</w:t>
      </w:r>
    </w:p>
    <w:p>
      <w:pPr>
        <w:spacing w:after="0" w:line="91" w:lineRule="exact"/>
        <w:rPr>
          <w:rFonts w:ascii="Times New Roman" w:cs="Times New Roman" w:eastAsia="Times New Roman" w:hAnsi="Times New Roman"/>
          <w:sz w:val="18"/>
          <w:szCs w:val="18"/>
          <w:color w:val="auto"/>
        </w:rPr>
      </w:pPr>
    </w:p>
    <w:p>
      <w:pPr>
        <w:jc w:val="both"/>
        <w:ind w:left="1020" w:hanging="511"/>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portfolio at fair value was $1.33 billion, compared to $1.26 billion as of June 30, 2024. During the quarter, the Company committed to invest an additional $52.5 million in PennantPark Senior Loan Fund, LLC (“PSLF”) and its JV partner also committed to invest an additional $75.0 million of capital. In addition during the quarter, PSLF increased its senior credit facility provided by BNP Paribas to $400 million from $325 million. The additional capital will allow PSLF to scale its investment portfolio to over $1.5 billion.</w:t>
      </w:r>
    </w:p>
    <w:p>
      <w:pPr>
        <w:spacing w:after="0" w:line="71" w:lineRule="exact"/>
        <w:rPr>
          <w:rFonts w:ascii="Times New Roman" w:cs="Times New Roman" w:eastAsia="Times New Roman" w:hAnsi="Times New Roman"/>
          <w:sz w:val="18"/>
          <w:szCs w:val="18"/>
          <w:color w:val="auto"/>
        </w:rPr>
      </w:pPr>
    </w:p>
    <w:p>
      <w:pPr>
        <w:ind w:left="1020" w:hanging="511"/>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2024, there were two loans on non-accrual representing 4.1% of the portfolio at cost and 2.3% at fair market value versus three loans on non-accrual at June 30, 2024 representing 4.2% of the portfolio at cost and 2.5% at fair market value.</w:t>
      </w:r>
    </w:p>
    <w:p>
      <w:pPr>
        <w:spacing w:after="0" w:line="53" w:lineRule="exact"/>
        <w:rPr>
          <w:rFonts w:ascii="Times New Roman" w:cs="Times New Roman" w:eastAsia="Times New Roman" w:hAnsi="Times New Roman"/>
          <w:sz w:val="18"/>
          <w:szCs w:val="18"/>
          <w:color w:val="auto"/>
        </w:rPr>
      </w:pPr>
    </w:p>
    <w:p>
      <w:pPr>
        <w:jc w:val="both"/>
        <w:ind w:left="1020" w:hanging="511"/>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 Company had approximately $776.5 million of total debt consisting of, $461.5 million of borrowings outstanding under the Company’s multi-currency senior secured revolving credit facility with Truist Bank, as amended and restated (the “Credit Facility”), at cost, $150.0 million in aggregate principal amount of 4.5% Notes due 2026 outstanding, and $165.0 million in aggregate principal amount of 4.0% Notes due 2026 outstanding</w:t>
      </w:r>
    </w:p>
    <w:p>
      <w:pPr>
        <w:spacing w:after="0" w:line="71" w:lineRule="exact"/>
        <w:rPr>
          <w:rFonts w:ascii="Times New Roman" w:cs="Times New Roman" w:eastAsia="Times New Roman" w:hAnsi="Times New Roman"/>
          <w:sz w:val="18"/>
          <w:szCs w:val="18"/>
          <w:color w:val="auto"/>
        </w:rPr>
      </w:pPr>
    </w:p>
    <w:p>
      <w:pPr>
        <w:ind w:left="1020" w:hanging="511"/>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2024, we had approximately $63.4 million in cash and unused capacity under the Credit Facility.</w:t>
      </w:r>
    </w:p>
    <w:p>
      <w:pPr>
        <w:spacing w:after="0" w:line="117" w:lineRule="exact"/>
        <w:rPr>
          <w:rFonts w:ascii="Times New Roman" w:cs="Times New Roman" w:eastAsia="Times New Roman" w:hAnsi="Times New Roman"/>
          <w:sz w:val="18"/>
          <w:szCs w:val="18"/>
          <w:color w:val="auto"/>
        </w:rPr>
      </w:pPr>
    </w:p>
    <w:p>
      <w:pPr>
        <w:jc w:val="both"/>
        <w:ind w:left="1020" w:hanging="511"/>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2024, the Company had approximately $63.4 million in cash and unused capacity under the Credit Facility. Subsequent to quarter end, PSLF called fifty percent of the unfunded commitments from its members, and in connection with this capital call PSLF purchased assets from the Company which created in excess of $100 million of additional liquidity at PNNT.</w:t>
      </w:r>
    </w:p>
    <w:p>
      <w:pPr>
        <w:spacing w:after="0" w:line="16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These estimates are subject to the completion of the Company’s financial closing procedures and are not a comprehensive statement of the Company’s financial position, results of operations or cash flows for the quarter ended September 30, 2024. Final results may differ materially from these estimates as a result of the completion of the Company’s financial closing procedures, as well as any subsequent events, including the discovery of information affecting fair values of the Company’s portfolio investments as of September 30, 2024, arising between the date hereof and the completion of the Company’s financial statements and the filing of the Company’s Form 10-K for the year then ended.</w:t>
      </w:r>
    </w:p>
    <w:p>
      <w:pPr>
        <w:spacing w:after="0" w:line="1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preliminary financial estimates provided herein have been prepared by, and are the responsibility of the 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Supplemental information regarding core net investment income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September 30, 2024, there were no one-time or non-recurring investment income 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290195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t>This report on Form 8-K,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2.02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420370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right="60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October 22, 2024</w:t>
      </w:r>
      <w:r>
        <w:rPr>
          <w:sz w:val="20"/>
          <w:szCs w:val="20"/>
          <w:color w:val="auto"/>
        </w:rPr>
        <w:tab/>
      </w:r>
      <w:r>
        <w:rPr>
          <w:rFonts w:ascii="Times New Roman" w:cs="Times New Roman" w:eastAsia="Times New Roman" w:hAnsi="Times New Roman"/>
          <w:sz w:val="17"/>
          <w:szCs w:val="17"/>
          <w:b w:val="1"/>
          <w:bCs w:val="1"/>
          <w:color w:val="auto"/>
        </w:rPr>
        <w:t>PENNANTPARK INVESTMENT CORPORATION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T. Allorto, Jr.</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507365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40"/>
      </w:cols>
      <w:pgMar w:left="340" w:top="67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2024-10-22T07:10:21Z</dcterms:created>
  <dcterms:modified xsi:type="dcterms:W3CDTF">2024-10-22T07:10:21Z</dcterms:modified>
</cp:coreProperties>
</file>