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101">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Prospectus</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ind w:left="180"/>
        <w:spacing w:after="0"/>
        <w:rPr>
          <w:sz w:val="20"/>
          <w:szCs w:val="20"/>
          <w:color w:val="auto"/>
        </w:rPr>
      </w:pPr>
      <w:r>
        <w:rPr>
          <w:rFonts w:ascii="Arial" w:cs="Arial" w:eastAsia="Arial" w:hAnsi="Arial"/>
          <w:sz w:val="15"/>
          <w:szCs w:val="15"/>
          <w:color w:val="auto"/>
        </w:rPr>
        <w:t>Filed Pursuant to Rule 497</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Registration No. 333-140092</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April 19,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141605</wp:posOffset>
            </wp:positionV>
            <wp:extent cx="1397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640" w:space="720"/>
            <w:col w:w="2060"/>
          </w:cols>
          <w:pgMar w:left="240" w:top="230" w:right="239" w:bottom="1440" w:gutter="0" w:footer="0" w:header="0"/>
          <w:type w:val="continuous"/>
        </w:sectPr>
      </w:pPr>
    </w:p>
    <w:p>
      <w:pPr>
        <w:spacing w:after="0" w:line="1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20,000,000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667385</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75565</wp:posOffset>
            </wp:positionV>
            <wp:extent cx="2470150" cy="523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right="40" w:firstLine="456"/>
        <w:spacing w:after="0" w:line="256" w:lineRule="auto"/>
        <w:rPr>
          <w:sz w:val="20"/>
          <w:szCs w:val="20"/>
          <w:color w:val="auto"/>
        </w:rPr>
      </w:pPr>
      <w:r>
        <w:rPr>
          <w:rFonts w:ascii="Arial" w:cs="Arial" w:eastAsia="Arial" w:hAnsi="Arial"/>
          <w:sz w:val="18"/>
          <w:szCs w:val="18"/>
          <w:color w:val="auto"/>
        </w:rPr>
        <w:t>PennantPark Investment Corporation is a newly organized, externally managed, closed-end, non-diversified management investment company that intends to file an election to be treated as a business development company under the Investment Company Act of 1940. Our investment objective is to generate both current income and capital appreciation through debt and equity investments. We intend to invest primarily in middle-market companies in the form of mezzanine loans, senior secured loans and equity securities.</w:t>
      </w:r>
    </w:p>
    <w:p>
      <w:pPr>
        <w:spacing w:after="0" w:line="116" w:lineRule="exact"/>
        <w:rPr>
          <w:sz w:val="24"/>
          <w:szCs w:val="24"/>
          <w:color w:val="auto"/>
        </w:rPr>
      </w:pPr>
    </w:p>
    <w:p>
      <w:pPr>
        <w:ind w:right="320" w:firstLine="456"/>
        <w:spacing w:after="0" w:line="268" w:lineRule="auto"/>
        <w:rPr>
          <w:sz w:val="20"/>
          <w:szCs w:val="20"/>
          <w:color w:val="auto"/>
        </w:rPr>
      </w:pPr>
      <w:r>
        <w:rPr>
          <w:rFonts w:ascii="Arial" w:cs="Arial" w:eastAsia="Arial" w:hAnsi="Arial"/>
          <w:sz w:val="18"/>
          <w:szCs w:val="18"/>
          <w:color w:val="auto"/>
        </w:rPr>
        <w:t>We will be managed by PennantPark Investment Advisers, LLC. PennantPark Investment Administration, LLC will provide the administrative services necessary for us to operate.</w:t>
      </w:r>
    </w:p>
    <w:p>
      <w:pPr>
        <w:spacing w:after="0" w:line="132"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Because we are newly organized, our shares have no history of public trading. Our common stock has been approved for quotation on The Nasdaq Global Market under the symbol “PNNT”.</w:t>
      </w:r>
    </w:p>
    <w:p>
      <w:pPr>
        <w:spacing w:after="0" w:line="126" w:lineRule="exact"/>
        <w:rPr>
          <w:sz w:val="24"/>
          <w:szCs w:val="24"/>
          <w:color w:val="auto"/>
        </w:rPr>
      </w:pPr>
    </w:p>
    <w:p>
      <w:pPr>
        <w:ind w:right="340" w:firstLine="456"/>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common stock involves a high degree of risk. Before buying any shares, you should read the discussion of the material risks of investing in our common stock, including the risk of leverage, in “ </w:t>
      </w:r>
      <w:hyperlink w:anchor="page14">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13 of the prospectus.</w:t>
      </w:r>
    </w:p>
    <w:p>
      <w:pPr>
        <w:spacing w:after="0" w:line="80" w:lineRule="exact"/>
        <w:rPr>
          <w:sz w:val="24"/>
          <w:szCs w:val="24"/>
          <w:color w:val="auto"/>
        </w:rPr>
      </w:pPr>
    </w:p>
    <w:p>
      <w:pPr>
        <w:ind w:right="80" w:firstLine="456"/>
        <w:spacing w:after="0" w:line="291" w:lineRule="auto"/>
        <w:rPr>
          <w:sz w:val="20"/>
          <w:szCs w:val="20"/>
          <w:color w:val="auto"/>
        </w:rPr>
      </w:pPr>
      <w:r>
        <w:rPr>
          <w:rFonts w:ascii="Arial" w:cs="Arial" w:eastAsia="Arial" w:hAnsi="Arial"/>
          <w:sz w:val="15"/>
          <w:szCs w:val="15"/>
          <w:color w:val="auto"/>
        </w:rPr>
        <w:t xml:space="preserve">This prospectus contains important information you should know before investing in our common stock. Please read it before you invest and keep it for future reference. Upon completion of this offering, we will file annual, quarterly and current reports, proxy statements and other information about us with the Securities and Exchange Commission, or SEC. We maintain a website at </w:t>
      </w:r>
      <w:r>
        <w:rPr>
          <w:rFonts w:ascii="Arial" w:cs="Arial" w:eastAsia="Arial" w:hAnsi="Arial"/>
          <w:sz w:val="15"/>
          <w:szCs w:val="15"/>
          <w:i w:val="1"/>
          <w:iCs w:val="1"/>
          <w:color w:val="auto"/>
        </w:rPr>
        <w:t>http://www.pennantpark.com</w:t>
      </w:r>
      <w:r>
        <w:rPr>
          <w:rFonts w:ascii="Arial" w:cs="Arial" w:eastAsia="Arial" w:hAnsi="Arial"/>
          <w:sz w:val="15"/>
          <w:szCs w:val="15"/>
          <w:color w:val="auto"/>
        </w:rPr>
        <w:t xml:space="preserve"> and intend to make all of our annual, quarterly and current reports, proxy statements and other publicly filed information available, free of charge, on or through our website. You may also obtain such information by</w:t>
      </w:r>
    </w:p>
    <w:p>
      <w:pPr>
        <w:spacing w:after="0" w:line="1" w:lineRule="exact"/>
        <w:rPr>
          <w:sz w:val="24"/>
          <w:szCs w:val="24"/>
          <w:color w:val="auto"/>
        </w:rPr>
      </w:pPr>
    </w:p>
    <w:p>
      <w:pPr>
        <w:ind w:right="80"/>
        <w:spacing w:after="0" w:line="221" w:lineRule="auto"/>
        <w:rPr>
          <w:sz w:val="20"/>
          <w:szCs w:val="20"/>
          <w:color w:val="auto"/>
        </w:rPr>
      </w:pPr>
      <w:r>
        <w:rPr>
          <w:rFonts w:ascii="Arial" w:cs="Arial" w:eastAsia="Arial" w:hAnsi="Arial"/>
          <w:sz w:val="18"/>
          <w:szCs w:val="18"/>
          <w:color w:val="auto"/>
        </w:rPr>
        <w:t>contacting us in writing at: 445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 Attn: Chief Financial Officer, or by telephone at (212) 307-3280. The SEC maintains a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that contains this information.</w:t>
      </w:r>
    </w:p>
    <w:p>
      <w:pPr>
        <w:spacing w:after="0" w:line="178" w:lineRule="exact"/>
        <w:rPr>
          <w:sz w:val="24"/>
          <w:szCs w:val="24"/>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Shares of closed-end investment companies frequently tend to trade at a discount to their net asset value. </w:t>
      </w:r>
      <w:r>
        <w:rPr>
          <w:rFonts w:ascii="Arial" w:cs="Arial" w:eastAsia="Arial" w:hAnsi="Arial"/>
          <w:sz w:val="16"/>
          <w:szCs w:val="16"/>
          <w:color w:val="auto"/>
        </w:rPr>
        <w:t>If our shares trade at a discount to our net</w:t>
      </w:r>
      <w:r>
        <w:rPr>
          <w:rFonts w:ascii="Arial" w:cs="Arial" w:eastAsia="Arial" w:hAnsi="Arial"/>
          <w:sz w:val="16"/>
          <w:szCs w:val="16"/>
          <w:b w:val="1"/>
          <w:bCs w:val="1"/>
          <w:color w:val="auto"/>
        </w:rPr>
        <w:t xml:space="preserve"> </w:t>
      </w:r>
      <w:r>
        <w:rPr>
          <w:rFonts w:ascii="Arial" w:cs="Arial" w:eastAsia="Arial" w:hAnsi="Arial"/>
          <w:sz w:val="16"/>
          <w:szCs w:val="16"/>
          <w:color w:val="auto"/>
        </w:rPr>
        <w:t>asset value, it may increase the risk of loss for purchasers in this offering. Assuming an initial public offering price of $15.00 per share, purchasers in this offering will experience immediate dilution of approximately $1.01 per share. See “Dilution” for more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700" w:type="dxa"/>
            <w:vAlign w:val="bottom"/>
            <w:gridSpan w:val="2"/>
          </w:tcPr>
          <w:p>
            <w:pPr>
              <w:ind w:left="2300"/>
              <w:spacing w:after="0"/>
              <w:rPr>
                <w:sz w:val="20"/>
                <w:szCs w:val="20"/>
                <w:color w:val="auto"/>
              </w:rPr>
            </w:pPr>
            <w:r>
              <w:rPr>
                <w:rFonts w:ascii="Arial" w:cs="Arial" w:eastAsia="Arial" w:hAnsi="Arial"/>
                <w:sz w:val="18"/>
                <w:szCs w:val="18"/>
                <w:b w:val="1"/>
                <w:bCs w:val="1"/>
                <w:color w:val="auto"/>
              </w:rPr>
              <w:t>Per share</w:t>
            </w:r>
          </w:p>
        </w:tc>
        <w:tc>
          <w:tcPr>
            <w:tcW w:w="780" w:type="dxa"/>
            <w:vAlign w:val="bottom"/>
          </w:tcPr>
          <w:p>
            <w:pPr>
              <w:spacing w:after="0"/>
              <w:rPr>
                <w:sz w:val="19"/>
                <w:szCs w:val="19"/>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b w:val="1"/>
                <w:bCs w:val="1"/>
                <w:color w:val="auto"/>
              </w:rPr>
              <w:t>Total</w:t>
            </w:r>
          </w:p>
        </w:tc>
      </w:tr>
      <w:tr>
        <w:trPr>
          <w:trHeight w:val="218"/>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4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98"/>
              </w:rPr>
              <w:t>15.000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300,000,000</w:t>
            </w: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Sales load (underwriting discounts and commissions)</w:t>
            </w:r>
          </w:p>
        </w:tc>
        <w:tc>
          <w:tcPr>
            <w:tcW w:w="2460" w:type="dxa"/>
            <w:vAlign w:val="bottom"/>
          </w:tcPr>
          <w:p>
            <w:pPr>
              <w:ind w:left="22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92"/>
              <w:spacing w:after="0"/>
              <w:rPr>
                <w:sz w:val="20"/>
                <w:szCs w:val="20"/>
                <w:color w:val="auto"/>
              </w:rPr>
            </w:pPr>
            <w:r>
              <w:rPr>
                <w:rFonts w:ascii="Arial" w:cs="Arial" w:eastAsia="Arial" w:hAnsi="Arial"/>
                <w:sz w:val="18"/>
                <w:szCs w:val="18"/>
                <w:color w:val="auto"/>
              </w:rPr>
              <w:t>.975</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19,500,000</w:t>
            </w:r>
          </w:p>
        </w:tc>
      </w:tr>
      <w:tr>
        <w:trPr>
          <w:trHeight w:val="216"/>
        </w:trPr>
        <w:tc>
          <w:tcPr>
            <w:tcW w:w="6040" w:type="dxa"/>
            <w:vAlign w:val="bottom"/>
            <w:tcBorders>
              <w:bottom w:val="single" w:sz="8" w:color="auto"/>
            </w:tcBorders>
            <w:gridSpan w:val="2"/>
            <w:shd w:val="clear" w:color="auto" w:fill="CCEEFF"/>
          </w:tcPr>
          <w:p>
            <w:pPr>
              <w:spacing w:after="0" w:line="217" w:lineRule="exact"/>
              <w:rPr>
                <w:sz w:val="20"/>
                <w:szCs w:val="20"/>
                <w:color w:val="auto"/>
              </w:rPr>
            </w:pPr>
            <w:r>
              <w:rPr>
                <w:rFonts w:ascii="Arial" w:cs="Arial" w:eastAsia="Arial" w:hAnsi="Arial"/>
                <w:sz w:val="18"/>
                <w:szCs w:val="18"/>
                <w:color w:val="auto"/>
              </w:rPr>
              <w:t>Proceeds, before expenses, to us</w:t>
            </w:r>
            <w:r>
              <w:rPr>
                <w:rFonts w:ascii="Arial" w:cs="Arial" w:eastAsia="Arial" w:hAnsi="Arial"/>
                <w:sz w:val="22"/>
                <w:szCs w:val="22"/>
                <w:color w:val="auto"/>
                <w:vertAlign w:val="superscript"/>
              </w:rPr>
              <w:t>(1)</w:t>
            </w:r>
          </w:p>
        </w:tc>
        <w:tc>
          <w:tcPr>
            <w:tcW w:w="2460" w:type="dxa"/>
            <w:vAlign w:val="bottom"/>
            <w:tcBorders>
              <w:bottom w:val="single" w:sz="8" w:color="auto"/>
            </w:tcBorders>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98"/>
              </w:rPr>
              <w:t>14.025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280,500,000</w:t>
            </w:r>
          </w:p>
        </w:tc>
      </w:tr>
      <w:tr>
        <w:trPr>
          <w:trHeight w:val="102"/>
        </w:trPr>
        <w:tc>
          <w:tcPr>
            <w:tcW w:w="106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r>
    </w:tbl>
    <w:p>
      <w:pPr>
        <w:spacing w:after="0" w:line="100"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estimate that we will incur approximately $900,000 in expenses in connection with this offering.</w:t>
      </w:r>
    </w:p>
    <w:p>
      <w:pPr>
        <w:spacing w:after="0" w:line="171" w:lineRule="exact"/>
        <w:rPr>
          <w:sz w:val="24"/>
          <w:szCs w:val="24"/>
          <w:color w:val="auto"/>
        </w:rPr>
      </w:pPr>
    </w:p>
    <w:p>
      <w:pPr>
        <w:ind w:right="60" w:firstLine="456"/>
        <w:spacing w:after="0" w:line="256" w:lineRule="auto"/>
        <w:rPr>
          <w:sz w:val="20"/>
          <w:szCs w:val="20"/>
          <w:color w:val="auto"/>
        </w:rPr>
      </w:pPr>
      <w:r>
        <w:rPr>
          <w:rFonts w:ascii="Arial" w:cs="Arial" w:eastAsia="Arial" w:hAnsi="Arial"/>
          <w:sz w:val="18"/>
          <w:szCs w:val="18"/>
          <w:color w:val="auto"/>
        </w:rPr>
        <w:t>Immediately prior to the closing of this offering, PennantPark Investment Corporation expects to sell 320,000 shares of common stock to its directors, officers, investment adviser and the managers of its investment adviser at a price of $15.00 per share in a private placement. PennantPark Investment Corporation will receive the full proceeds of this private placement, and no underwriting discounts or commissions will be paid in respect of these shares. The underwriters will reserve up to 500,000 shares from this offering for sale to certain other persons.</w:t>
      </w:r>
    </w:p>
    <w:p>
      <w:pPr>
        <w:spacing w:after="0" w:line="143" w:lineRule="exact"/>
        <w:rPr>
          <w:sz w:val="24"/>
          <w:szCs w:val="24"/>
          <w:color w:val="auto"/>
        </w:rPr>
      </w:pPr>
    </w:p>
    <w:p>
      <w:pPr>
        <w:ind w:right="380" w:firstLine="456"/>
        <w:spacing w:after="0" w:line="259" w:lineRule="auto"/>
        <w:rPr>
          <w:sz w:val="20"/>
          <w:szCs w:val="20"/>
          <w:color w:val="auto"/>
        </w:rPr>
      </w:pPr>
      <w:r>
        <w:rPr>
          <w:rFonts w:ascii="Arial" w:cs="Arial" w:eastAsia="Arial" w:hAnsi="Arial"/>
          <w:sz w:val="18"/>
          <w:szCs w:val="18"/>
          <w:color w:val="auto"/>
        </w:rPr>
        <w:t>Separately, the underwriters may purchase up to an additional 3,000,000 shares of our common stock at the public offering price, less the sales load, to cover over-allotments, if any, within 30 days from the date of this prospectus. If the underwriters exercise this option in full, the total sales load will be $22,425,000 and total proceeds, before expenses, to us will be $322,575,000.</w:t>
      </w:r>
    </w:p>
    <w:p>
      <w:pPr>
        <w:spacing w:after="0" w:line="14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underwriters are offering the common stock as set forth in “Underwriting.” Delivery of the shares will be made on or about April 24, 2007.</w:t>
      </w:r>
    </w:p>
    <w:p>
      <w:pPr>
        <w:spacing w:after="0" w:line="188" w:lineRule="exact"/>
        <w:rPr>
          <w:sz w:val="24"/>
          <w:szCs w:val="24"/>
          <w:color w:val="auto"/>
        </w:rPr>
      </w:pPr>
    </w:p>
    <w:p>
      <w:pPr>
        <w:ind w:right="780" w:firstLine="456"/>
        <w:spacing w:after="0" w:line="28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tbl>
      <w:tblPr>
        <w:tblLayout w:type="fixed"/>
        <w:tblInd w:w="240" w:type="dxa"/>
        <w:tblCellMar>
          <w:top w:w="0" w:type="dxa"/>
          <w:left w:w="0" w:type="dxa"/>
          <w:bottom w:w="0" w:type="dxa"/>
          <w:right w:w="0" w:type="dxa"/>
        </w:tblCellMar>
      </w:tblPr>
      <w:tr>
        <w:trPr>
          <w:trHeight w:val="259"/>
        </w:trPr>
        <w:tc>
          <w:tcPr>
            <w:tcW w:w="2480" w:type="dxa"/>
            <w:vAlign w:val="bottom"/>
          </w:tcPr>
          <w:p>
            <w:pPr>
              <w:jc w:val="center"/>
              <w:ind w:right="305"/>
              <w:spacing w:after="0" w:line="258" w:lineRule="exact"/>
              <w:rPr>
                <w:sz w:val="20"/>
                <w:szCs w:val="20"/>
                <w:color w:val="auto"/>
              </w:rPr>
            </w:pPr>
            <w:r>
              <w:rPr>
                <w:rFonts w:ascii="Arial" w:cs="Arial" w:eastAsia="Arial" w:hAnsi="Arial"/>
                <w:sz w:val="24"/>
                <w:szCs w:val="24"/>
                <w:b w:val="1"/>
                <w:bCs w:val="1"/>
                <w:color w:val="auto"/>
                <w:w w:val="91"/>
              </w:rPr>
              <w:t>Bear, Stearns &amp; Co.</w:t>
            </w:r>
          </w:p>
        </w:tc>
        <w:tc>
          <w:tcPr>
            <w:tcW w:w="2720" w:type="dxa"/>
            <w:vAlign w:val="bottom"/>
          </w:tcPr>
          <w:p>
            <w:pPr>
              <w:jc w:val="center"/>
              <w:ind w:right="25"/>
              <w:spacing w:after="0" w:line="258" w:lineRule="exact"/>
              <w:rPr>
                <w:sz w:val="20"/>
                <w:szCs w:val="20"/>
                <w:color w:val="auto"/>
              </w:rPr>
            </w:pPr>
            <w:r>
              <w:rPr>
                <w:rFonts w:ascii="Arial" w:cs="Arial" w:eastAsia="Arial" w:hAnsi="Arial"/>
                <w:sz w:val="24"/>
                <w:szCs w:val="24"/>
                <w:b w:val="1"/>
                <w:bCs w:val="1"/>
                <w:color w:val="auto"/>
                <w:w w:val="91"/>
              </w:rPr>
              <w:t>Banc of America</w:t>
            </w:r>
          </w:p>
        </w:tc>
        <w:tc>
          <w:tcPr>
            <w:tcW w:w="3000" w:type="dxa"/>
            <w:vAlign w:val="bottom"/>
          </w:tcPr>
          <w:p>
            <w:pPr>
              <w:jc w:val="center"/>
              <w:spacing w:after="0" w:line="258" w:lineRule="exact"/>
              <w:rPr>
                <w:sz w:val="20"/>
                <w:szCs w:val="20"/>
                <w:color w:val="auto"/>
              </w:rPr>
            </w:pPr>
            <w:r>
              <w:rPr>
                <w:rFonts w:ascii="Arial" w:cs="Arial" w:eastAsia="Arial" w:hAnsi="Arial"/>
                <w:sz w:val="24"/>
                <w:szCs w:val="24"/>
                <w:b w:val="1"/>
                <w:bCs w:val="1"/>
                <w:color w:val="auto"/>
                <w:w w:val="92"/>
              </w:rPr>
              <w:t>UBS Investment</w:t>
            </w:r>
          </w:p>
        </w:tc>
        <w:tc>
          <w:tcPr>
            <w:tcW w:w="2620" w:type="dxa"/>
            <w:vAlign w:val="bottom"/>
          </w:tcPr>
          <w:p>
            <w:pPr>
              <w:jc w:val="center"/>
              <w:ind w:left="363"/>
              <w:spacing w:after="0" w:line="258" w:lineRule="exact"/>
              <w:rPr>
                <w:sz w:val="20"/>
                <w:szCs w:val="20"/>
                <w:color w:val="auto"/>
              </w:rPr>
            </w:pPr>
            <w:r>
              <w:rPr>
                <w:rFonts w:ascii="Arial" w:cs="Arial" w:eastAsia="Arial" w:hAnsi="Arial"/>
                <w:sz w:val="24"/>
                <w:szCs w:val="24"/>
                <w:b w:val="1"/>
                <w:bCs w:val="1"/>
                <w:color w:val="auto"/>
                <w:w w:val="90"/>
              </w:rPr>
              <w:t>SunTrust Robinson</w:t>
            </w:r>
          </w:p>
        </w:tc>
      </w:tr>
      <w:tr>
        <w:trPr>
          <w:trHeight w:val="317"/>
        </w:trPr>
        <w:tc>
          <w:tcPr>
            <w:tcW w:w="2480" w:type="dxa"/>
            <w:vAlign w:val="bottom"/>
          </w:tcPr>
          <w:p>
            <w:pPr>
              <w:jc w:val="center"/>
              <w:ind w:right="325"/>
              <w:spacing w:after="0"/>
              <w:rPr>
                <w:sz w:val="20"/>
                <w:szCs w:val="20"/>
                <w:color w:val="auto"/>
              </w:rPr>
            </w:pPr>
            <w:r>
              <w:rPr>
                <w:rFonts w:ascii="Arial" w:cs="Arial" w:eastAsia="Arial" w:hAnsi="Arial"/>
                <w:sz w:val="24"/>
                <w:szCs w:val="24"/>
                <w:b w:val="1"/>
                <w:bCs w:val="1"/>
                <w:color w:val="auto"/>
                <w:w w:val="96"/>
              </w:rPr>
              <w:t>Inc.</w:t>
            </w:r>
          </w:p>
        </w:tc>
        <w:tc>
          <w:tcPr>
            <w:tcW w:w="2720" w:type="dxa"/>
            <w:vAlign w:val="bottom"/>
          </w:tcPr>
          <w:p>
            <w:pPr>
              <w:jc w:val="center"/>
              <w:ind w:right="25"/>
              <w:spacing w:after="0"/>
              <w:rPr>
                <w:sz w:val="20"/>
                <w:szCs w:val="20"/>
                <w:color w:val="auto"/>
              </w:rPr>
            </w:pPr>
            <w:r>
              <w:rPr>
                <w:rFonts w:ascii="Arial" w:cs="Arial" w:eastAsia="Arial" w:hAnsi="Arial"/>
                <w:sz w:val="24"/>
                <w:szCs w:val="24"/>
                <w:b w:val="1"/>
                <w:bCs w:val="1"/>
                <w:color w:val="auto"/>
                <w:w w:val="93"/>
              </w:rPr>
              <w:t>Securities LLC</w:t>
            </w:r>
          </w:p>
        </w:tc>
        <w:tc>
          <w:tcPr>
            <w:tcW w:w="3000" w:type="dxa"/>
            <w:vAlign w:val="bottom"/>
          </w:tcPr>
          <w:p>
            <w:pPr>
              <w:jc w:val="center"/>
              <w:spacing w:after="0"/>
              <w:rPr>
                <w:sz w:val="20"/>
                <w:szCs w:val="20"/>
                <w:color w:val="auto"/>
              </w:rPr>
            </w:pPr>
            <w:r>
              <w:rPr>
                <w:rFonts w:ascii="Arial" w:cs="Arial" w:eastAsia="Arial" w:hAnsi="Arial"/>
                <w:sz w:val="24"/>
                <w:szCs w:val="24"/>
                <w:b w:val="1"/>
                <w:bCs w:val="1"/>
                <w:color w:val="auto"/>
                <w:w w:val="95"/>
              </w:rPr>
              <w:t>Bank</w:t>
            </w:r>
          </w:p>
        </w:tc>
        <w:tc>
          <w:tcPr>
            <w:tcW w:w="2620" w:type="dxa"/>
            <w:vAlign w:val="bottom"/>
          </w:tcPr>
          <w:p>
            <w:pPr>
              <w:jc w:val="center"/>
              <w:ind w:left="383"/>
              <w:spacing w:after="0"/>
              <w:rPr>
                <w:sz w:val="20"/>
                <w:szCs w:val="20"/>
                <w:color w:val="auto"/>
              </w:rPr>
            </w:pPr>
            <w:r>
              <w:rPr>
                <w:rFonts w:ascii="Arial" w:cs="Arial" w:eastAsia="Arial" w:hAnsi="Arial"/>
                <w:sz w:val="24"/>
                <w:szCs w:val="24"/>
                <w:b w:val="1"/>
                <w:bCs w:val="1"/>
                <w:color w:val="auto"/>
                <w:w w:val="94"/>
              </w:rPr>
              <w:t>Humphrey</w:t>
            </w:r>
          </w:p>
        </w:tc>
      </w:tr>
      <w:tr>
        <w:trPr>
          <w:trHeight w:val="346"/>
        </w:trPr>
        <w:tc>
          <w:tcPr>
            <w:tcW w:w="2480" w:type="dxa"/>
            <w:vAlign w:val="bottom"/>
          </w:tcPr>
          <w:p>
            <w:pPr>
              <w:jc w:val="center"/>
              <w:ind w:right="325"/>
              <w:spacing w:after="0"/>
              <w:rPr>
                <w:sz w:val="20"/>
                <w:szCs w:val="20"/>
                <w:color w:val="auto"/>
              </w:rPr>
            </w:pPr>
            <w:r>
              <w:rPr>
                <w:rFonts w:ascii="Arial" w:cs="Arial" w:eastAsia="Arial" w:hAnsi="Arial"/>
                <w:sz w:val="22"/>
                <w:szCs w:val="22"/>
                <w:b w:val="1"/>
                <w:bCs w:val="1"/>
                <w:color w:val="auto"/>
                <w:w w:val="91"/>
              </w:rPr>
              <w:t>Keefe, Bruyette &amp;</w:t>
            </w:r>
          </w:p>
        </w:tc>
        <w:tc>
          <w:tcPr>
            <w:tcW w:w="2720" w:type="dxa"/>
            <w:vAlign w:val="bottom"/>
          </w:tcPr>
          <w:p>
            <w:pPr>
              <w:jc w:val="center"/>
              <w:ind w:right="25"/>
              <w:spacing w:after="0"/>
              <w:rPr>
                <w:sz w:val="20"/>
                <w:szCs w:val="20"/>
                <w:color w:val="auto"/>
              </w:rPr>
            </w:pPr>
            <w:r>
              <w:rPr>
                <w:rFonts w:ascii="Arial" w:cs="Arial" w:eastAsia="Arial" w:hAnsi="Arial"/>
                <w:sz w:val="22"/>
                <w:szCs w:val="22"/>
                <w:b w:val="1"/>
                <w:bCs w:val="1"/>
                <w:color w:val="auto"/>
                <w:w w:val="89"/>
              </w:rPr>
              <w:t>Friedman Billings</w:t>
            </w:r>
          </w:p>
        </w:tc>
        <w:tc>
          <w:tcPr>
            <w:tcW w:w="3000" w:type="dxa"/>
            <w:vAlign w:val="bottom"/>
          </w:tcPr>
          <w:p>
            <w:pPr>
              <w:jc w:val="center"/>
              <w:spacing w:after="0"/>
              <w:rPr>
                <w:sz w:val="20"/>
                <w:szCs w:val="20"/>
                <w:color w:val="auto"/>
              </w:rPr>
            </w:pPr>
            <w:r>
              <w:rPr>
                <w:rFonts w:ascii="Arial" w:cs="Arial" w:eastAsia="Arial" w:hAnsi="Arial"/>
                <w:sz w:val="22"/>
                <w:szCs w:val="22"/>
                <w:b w:val="1"/>
                <w:bCs w:val="1"/>
                <w:color w:val="auto"/>
                <w:w w:val="89"/>
              </w:rPr>
              <w:t>Jefferies &amp; Company</w:t>
            </w:r>
          </w:p>
        </w:tc>
        <w:tc>
          <w:tcPr>
            <w:tcW w:w="2620" w:type="dxa"/>
            <w:vAlign w:val="bottom"/>
          </w:tcPr>
          <w:p>
            <w:pPr>
              <w:jc w:val="center"/>
              <w:ind w:left="363"/>
              <w:spacing w:after="0"/>
              <w:rPr>
                <w:sz w:val="20"/>
                <w:szCs w:val="20"/>
                <w:color w:val="auto"/>
              </w:rPr>
            </w:pPr>
            <w:r>
              <w:rPr>
                <w:rFonts w:ascii="Arial" w:cs="Arial" w:eastAsia="Arial" w:hAnsi="Arial"/>
                <w:sz w:val="22"/>
                <w:szCs w:val="22"/>
                <w:b w:val="1"/>
                <w:bCs w:val="1"/>
                <w:color w:val="auto"/>
                <w:w w:val="93"/>
              </w:rPr>
              <w:t>Robert W. Baird &amp; Co.</w:t>
            </w:r>
          </w:p>
        </w:tc>
      </w:tr>
      <w:tr>
        <w:trPr>
          <w:trHeight w:val="281"/>
        </w:trPr>
        <w:tc>
          <w:tcPr>
            <w:tcW w:w="2480" w:type="dxa"/>
            <w:vAlign w:val="bottom"/>
          </w:tcPr>
          <w:p>
            <w:pPr>
              <w:jc w:val="center"/>
              <w:ind w:right="305"/>
              <w:spacing w:after="0"/>
              <w:rPr>
                <w:sz w:val="20"/>
                <w:szCs w:val="20"/>
                <w:color w:val="auto"/>
              </w:rPr>
            </w:pPr>
            <w:r>
              <w:rPr>
                <w:rFonts w:ascii="Arial" w:cs="Arial" w:eastAsia="Arial" w:hAnsi="Arial"/>
                <w:sz w:val="22"/>
                <w:szCs w:val="22"/>
                <w:b w:val="1"/>
                <w:bCs w:val="1"/>
                <w:color w:val="auto"/>
                <w:w w:val="84"/>
              </w:rPr>
              <w:t>Woods</w:t>
            </w:r>
          </w:p>
        </w:tc>
        <w:tc>
          <w:tcPr>
            <w:tcW w:w="2720" w:type="dxa"/>
            <w:vAlign w:val="bottom"/>
          </w:tcPr>
          <w:p>
            <w:pPr>
              <w:jc w:val="center"/>
              <w:ind w:right="25"/>
              <w:spacing w:after="0"/>
              <w:rPr>
                <w:sz w:val="20"/>
                <w:szCs w:val="20"/>
                <w:color w:val="auto"/>
              </w:rPr>
            </w:pPr>
            <w:r>
              <w:rPr>
                <w:rFonts w:ascii="Arial" w:cs="Arial" w:eastAsia="Arial" w:hAnsi="Arial"/>
                <w:sz w:val="22"/>
                <w:szCs w:val="22"/>
                <w:b w:val="1"/>
                <w:bCs w:val="1"/>
                <w:color w:val="auto"/>
                <w:w w:val="87"/>
              </w:rPr>
              <w:t>Ramsey</w:t>
            </w:r>
          </w:p>
        </w:tc>
        <w:tc>
          <w:tcPr>
            <w:tcW w:w="300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78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278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15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Except where the context suggests otherwise, the terms “we,” “us,” “our” and “PennantPark” refer to PennantPark Investment Corporation; “PennantPark Investment Advisers” or the “investment adviser” refers to PennantPark Investment Advisers, LLC, and “PennantPark Administration” or the “administrator” refers to PennantPark Investment Administration, LLC.</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PennantPark Investment Corporation</w:t>
      </w:r>
    </w:p>
    <w:p>
      <w:pPr>
        <w:spacing w:after="0" w:line="150"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PennantPark Investment Corporation is a newly organized, externally managed, closed-end, non-diversified management investment company that intends to file an election to be treated as a business development company under the Investment Company Act of 1940, as amended, or the “1940 Act.” In addition, for tax purposes we intend to elect to be treated as a regulated investment company, or RIC, under Subchapter M of the Internal Revenue Code of 1986, as amended, which we refer to as the “Code.” PennantPark’s investment objective is to generate both current income and capital appreciation through debt and equity investments. From time to time, we may also invest in public companies that are thinly traded.</w:t>
      </w:r>
    </w:p>
    <w:p>
      <w:pPr>
        <w:spacing w:after="0" w:line="89"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color w:val="auto"/>
        </w:rPr>
        <w:t>We anticipate that our portfolio will consist primarily of investments in subordinated loans, referred to as mezzanine loans, and senior secured loans made to private U.S. middle-market companies. We expect that the companies in which we invest will typically be highly leveraged, often as a result of leveraged buy-outs or other recapitalization transactions, and, in most cases, will not be rated by national rating agencies. If such companies were rated by the national rating agencies, we believe that they would typically receive a rating below investment grade (between BB and CCC under the Standard &amp; Poor’s system). In addition, we expect the debt securities of such companies to range in maturity from three to ten years. In this prospectus, we use the term “middle-market” to refer to companies with annual revenues between $50 million and $1 billion.</w:t>
      </w:r>
    </w:p>
    <w:p>
      <w:pPr>
        <w:spacing w:after="0" w:line="93" w:lineRule="exact"/>
        <w:rPr>
          <w:sz w:val="20"/>
          <w:szCs w:val="20"/>
          <w:color w:val="auto"/>
        </w:rPr>
      </w:pPr>
    </w:p>
    <w:p>
      <w:pPr>
        <w:ind w:left="200" w:right="120" w:firstLine="443"/>
        <w:spacing w:after="0" w:line="298" w:lineRule="auto"/>
        <w:rPr>
          <w:sz w:val="20"/>
          <w:szCs w:val="20"/>
          <w:color w:val="auto"/>
        </w:rPr>
      </w:pPr>
      <w:r>
        <w:rPr>
          <w:rFonts w:ascii="Arial" w:cs="Arial" w:eastAsia="Arial" w:hAnsi="Arial"/>
          <w:sz w:val="16"/>
          <w:szCs w:val="16"/>
          <w:color w:val="auto"/>
        </w:rPr>
        <w:t>We will also invest in equity securities, such as preferred stock, common stock, warrants or options received in connection with our debt investments or through direct investments. We expect that our investments in mezzanine loans, senior secured loans and other investments will range between $15 million and $50 million each, although this investment size will vary proportionately with the size of our capital base. However, we expect that our initial portfolio upon consummation of this offering will consist primarily of senior secured loans of between $3 and $10 million each.</w:t>
      </w:r>
    </w:p>
    <w:p>
      <w:pPr>
        <w:spacing w:after="0" w:line="86"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As of March 21, 2007, we had invested approximately $234 million in senior secured loans, of which $118 million had settled. As of that date, our portfolio consisted of investments with an average investment size of approximately $5.7 million, a weighted average yield of 7.5% and a weighted average maturity of 6.4 years. Immediately prior to the consummation of this offering, we expect that our portfolio will consist primarily of senior secured loans having an aggregate principal amount of approximately $250 million. See “Portfolio Companies.” Over time, however, we expect that our portfolio will include a combination of senior and mezzanine loans and, to a lesser extent, equity securities. See “Discussion of Expected Operating Plans—Credit Facility” and “Business—Investments.”</w:t>
      </w:r>
    </w:p>
    <w:p>
      <w:pPr>
        <w:spacing w:after="0" w:line="117" w:lineRule="exact"/>
        <w:rPr>
          <w:sz w:val="20"/>
          <w:szCs w:val="20"/>
          <w:color w:val="auto"/>
        </w:rPr>
      </w:pPr>
    </w:p>
    <w:p>
      <w:pPr>
        <w:ind w:left="200" w:right="340" w:firstLine="443"/>
        <w:spacing w:after="0" w:line="298" w:lineRule="auto"/>
        <w:rPr>
          <w:sz w:val="20"/>
          <w:szCs w:val="20"/>
          <w:color w:val="auto"/>
        </w:rPr>
      </w:pPr>
      <w:r>
        <w:rPr>
          <w:rFonts w:ascii="Arial" w:cs="Arial" w:eastAsia="Arial" w:hAnsi="Arial"/>
          <w:sz w:val="16"/>
          <w:szCs w:val="16"/>
          <w:color w:val="auto"/>
        </w:rPr>
        <w:t>As of February 6, 2007, we, through Pennant SPV Company, LLC, our wholly owned subsidiary, entered into a credit facility with Bear Stearns Investment Products Inc., or the Lender. This credit facility provided for available borrowings of up to an aggregate principal amount of $200 million, subject to specified borrowing conditions. As of March 26, 2007, we, through Pennant SPV Company, LLC, and the Lender amended the credit facility to increase the aggregate principal amount that may be borrowed to $250 million. In this prospectus, we</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83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48837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right="60"/>
        <w:spacing w:after="0" w:line="306" w:lineRule="auto"/>
        <w:rPr>
          <w:sz w:val="20"/>
          <w:szCs w:val="20"/>
          <w:color w:val="auto"/>
        </w:rPr>
      </w:pPr>
      <w:r>
        <w:rPr>
          <w:rFonts w:ascii="Arial" w:cs="Arial" w:eastAsia="Arial" w:hAnsi="Arial"/>
          <w:sz w:val="16"/>
          <w:szCs w:val="16"/>
          <w:color w:val="auto"/>
        </w:rPr>
        <w:t>refer to the credit facility, as amended, as the Credit Facility. We intend to use a portion of the net proceeds of this offering to repay the outstanding principal of, and accrued and unpaid interest on, the Credit Facility as well as to pay the reasonable transaction costs incurred by us and the Lender in establishing the Credit Facility. We have used borrowings under the Credit Facility to purchase the senior secured loans that constitute our current portfolio.</w:t>
      </w:r>
    </w:p>
    <w:p>
      <w:pPr>
        <w:spacing w:after="0" w:line="80" w:lineRule="exact"/>
        <w:rPr>
          <w:sz w:val="20"/>
          <w:szCs w:val="20"/>
          <w:color w:val="auto"/>
        </w:rPr>
      </w:pPr>
    </w:p>
    <w:p>
      <w:pPr>
        <w:jc w:val="both"/>
        <w:ind w:left="200" w:right="260" w:firstLine="443"/>
        <w:spacing w:after="0" w:line="298" w:lineRule="auto"/>
        <w:rPr>
          <w:sz w:val="20"/>
          <w:szCs w:val="20"/>
          <w:color w:val="auto"/>
        </w:rPr>
      </w:pPr>
      <w:r>
        <w:rPr>
          <w:rFonts w:ascii="Arial" w:cs="Arial" w:eastAsia="Arial" w:hAnsi="Arial"/>
          <w:sz w:val="16"/>
          <w:szCs w:val="16"/>
          <w:color w:val="auto"/>
        </w:rPr>
        <w:t>While our primary focus will be to generate current income and capital appreciation through debt and equity investments in thinly traded or private U.S. companies, we may invest up to 30% of the portfolio in opportunistic investments. These investments may include investments in high-yield bonds, distressed debt, private equity or securities of public companies that are not thinly traded and securities of companies located outside of the United States. We expect that these public companies generally will have debt securities that are non-investment grade.</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We will seek to capitalize on the investing experience and contacts of Arthur H. Penn, the Founder of PennantPark and the Founder of our investment adviser, PennantPark Investment Advisers, LLC.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30, 2006.</w:t>
      </w:r>
    </w:p>
    <w:p>
      <w:pPr>
        <w:spacing w:after="0" w:line="91"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supervised the negotiation and execution of a senior secured credit facility with a syndicate of banks which, as amended, provides for borrowings up to $2.0 billion. During Mr. Penn’s tenure with Apollo Investment, it invested approximately $2.8 billion in 73 companies in partnership with 54 different financial sponsors.</w:t>
      </w:r>
    </w:p>
    <w:p>
      <w:pPr>
        <w:spacing w:after="0" w:line="86" w:lineRule="exact"/>
        <w:rPr>
          <w:sz w:val="20"/>
          <w:szCs w:val="20"/>
          <w:color w:val="auto"/>
        </w:rPr>
      </w:pPr>
    </w:p>
    <w:p>
      <w:pPr>
        <w:jc w:val="both"/>
        <w:ind w:left="200" w:right="100" w:firstLine="443"/>
        <w:spacing w:after="0" w:line="370" w:lineRule="auto"/>
        <w:rPr>
          <w:sz w:val="20"/>
          <w:szCs w:val="20"/>
          <w:color w:val="auto"/>
        </w:rPr>
      </w:pPr>
      <w:r>
        <w:rPr>
          <w:rFonts w:ascii="Arial" w:cs="Arial" w:eastAsia="Arial" w:hAnsi="Arial"/>
          <w:sz w:val="15"/>
          <w:szCs w:val="15"/>
          <w:color w:val="auto"/>
        </w:rPr>
        <w:t>Over his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35"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Aviv Efrat serves as our Chief Financial Officer and Treasurer. Mr. Efrat, who is also a Managing Director of PennantPark Administration, has extensive experience in finance and administration of registered investment companies, having served for a decade as a Director at BlackRock, LLC, a leading investment firm. Our investment adviser has three experienced investment professionals, in addition to Mr. Penn, who are partners of the firm. These investment professionals, Geoffrey Chang, Salvatore Giannetti III and Whit Williams, have a combined 44 years of experience in the mezzanine, private equity and leveraged finance businesses. We and our investment adviser expect to hire additional investment professionals to assist with our ongoing management and in investing the proceeds of this offering. Specifically, we intend to hire a chief compliance officer promptly after completion of this offering. Following this offering, our investment adviser intends to expand its management team to a total of seven to ten investment professionals with skills applicable to our business plan within 12 months of the completion of this offering. We expect such investment professionals to have experience in middle-market investing, leveraged and mezzanine finance and the capital markets.</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95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2952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PennantPark intends to invest primarily in mezzanine loans, senior secured loans and equity securities of U.S. middle-market companies. We believe that the size of the middle-market, coupled with the demands of these companies for flexible sources of capital, creates an attractive investment environment for PennantPark.</w:t>
      </w:r>
    </w:p>
    <w:p>
      <w:pPr>
        <w:spacing w:after="0" w:line="53" w:lineRule="exact"/>
        <w:rPr>
          <w:sz w:val="20"/>
          <w:szCs w:val="20"/>
          <w:color w:val="auto"/>
        </w:rPr>
      </w:pPr>
    </w:p>
    <w:p>
      <w:pPr>
        <w:ind w:left="1060" w:right="220" w:hanging="431"/>
        <w:spacing w:after="0" w:line="301"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increasing difficulty in raising debt through the capital markets. </w:t>
      </w:r>
      <w:r>
        <w:rPr>
          <w:rFonts w:ascii="Arial" w:cs="Arial" w:eastAsia="Arial" w:hAnsi="Arial"/>
          <w:sz w:val="16"/>
          <w:szCs w:val="16"/>
          <w:color w:val="auto"/>
        </w:rPr>
        <w:t>While many middle-market 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22" w:lineRule="exact"/>
        <w:rPr>
          <w:rFonts w:ascii="Arial" w:cs="Arial" w:eastAsia="Arial" w:hAnsi="Arial"/>
          <w:sz w:val="16"/>
          <w:szCs w:val="16"/>
          <w:color w:val="auto"/>
        </w:rPr>
      </w:pPr>
    </w:p>
    <w:p>
      <w:pPr>
        <w:ind w:left="1060" w:hanging="431"/>
        <w:spacing w:after="0" w:line="301"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mezzanine capital to support private investments.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expect that private equity firms will continue to be active investors in middle-market companies and that these private equity funds will seek to leverage their investments by combining capital with mezzanine loans and/or senior secured loans from other sources. We expect such activity to be funded by the record amounts of private equity capital that have been raised in recent years.</w:t>
      </w:r>
    </w:p>
    <w:p>
      <w:pPr>
        <w:spacing w:after="0" w:line="22" w:lineRule="exact"/>
        <w:rPr>
          <w:rFonts w:ascii="Arial" w:cs="Arial" w:eastAsia="Arial" w:hAnsi="Arial"/>
          <w:sz w:val="16"/>
          <w:szCs w:val="16"/>
          <w:color w:val="auto"/>
        </w:rPr>
      </w:pPr>
    </w:p>
    <w:p>
      <w:pPr>
        <w:ind w:left="1060" w:right="400" w:hanging="431"/>
        <w:spacing w:after="0" w:line="301"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We believe that opportunities to invest mezzanine and other debt capital will remain strong</w:t>
      </w:r>
      <w:r>
        <w:rPr>
          <w:rFonts w:ascii="Arial" w:cs="Arial" w:eastAsia="Arial" w:hAnsi="Arial"/>
          <w:sz w:val="16"/>
          <w:szCs w:val="16"/>
          <w:color w:val="auto"/>
        </w:rPr>
        <w:t>. We expect that the volume of domestic</w:t>
      </w:r>
      <w:r>
        <w:rPr>
          <w:rFonts w:ascii="Arial" w:cs="Arial" w:eastAsia="Arial" w:hAnsi="Arial"/>
          <w:sz w:val="16"/>
          <w:szCs w:val="16"/>
          <w:b w:val="1"/>
          <w:bCs w:val="1"/>
          <w:color w:val="auto"/>
        </w:rPr>
        <w:t xml:space="preserve"> </w:t>
      </w:r>
      <w:r>
        <w:rPr>
          <w:rFonts w:ascii="Arial" w:cs="Arial" w:eastAsia="Arial" w:hAnsi="Arial"/>
          <w:sz w:val="16"/>
          <w:szCs w:val="16"/>
          <w:color w:val="auto"/>
        </w:rPr>
        <w:t>“public-to-private”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expertise</w:t>
      </w:r>
    </w:p>
    <w:p>
      <w:pPr>
        <w:spacing w:after="0" w:line="96" w:lineRule="exact"/>
        <w:rPr>
          <w:sz w:val="20"/>
          <w:szCs w:val="20"/>
          <w:color w:val="auto"/>
        </w:rPr>
      </w:pPr>
    </w:p>
    <w:p>
      <w:pPr>
        <w:ind w:left="200" w:right="120" w:firstLine="443"/>
        <w:spacing w:after="0" w:line="301" w:lineRule="auto"/>
        <w:rPr>
          <w:sz w:val="20"/>
          <w:szCs w:val="20"/>
          <w:color w:val="auto"/>
        </w:rPr>
      </w:pPr>
      <w:r>
        <w:rPr>
          <w:rFonts w:ascii="Arial" w:cs="Arial" w:eastAsia="Arial" w:hAnsi="Arial"/>
          <w:sz w:val="15"/>
          <w:szCs w:val="15"/>
          <w:color w:val="auto"/>
        </w:rPr>
        <w:t>Mr. Penn will have principal management responsibility for PennantPark Investment Advisers as its Managing Member. Mr. Penn has more than 20 years of experience in mezzanine lending, leveraged finance, private equity and distressed debt investing. Through his tenure at Apollo Investment Management, he also has direct experience in successfully capitalizing, staffing and managing a publicly traded business development company. Mr. Efrat serves as our Chief Financial Officer and Treasurer and is also a Managing Director of PennantPark Administration. He has extensive experience in finance and administration of registered investment companies, having served for a decade as a Director at BlackRock, LLC, a leading investment firm. Our investment adviser has three experienced investment professionals, in addition to Mr. Penn, who are partners of the firm. These investment professionals, Messrs. Chang, Giannetti and Williams, have a combined 44 years of experience in the mezzanine, private equity and leveraged finance businesses.</w:t>
      </w:r>
    </w:p>
    <w:p>
      <w:pPr>
        <w:spacing w:after="0" w:line="5"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Mr. Chang was previously a Founding Member and Principal of Audax Mezzanine from 2000 through 2007. Mr. Giannetti previously served as Partner in the private equity firm of Wilton Ivy Partners from 2004 through 2007. Mr. Williams was most recently a Managing Director at UBS Investment Bank in its Leveraged Finance and Financial Sponsors Group.</w:t>
      </w:r>
    </w:p>
    <w:p>
      <w:pPr>
        <w:spacing w:after="0" w:line="117"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color w:val="auto"/>
        </w:rPr>
        <w:t>We believe that this experience, together with the expertise of the investment professionals of our investment adviser in raising capital, investing in debt and equity securities and managing investments in companies, will afford PennantPark a competitive advantage in identifying and investing in middle-market</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06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7067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68" w:lineRule="auto"/>
        <w:rPr>
          <w:sz w:val="20"/>
          <w:szCs w:val="20"/>
          <w:color w:val="auto"/>
        </w:rPr>
      </w:pPr>
      <w:r>
        <w:rPr>
          <w:rFonts w:ascii="Arial" w:cs="Arial" w:eastAsia="Arial" w:hAnsi="Arial"/>
          <w:sz w:val="18"/>
          <w:szCs w:val="18"/>
          <w:color w:val="auto"/>
        </w:rPr>
        <w:t>companies. We and our investment adviser intend to hire additional investment professionals with skills applicable to our business plan, including experience in middle-market investing, leveraged and mezzanine finance and capital markets.</w:t>
      </w:r>
    </w:p>
    <w:p>
      <w:pPr>
        <w:spacing w:after="0" w:line="105" w:lineRule="exact"/>
        <w:rPr>
          <w:sz w:val="20"/>
          <w:szCs w:val="20"/>
          <w:color w:val="auto"/>
        </w:rPr>
      </w:pPr>
    </w:p>
    <w:p>
      <w:pPr>
        <w:ind w:left="200" w:right="100" w:firstLine="443"/>
        <w:spacing w:after="0" w:line="268" w:lineRule="auto"/>
        <w:rPr>
          <w:sz w:val="20"/>
          <w:szCs w:val="20"/>
          <w:color w:val="auto"/>
        </w:rPr>
      </w:pPr>
      <w:r>
        <w:rPr>
          <w:rFonts w:ascii="Arial" w:cs="Arial" w:eastAsia="Arial" w:hAnsi="Arial"/>
          <w:sz w:val="18"/>
          <w:szCs w:val="18"/>
          <w:color w:val="auto"/>
        </w:rPr>
        <w:t>Mr. Penn, our other officers and directors and the managers of our investment adviser have invested or committed to invest, directly and indirectly, an aggregate of approximately $6.0 million in 400,000 shares of PennantPark prior to this offering.</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Disciplined investment approach with strong value orientation</w:t>
      </w:r>
    </w:p>
    <w:p>
      <w:pPr>
        <w:spacing w:after="0" w:line="96"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We intend to employ a disciplined approach in selecting investments that meet our value-oriented investment criteria. Consistent with the investment strategy employed by Mr. Penn at Apollo Investment Management, our value-oriented investment philosophy focuses on preserving capital and ensuring that our investments have an appropriate return profile in relation to risk.</w:t>
      </w:r>
    </w:p>
    <w:p>
      <w:pPr>
        <w:spacing w:after="0" w:line="113" w:lineRule="exact"/>
        <w:rPr>
          <w:sz w:val="20"/>
          <w:szCs w:val="20"/>
          <w:color w:val="auto"/>
        </w:rPr>
      </w:pPr>
    </w:p>
    <w:p>
      <w:pPr>
        <w:ind w:left="200" w:right="200" w:firstLine="443"/>
        <w:spacing w:after="0" w:line="268"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intend to conduct a rigorous due diligence process.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Focusing on investments that can generate positive risk-adjusted returns</w:t>
      </w:r>
    </w:p>
    <w:p>
      <w:pPr>
        <w:spacing w:after="0" w:line="96" w:lineRule="exact"/>
        <w:rPr>
          <w:sz w:val="20"/>
          <w:szCs w:val="20"/>
          <w:color w:val="auto"/>
        </w:rPr>
      </w:pPr>
    </w:p>
    <w:p>
      <w:pPr>
        <w:ind w:left="200" w:right="580" w:firstLine="443"/>
        <w:spacing w:after="0" w:line="332" w:lineRule="auto"/>
        <w:rPr>
          <w:sz w:val="20"/>
          <w:szCs w:val="20"/>
          <w:color w:val="auto"/>
        </w:rPr>
      </w:pPr>
      <w:r>
        <w:rPr>
          <w:rFonts w:ascii="Arial" w:cs="Arial" w:eastAsia="Arial" w:hAnsi="Arial"/>
          <w:sz w:val="16"/>
          <w:szCs w:val="16"/>
          <w:color w:val="auto"/>
        </w:rPr>
        <w:t>Our investment adviser will seek to minimize the risk of capital loss without foregoing potential for capital appreciation. In making investment decisions, we will also seek to pursue and invest in companies that we believe can generate positive risk-adjusted returns.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Ability to source and evaluate transactions through our investment adviser’s research capability and established network</w:t>
      </w:r>
    </w:p>
    <w:p>
      <w:pPr>
        <w:spacing w:after="0" w:line="9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Mr. Penn and the management team of our investment adviser have long-term relationships with management consultants and management teams that we believe will enable us to evaluate investment opportunities effectively in numerous industries, as well as giving us access to substantial information concerning those industries. We believe the expertise of our investment advisers’ management team will enable PennantPark Investment Advisers to identify, assess and structure investments successfully across all levels of a company’s capital structure and to manage potential risk and return at all stages of the economic cycle.</w:t>
      </w:r>
    </w:p>
    <w:p>
      <w:pPr>
        <w:spacing w:after="0" w:line="116"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We intend to identify potential investments both through active origination and through dialogue with numerous management teams, members of the financial community and corporate partners with whom Mr. Penn and the other investment professionals of our investment adviser have long-term relationships.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Flexible transaction structuring</w:t>
      </w:r>
    </w:p>
    <w:p>
      <w:pPr>
        <w:spacing w:after="0" w:line="96"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We expect that the in-depth coverage and experience of Mr. Penn, as well as that of the other investment professionals of our investment adviser, will enable us to invest throughout various stages of the economic cycle and will provide our investment adviser with access to ongoing market insights in addition to a significant investment sourcing engine. We believe PennantPark Investment Advisers will be able to identify attractive investment opportunities throughout the economic cycle so that we can make investments consistent with our objective, even during turbulent periods in the capital markets.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Longer investment horizon with attractive publicly traded model</w:t>
      </w:r>
    </w:p>
    <w:p>
      <w:pPr>
        <w:spacing w:after="0" w:line="96"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Unlike private equity and venture capital funds, we will not be subject to standard periodic capital return requirements. Such requirements typically stipulate that funds raised by a private equity or venture capital fund, together with any capital gains on such invested funds, can only be invested once and must be returned to</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investors after a pre-agreed time period. We believe that our flexibility to make investments with a long-term view and without the capital return requirements of traditional private investment vehicles will enable us to generate returns on invested capital and to be a better long-term partner for our portfolio companies.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investment activities will be managed by PennantPark Investment Advisers and supervised by our board of directors, a majority of whom are independent of our investment adviser and PennantPark. PennantPark Investment Advisers is a newly formed investment adviser that is registered under the Investment Advisers Act of 1940, or the “Advisers Act.” Under our investment management agreement with PennantPark Investment Advisers, which we refer to as the “Investment Management Agreement,” we have agreed to pay PennantPark Investment Advisers an annual base management fee based on our gross assets as well as an incentive fee based on our investment performance. We intend to execute the Investment Management Agreement at the time we elect to be treated as a business development company, which we expect to occur shortly before the consummation of this offering. Prior to making this election, our relationship with the investment adviser is governed by an interim investment management agreement, which we refer to as the “Interim Investment Management Agreement.” See “Management—Investment Management Agreement.”</w:t>
      </w:r>
    </w:p>
    <w:p>
      <w:pPr>
        <w:spacing w:after="0" w:line="9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also entered into an administrative agreement, which we refer to as the “Administration Agreement,” with PennantPark Administration. Under the Administration Agreement, we have agreed to reimburse PennantPark Administration for our allocable portion of overhead and other expenses incurred by PennantPark Administration in performing its obligations under the Administration Agreement, including rent and our allocable portion of the costs of compensation and related expenses of our chief compliance officer, chief financial officer and their respective staffs. See “Management — Administration Agreement.”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a business development company, we will be required to comply with certain regulatory requirements. For example, we note that any affiliated investment vehicle formed in the future and managed by our investment adviser may, notwithstanding different stated investment objectives, have overlapping investment objectives with our own and, accordingly, may invest in asset classes similar to those targeted by us. If our investment adviser undertakes to manage a new fund in the future, we will not invest in any portfolio company in which that fund has a pre-existing investment, although we may co-invest with such affiliate on a concurrent basis, subject to compliance with existing regulatory guidance, applicable regulations and our allocation procedures.</w:t>
      </w:r>
    </w:p>
    <w:p>
      <w:pPr>
        <w:spacing w:after="0" w:line="8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through a wholly owned subsidiary, Pennant SPV Company, LLC, have established a Credit Facility to fund portfolio investments prior to consummation of this offering, which we intend to repay using a portion of the proceeds of this offering. We may also borrow funds to make investments subsequent to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PennantPark and our stockholders. We have not decided the extent to which we will finance portfolio investments using debt. After we repay the Credit Facility, we do not intend to borrow money to fund our investments until such time as we have invested substantially all of the proceeds of the offering. See “Regulation.” See “Material U.S. Federal Income Tax Considerations.”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offices are located at 445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 telephone number (212) 307-3280.</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35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49352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left="200"/>
        <w:spacing w:after="0"/>
        <w:tabs>
          <w:tab w:leader="none" w:pos="416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5"/>
          <w:szCs w:val="15"/>
          <w:color w:val="auto"/>
        </w:rPr>
        <w:t>20,000,000 shares, excluding 3,000,000 shares of common stock issuable pursuant to the over-</w:t>
      </w:r>
    </w:p>
    <w:p>
      <w:pPr>
        <w:spacing w:after="0" w:line="15" w:lineRule="exact"/>
        <w:rPr>
          <w:sz w:val="20"/>
          <w:szCs w:val="20"/>
          <w:color w:val="auto"/>
        </w:rPr>
      </w:pPr>
    </w:p>
    <w:p>
      <w:pPr>
        <w:ind w:left="4180" w:right="380"/>
        <w:spacing w:after="0" w:line="261" w:lineRule="auto"/>
        <w:rPr>
          <w:sz w:val="20"/>
          <w:szCs w:val="20"/>
          <w:color w:val="auto"/>
        </w:rPr>
      </w:pPr>
      <w:r>
        <w:rPr>
          <w:rFonts w:ascii="Arial" w:cs="Arial" w:eastAsia="Arial" w:hAnsi="Arial"/>
          <w:sz w:val="18"/>
          <w:szCs w:val="18"/>
          <w:color w:val="auto"/>
        </w:rPr>
        <w:t>allotment option granted to the underwriters. The underwriters have reserved up to 500,000 shares of common stock for sale to certain other persons.</w:t>
      </w:r>
    </w:p>
    <w:p>
      <w:pPr>
        <w:sectPr>
          <w:pgSz w:w="11900" w:h="16838" w:orient="portrait"/>
          <w:cols w:equalWidth="0" w:num="1">
            <w:col w:w="11460"/>
          </w:cols>
          <w:pgMar w:left="240" w:top="459" w:right="199" w:bottom="1440" w:gutter="0" w:footer="0" w:header="0"/>
        </w:sectPr>
      </w:pPr>
    </w:p>
    <w:p>
      <w:pPr>
        <w:spacing w:after="0" w:line="138" w:lineRule="exact"/>
        <w:rPr>
          <w:sz w:val="20"/>
          <w:szCs w:val="20"/>
          <w:color w:val="auto"/>
        </w:rPr>
      </w:pPr>
    </w:p>
    <w:p>
      <w:pPr>
        <w:ind w:left="280" w:right="200" w:hanging="72"/>
        <w:spacing w:after="0" w:line="332" w:lineRule="auto"/>
        <w:rPr>
          <w:sz w:val="20"/>
          <w:szCs w:val="20"/>
          <w:color w:val="auto"/>
        </w:rPr>
      </w:pPr>
      <w:r>
        <w:rPr>
          <w:rFonts w:ascii="Arial" w:cs="Arial" w:eastAsia="Arial" w:hAnsi="Arial"/>
          <w:sz w:val="16"/>
          <w:szCs w:val="16"/>
          <w:color w:val="auto"/>
        </w:rPr>
        <w:t>Directors, officers and investment adviser’s management private placement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Our investment adviser purchased 80,000 shares in a private placement in connection with the establishment of the Credit Facility and, immediately prior to the closing of this offering, we expect to sell 320,000 shares of common stock to our directors, officers, our investment adviser and the managers of our investment adviser at a price of $15.00 per share in a private placement. We will receive the full proceeds of this private placement, and no underwriting discounts or commissions will be paid in respect of these shares.</w:t>
      </w:r>
    </w:p>
    <w:p>
      <w:pPr>
        <w:spacing w:after="0" w:line="120" w:lineRule="exact"/>
        <w:rPr>
          <w:sz w:val="20"/>
          <w:szCs w:val="20"/>
          <w:color w:val="auto"/>
        </w:rPr>
      </w:pPr>
    </w:p>
    <w:p>
      <w:pPr>
        <w:sectPr>
          <w:pgSz w:w="11900" w:h="16838" w:orient="portrait"/>
          <w:cols w:equalWidth="0" w:num="2">
            <w:col w:w="3460" w:space="720"/>
            <w:col w:w="7280"/>
          </w:cols>
          <w:pgMar w:left="240" w:top="459" w:right="1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980" w:type="dxa"/>
            <w:vAlign w:val="bottom"/>
          </w:tcPr>
          <w:p>
            <w:pPr>
              <w:ind w:left="200"/>
              <w:spacing w:after="0"/>
              <w:rPr>
                <w:sz w:val="20"/>
                <w:szCs w:val="20"/>
                <w:color w:val="auto"/>
              </w:rPr>
            </w:pPr>
            <w:r>
              <w:rPr>
                <w:rFonts w:ascii="Arial" w:cs="Arial" w:eastAsia="Arial" w:hAnsi="Arial"/>
                <w:sz w:val="18"/>
                <w:szCs w:val="18"/>
                <w:color w:val="auto"/>
                <w:w w:val="93"/>
              </w:rPr>
              <w:t>Common stock to be outstanding after this offering</w:t>
            </w:r>
          </w:p>
        </w:tc>
        <w:tc>
          <w:tcPr>
            <w:tcW w:w="7480" w:type="dxa"/>
            <w:vAlign w:val="bottom"/>
          </w:tcPr>
          <w:p>
            <w:pPr>
              <w:ind w:left="200"/>
              <w:spacing w:after="0"/>
              <w:rPr>
                <w:sz w:val="20"/>
                <w:szCs w:val="20"/>
                <w:color w:val="auto"/>
              </w:rPr>
            </w:pPr>
            <w:r>
              <w:rPr>
                <w:rFonts w:ascii="Arial" w:cs="Arial" w:eastAsia="Arial" w:hAnsi="Arial"/>
                <w:sz w:val="18"/>
                <w:szCs w:val="18"/>
                <w:color w:val="auto"/>
                <w:w w:val="95"/>
              </w:rPr>
              <w:t>20,400,000 shares (including 400,000 shares acquired by our directors, officers, our investment</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5"/>
              </w:rPr>
              <w:t>adviser and the managers of our investment adviser in private placements prior to this offering),</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1"/>
              </w:rPr>
              <w:t>excluding 3,000,000 shares of common stock issuable pursuant to the over-allotment option granted</w:t>
            </w:r>
          </w:p>
        </w:tc>
      </w:tr>
      <w:tr>
        <w:trPr>
          <w:trHeight w:val="222"/>
        </w:trPr>
        <w:tc>
          <w:tcPr>
            <w:tcW w:w="398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to the underwriters.</w:t>
            </w:r>
          </w:p>
        </w:tc>
      </w:tr>
      <w:tr>
        <w:trPr>
          <w:trHeight w:val="372"/>
        </w:trPr>
        <w:tc>
          <w:tcPr>
            <w:tcW w:w="398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7480" w:type="dxa"/>
            <w:vAlign w:val="bottom"/>
          </w:tcPr>
          <w:p>
            <w:pPr>
              <w:ind w:left="200"/>
              <w:spacing w:after="0"/>
              <w:rPr>
                <w:sz w:val="20"/>
                <w:szCs w:val="20"/>
                <w:color w:val="auto"/>
              </w:rPr>
            </w:pPr>
            <w:r>
              <w:rPr>
                <w:rFonts w:ascii="Arial" w:cs="Arial" w:eastAsia="Arial" w:hAnsi="Arial"/>
                <w:sz w:val="18"/>
                <w:szCs w:val="18"/>
                <w:color w:val="auto"/>
                <w:w w:val="99"/>
              </w:rPr>
              <w:t>We intend to use approximately $250 million of the net proceeds of this offering to repay the</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3"/>
              </w:rPr>
              <w:t>outstanding principal of, and accrued and unpaid interest on, the Credit Facility. We plan to invest</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8"/>
              </w:rPr>
              <w:t>the balance of the net proceeds of this offering in portfolio companies in accordance with our</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3"/>
              </w:rPr>
              <w:t>investment objective and the strategies described in this prospectus. As a result of this investment</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8"/>
              </w:rPr>
              <w:t>and other anticipated investments, we expect that our portfolio will initially consist primarily of</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1"/>
              </w:rPr>
              <w:t>senior secured loans because we anticipate that we will be able to invest in such loans more rapidly</w:t>
            </w:r>
          </w:p>
        </w:tc>
      </w:tr>
      <w:tr>
        <w:trPr>
          <w:trHeight w:val="222"/>
        </w:trPr>
        <w:tc>
          <w:tcPr>
            <w:tcW w:w="398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than we can invest in mezzanine loans and equity securities.</w:t>
            </w:r>
          </w:p>
        </w:tc>
      </w:tr>
      <w:tr>
        <w:trPr>
          <w:trHeight w:val="372"/>
        </w:trPr>
        <w:tc>
          <w:tcPr>
            <w:tcW w:w="3980" w:type="dxa"/>
            <w:vAlign w:val="bottom"/>
          </w:tcPr>
          <w:p>
            <w:pPr>
              <w:spacing w:after="0"/>
              <w:rPr>
                <w:sz w:val="24"/>
                <w:szCs w:val="24"/>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1"/>
              </w:rPr>
              <w:t>We anticipate that a substantial portion of the net proceeds of this offering will be invested within 12</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4"/>
              </w:rPr>
              <w:t>to 18 months and all of the net proceeds will be invested within two years, in accordance with our</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6"/>
              </w:rPr>
              <w:t>investment objective, depending on the availability of appropriate investment opportunities and</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1"/>
              </w:rPr>
              <w:t>market conditions. Pending such investments, we will invest the remaining net proceeds primarily in</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5"/>
              </w:rPr>
              <w:t>cash, cash equivalents, U.S. government securities and other high-quality debt investments that</w:t>
            </w:r>
          </w:p>
        </w:tc>
      </w:tr>
      <w:tr>
        <w:trPr>
          <w:trHeight w:val="222"/>
        </w:trPr>
        <w:tc>
          <w:tcPr>
            <w:tcW w:w="398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mature in one year or less from the date of investment. See “Use of Proceeds.”</w:t>
            </w:r>
          </w:p>
        </w:tc>
      </w:tr>
      <w:tr>
        <w:trPr>
          <w:trHeight w:val="378"/>
        </w:trPr>
        <w:tc>
          <w:tcPr>
            <w:tcW w:w="3980" w:type="dxa"/>
            <w:vAlign w:val="bottom"/>
          </w:tcPr>
          <w:p>
            <w:pPr>
              <w:ind w:left="200"/>
              <w:spacing w:after="0"/>
              <w:rPr>
                <w:sz w:val="20"/>
                <w:szCs w:val="20"/>
                <w:color w:val="auto"/>
              </w:rPr>
            </w:pPr>
            <w:r>
              <w:rPr>
                <w:rFonts w:ascii="Arial" w:cs="Arial" w:eastAsia="Arial" w:hAnsi="Arial"/>
                <w:sz w:val="18"/>
                <w:szCs w:val="18"/>
                <w:color w:val="auto"/>
              </w:rPr>
              <w:t>Nasdaq Global Market symbol</w:t>
            </w:r>
          </w:p>
        </w:tc>
        <w:tc>
          <w:tcPr>
            <w:tcW w:w="7480" w:type="dxa"/>
            <w:vAlign w:val="bottom"/>
          </w:tcPr>
          <w:p>
            <w:pPr>
              <w:ind w:left="200"/>
              <w:spacing w:after="0"/>
              <w:rPr>
                <w:sz w:val="20"/>
                <w:szCs w:val="20"/>
                <w:color w:val="auto"/>
              </w:rPr>
            </w:pPr>
            <w:r>
              <w:rPr>
                <w:rFonts w:ascii="Arial" w:cs="Arial" w:eastAsia="Arial" w:hAnsi="Arial"/>
                <w:sz w:val="18"/>
                <w:szCs w:val="18"/>
                <w:color w:val="auto"/>
              </w:rPr>
              <w:t>“PNNT”</w:t>
            </w:r>
          </w:p>
        </w:tc>
      </w:tr>
      <w:tr>
        <w:trPr>
          <w:trHeight w:val="378"/>
        </w:trPr>
        <w:tc>
          <w:tcPr>
            <w:tcW w:w="3980" w:type="dxa"/>
            <w:vAlign w:val="bottom"/>
          </w:tcPr>
          <w:p>
            <w:pPr>
              <w:ind w:left="200"/>
              <w:spacing w:after="0"/>
              <w:rPr>
                <w:sz w:val="20"/>
                <w:szCs w:val="20"/>
                <w:color w:val="auto"/>
              </w:rPr>
            </w:pPr>
            <w:r>
              <w:rPr>
                <w:rFonts w:ascii="Arial" w:cs="Arial" w:eastAsia="Arial" w:hAnsi="Arial"/>
                <w:sz w:val="18"/>
                <w:szCs w:val="18"/>
                <w:color w:val="auto"/>
              </w:rPr>
              <w:t>Trading at a discount</w:t>
            </w:r>
          </w:p>
        </w:tc>
        <w:tc>
          <w:tcPr>
            <w:tcW w:w="7480" w:type="dxa"/>
            <w:vAlign w:val="bottom"/>
          </w:tcPr>
          <w:p>
            <w:pPr>
              <w:ind w:left="200"/>
              <w:spacing w:after="0"/>
              <w:rPr>
                <w:sz w:val="20"/>
                <w:szCs w:val="20"/>
                <w:color w:val="auto"/>
              </w:rPr>
            </w:pPr>
            <w:r>
              <w:rPr>
                <w:rFonts w:ascii="Arial" w:cs="Arial" w:eastAsia="Arial" w:hAnsi="Arial"/>
                <w:sz w:val="18"/>
                <w:szCs w:val="18"/>
                <w:color w:val="auto"/>
                <w:w w:val="92"/>
              </w:rPr>
              <w:t>Shares of closed-end investment companies frequently trade at a discount to their net asset value.</w:t>
            </w:r>
          </w:p>
        </w:tc>
      </w:tr>
      <w:tr>
        <w:trPr>
          <w:trHeight w:val="174"/>
        </w:trPr>
        <w:tc>
          <w:tcPr>
            <w:tcW w:w="3980" w:type="dxa"/>
            <w:vAlign w:val="bottom"/>
            <w:tcBorders>
              <w:bottom w:val="single" w:sz="8" w:color="auto"/>
            </w:tcBorders>
          </w:tcPr>
          <w:p>
            <w:pPr>
              <w:spacing w:after="0"/>
              <w:rPr>
                <w:sz w:val="15"/>
                <w:szCs w:val="15"/>
                <w:color w:val="auto"/>
              </w:rPr>
            </w:pPr>
          </w:p>
        </w:tc>
        <w:tc>
          <w:tcPr>
            <w:tcW w:w="7480" w:type="dxa"/>
            <w:vAlign w:val="bottom"/>
            <w:tcBorders>
              <w:bottom w:val="single" w:sz="8" w:color="auto"/>
            </w:tcBorders>
          </w:tcPr>
          <w:p>
            <w:pPr>
              <w:spacing w:after="0"/>
              <w:rPr>
                <w:sz w:val="15"/>
                <w:szCs w:val="15"/>
                <w:color w:val="auto"/>
              </w:rPr>
            </w:pPr>
          </w:p>
        </w:tc>
      </w:tr>
      <w:tr>
        <w:trPr>
          <w:trHeight w:val="359"/>
        </w:trPr>
        <w:tc>
          <w:tcPr>
            <w:tcW w:w="3980" w:type="dxa"/>
            <w:vAlign w:val="bottom"/>
          </w:tcPr>
          <w:p>
            <w:pPr>
              <w:spacing w:after="0"/>
              <w:rPr>
                <w:sz w:val="24"/>
                <w:szCs w:val="24"/>
                <w:color w:val="auto"/>
              </w:rPr>
            </w:pPr>
          </w:p>
        </w:tc>
        <w:tc>
          <w:tcPr>
            <w:tcW w:w="7480" w:type="dxa"/>
            <w:vAlign w:val="bottom"/>
          </w:tcPr>
          <w:p>
            <w:pPr>
              <w:ind w:left="170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60"/>
          </w:cols>
          <w:pgMar w:left="240" w:top="459" w:right="1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1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Distributions</w:t>
            </w:r>
          </w:p>
        </w:tc>
        <w:tc>
          <w:tcPr>
            <w:tcW w:w="830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18"/>
                <w:szCs w:val="18"/>
                <w:color w:val="auto"/>
                <w:w w:val="93"/>
              </w:rPr>
              <w:t>We intend to distribute quarterly distributions to our stockholders out of assets legally available for</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distribution. Our quarterly distributions, if any, will be determined by our board of directors.</w:t>
            </w:r>
          </w:p>
        </w:tc>
      </w:tr>
      <w:tr>
        <w:trPr>
          <w:trHeight w:val="372"/>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Taxation</w:t>
            </w: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3"/>
              </w:rPr>
              <w:t>We intend to elect to be treated for federal income tax purposes as a RIC. As a RIC, we generally</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4"/>
              </w:rPr>
              <w:t>will not have to pay corporate-level federal income taxes on any ordinary income or capital gains</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3"/>
              </w:rPr>
              <w:t>that we distribute to our stockholders as distributions. To obtain RIC status and the associated tax</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6"/>
              </w:rPr>
              <w:t>benefits, we must meet specified source-of-income and asset diversification requirements and</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3"/>
              </w:rPr>
              <w:t>distribute annually at least 90% of our ordinary income and realized net short-term capital gains in</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1"/>
              </w:rPr>
              <w:t>excess of realized net long-term capital losses, if any, out of assets legally available for distribution.</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2"/>
              </w:rPr>
              <w:t>For a short period (less than one month after the closing of this offering), we may not be a RIC and</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may be subject to corporate-level income tax. See “Distributions.”</w:t>
            </w:r>
          </w:p>
        </w:tc>
      </w:tr>
      <w:tr>
        <w:trPr>
          <w:trHeight w:val="372"/>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Leverage</w:t>
            </w: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4"/>
              </w:rPr>
              <w:t>We have borrowed funds to make investments under the Credit Facility prior to consummation of</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2"/>
              </w:rPr>
              <w:t>this offering, and we may borrow other funds subsequent to this offering. After we repay the Credit</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7"/>
              </w:rPr>
              <w:t>Facility, we do not intend to borrow money to fund our investments until such time as we have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2"/>
              </w:rPr>
              <w:t>invested substantially all of the proceeds of this offering. The costs associated with our borrowings,</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5"/>
              </w:rPr>
              <w:t>including any increase in the investment advisory fee payable to our investment adviser, will be</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borne by our common stockholders.</w:t>
            </w:r>
          </w:p>
        </w:tc>
      </w:tr>
      <w:tr>
        <w:trPr>
          <w:trHeight w:val="372"/>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Dividend reinvestment plan</w:t>
            </w: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8"/>
              </w:rPr>
              <w:t>We have adopted a dividend reinvestment plan for our stockholders. This will be an “opt out”</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dividend reinvestment plan. As a result, if we declare a dividend or other distribution, then</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1"/>
              </w:rPr>
              <w:t>stockholders’ cash distributions will be reinvested automatically in additional shares of our common</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6"/>
              </w:rPr>
              <w:t>stock, unless our stockholders specifically “opt out” of the dividend reinvestment plan, so as to</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3"/>
              </w:rPr>
              <w:t>receive cash dividends or other distributions. Stockholders who receive distributions in the form of</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3"/>
              </w:rPr>
              <w:t>shares of common stock will be subject to the same federal, state and local tax consequences as</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5"/>
              </w:rPr>
              <w:t>stockholders who elect to receive their distributions in cash. See “Dividend Reinvestment Plan.”</w:t>
            </w:r>
          </w:p>
        </w:tc>
      </w:tr>
      <w:tr>
        <w:trPr>
          <w:trHeight w:val="372"/>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Investment advisory fees</w:t>
            </w: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We will pay PennantPark Investment Advisers a fee for its services under the Investment</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1"/>
              </w:rPr>
              <w:t>Management Agreement consisting of two components—a base management fee and an incentive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5"/>
              </w:rPr>
              <w:t>fee. The base management fee will be calculated at an annual rate of 2.00 percent of our gross</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89"/>
              </w:rPr>
              <w:t>assets. Although the management fee will be 2.00 percent of our gross assets, the investment adviser</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1"/>
              </w:rPr>
              <w:t>has agreed to waive a portion of the base management fee such that the base management fee will</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equal 1.50 percent from the consummation of this offering through September 30, 2007,</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7"/>
              </w:rPr>
              <w:t>1.75 percent from October 1, 2007 through March 31, 2008, and 2.00 percent thereafter. The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7"/>
              </w:rPr>
              <w:t>incentive fee will consist of two parts. The first part will be calculated and payable quarterly in</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3"/>
              </w:rPr>
              <w:t>arrears based upon our “Pre-Incentive Fee Net Investment Income” for the immediately preceding</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3"/>
              </w:rPr>
              <w:t>quarter, and will be subject to a Hurdle (as defined under “Fees and Expenses”) and a “catch-up”</w:t>
            </w:r>
          </w:p>
        </w:tc>
      </w:tr>
      <w:tr>
        <w:trPr>
          <w:trHeight w:val="174"/>
        </w:trPr>
        <w:tc>
          <w:tcPr>
            <w:tcW w:w="3160" w:type="dxa"/>
            <w:vAlign w:val="bottom"/>
            <w:tcBorders>
              <w:left w:val="single" w:sz="8" w:color="auto"/>
              <w:bottom w:val="single" w:sz="8" w:color="auto"/>
            </w:tcBorders>
          </w:tcPr>
          <w:p>
            <w:pPr>
              <w:spacing w:after="0"/>
              <w:rPr>
                <w:sz w:val="15"/>
                <w:szCs w:val="15"/>
                <w:color w:val="auto"/>
              </w:rPr>
            </w:pPr>
          </w:p>
        </w:tc>
        <w:tc>
          <w:tcPr>
            <w:tcW w:w="8300" w:type="dxa"/>
            <w:vAlign w:val="bottom"/>
            <w:tcBorders>
              <w:bottom w:val="single" w:sz="8" w:color="auto"/>
              <w:right w:val="single" w:sz="8" w:color="auto"/>
            </w:tcBorders>
          </w:tcPr>
          <w:p>
            <w:pPr>
              <w:spacing w:after="0"/>
              <w:rPr>
                <w:sz w:val="15"/>
                <w:szCs w:val="15"/>
                <w:color w:val="auto"/>
              </w:rPr>
            </w:pPr>
          </w:p>
        </w:tc>
      </w:tr>
      <w:tr>
        <w:trPr>
          <w:trHeight w:val="359"/>
        </w:trPr>
        <w:tc>
          <w:tcPr>
            <w:tcW w:w="3160" w:type="dxa"/>
            <w:vAlign w:val="bottom"/>
          </w:tcPr>
          <w:p>
            <w:pPr>
              <w:spacing w:after="0"/>
              <w:rPr>
                <w:sz w:val="24"/>
                <w:szCs w:val="24"/>
                <w:color w:val="auto"/>
              </w:rPr>
            </w:pPr>
          </w:p>
        </w:tc>
        <w:tc>
          <w:tcPr>
            <w:tcW w:w="8300" w:type="dxa"/>
            <w:vAlign w:val="bottom"/>
          </w:tcPr>
          <w:p>
            <w:pPr>
              <w:ind w:left="252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120" w:type="dxa"/>
            <w:vAlign w:val="bottom"/>
            <w:tcBorders>
              <w:top w:val="single" w:sz="8" w:color="auto"/>
              <w:left w:val="single" w:sz="8" w:color="auto"/>
            </w:tcBorders>
          </w:tcPr>
          <w:p>
            <w:pPr>
              <w:spacing w:after="0"/>
              <w:rPr>
                <w:sz w:val="24"/>
                <w:szCs w:val="24"/>
                <w:color w:val="auto"/>
              </w:rPr>
            </w:pPr>
          </w:p>
        </w:tc>
        <w:tc>
          <w:tcPr>
            <w:tcW w:w="8340" w:type="dxa"/>
            <w:vAlign w:val="bottom"/>
            <w:tcBorders>
              <w:top w:val="single" w:sz="8" w:color="auto"/>
              <w:right w:val="single" w:sz="8" w:color="auto"/>
            </w:tcBorders>
            <w:gridSpan w:val="2"/>
          </w:tcPr>
          <w:p>
            <w:pPr>
              <w:ind w:left="1280"/>
              <w:spacing w:after="0"/>
              <w:rPr>
                <w:sz w:val="20"/>
                <w:szCs w:val="20"/>
                <w:color w:val="auto"/>
              </w:rPr>
            </w:pPr>
            <w:r>
              <w:rPr>
                <w:rFonts w:ascii="Arial" w:cs="Arial" w:eastAsia="Arial" w:hAnsi="Arial"/>
                <w:sz w:val="18"/>
                <w:szCs w:val="18"/>
                <w:color w:val="auto"/>
                <w:w w:val="90"/>
              </w:rPr>
              <w:t>feature. The second part will be determined and payable in arrears as of the end of each calendar</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280"/>
              <w:spacing w:after="0"/>
              <w:rPr>
                <w:sz w:val="20"/>
                <w:szCs w:val="20"/>
                <w:color w:val="auto"/>
              </w:rPr>
            </w:pPr>
            <w:r>
              <w:rPr>
                <w:rFonts w:ascii="Arial" w:cs="Arial" w:eastAsia="Arial" w:hAnsi="Arial"/>
                <w:sz w:val="18"/>
                <w:szCs w:val="18"/>
                <w:color w:val="auto"/>
                <w:w w:val="96"/>
              </w:rPr>
              <w:t>year (or upon termination of the investment advisory and management agreement, as of the</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280"/>
              <w:spacing w:after="0"/>
              <w:rPr>
                <w:sz w:val="20"/>
                <w:szCs w:val="20"/>
                <w:color w:val="auto"/>
              </w:rPr>
            </w:pPr>
            <w:r>
              <w:rPr>
                <w:rFonts w:ascii="Arial" w:cs="Arial" w:eastAsia="Arial" w:hAnsi="Arial"/>
                <w:sz w:val="18"/>
                <w:szCs w:val="18"/>
                <w:color w:val="auto"/>
                <w:w w:val="93"/>
              </w:rPr>
              <w:t>termination date) and will equal our realized capital gains on a cumulative basis from inception</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280"/>
              <w:spacing w:after="0"/>
              <w:rPr>
                <w:sz w:val="20"/>
                <w:szCs w:val="20"/>
                <w:color w:val="auto"/>
              </w:rPr>
            </w:pPr>
            <w:r>
              <w:rPr>
                <w:rFonts w:ascii="Arial" w:cs="Arial" w:eastAsia="Arial" w:hAnsi="Arial"/>
                <w:sz w:val="18"/>
                <w:szCs w:val="18"/>
                <w:color w:val="auto"/>
                <w:w w:val="91"/>
              </w:rPr>
              <w:t>through the end of each calendar year, computed net of all realized capital losses and unrealized</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280"/>
              <w:spacing w:after="0"/>
              <w:rPr>
                <w:sz w:val="20"/>
                <w:szCs w:val="20"/>
                <w:color w:val="auto"/>
              </w:rPr>
            </w:pPr>
            <w:r>
              <w:rPr>
                <w:rFonts w:ascii="Arial" w:cs="Arial" w:eastAsia="Arial" w:hAnsi="Arial"/>
                <w:sz w:val="18"/>
                <w:szCs w:val="18"/>
                <w:color w:val="auto"/>
                <w:w w:val="95"/>
              </w:rPr>
              <w:t>capital depreciation on a cumulative basis, less the aggregate amount of any previously paid</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gridSpan w:val="2"/>
          </w:tcPr>
          <w:p>
            <w:pPr>
              <w:ind w:left="1280"/>
              <w:spacing w:after="0"/>
              <w:rPr>
                <w:sz w:val="20"/>
                <w:szCs w:val="20"/>
                <w:color w:val="auto"/>
              </w:rPr>
            </w:pPr>
            <w:r>
              <w:rPr>
                <w:rFonts w:ascii="Arial" w:cs="Arial" w:eastAsia="Arial" w:hAnsi="Arial"/>
                <w:sz w:val="18"/>
                <w:szCs w:val="18"/>
                <w:color w:val="auto"/>
              </w:rPr>
              <w:t>capital gain incentive fees. See “Management—Investment Management Agreement.”</w:t>
            </w:r>
          </w:p>
        </w:tc>
      </w:tr>
      <w:tr>
        <w:trPr>
          <w:trHeight w:val="372"/>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Administration Agreement</w:t>
            </w: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7"/>
              </w:rPr>
              <w:t>We will reimburse PennantPark Administration for the allocable portion of overhead and other</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expenses incurred by PennantPark Administration in performing its obligations under the</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7"/>
              </w:rPr>
              <w:t>Administration Agreement, including furnishing us with office facilities, equipment and clerical,</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8"/>
              </w:rPr>
              <w:t>bookkeeping and record keeping services at such facilities, as well as providing us with other</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2"/>
              </w:rPr>
              <w:t>administrative services. To the extent that our administrator outsources any of its functions, we will</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1"/>
              </w:rPr>
              <w:t>pay the fees associated with such functions on a direct basis without profit to the administrator. See</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“Management—Administration Agreement.”</w:t>
            </w:r>
          </w:p>
        </w:tc>
      </w:tr>
      <w:tr>
        <w:trPr>
          <w:trHeight w:val="372"/>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License arrangements</w:t>
            </w: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0"/>
              </w:rPr>
              <w:t>We have entered into a license agreement with PennantPark Investment Advisers, which we refer to</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4"/>
              </w:rPr>
              <w:t>as the “License Agreement,” pursuant to which PennantPark Investment Advisers has agreed to</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2"/>
              </w:rPr>
              <w:t>grant us a non-exclusive license to use the name “PennantPark.” For a description of PennantPark</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5"/>
              </w:rPr>
              <w:t>Investment Advisers, PennantPark Administration and our contractual arrangements with these</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companies, see “Management—Investment Management Agreement,” “—Administration</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Agreement” and “—License Agreement.”</w:t>
            </w:r>
          </w:p>
        </w:tc>
      </w:tr>
      <w:tr>
        <w:trPr>
          <w:trHeight w:val="372"/>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Anti-takeover provisions</w:t>
            </w: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2"/>
              </w:rPr>
              <w:t>Our board of directors is divided into three classes of directors serving staggered three-year terms.</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5"/>
              </w:rPr>
              <w:t>This structure is intended to increase the likelihood of continuity of management, which may be</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0"/>
              </w:rPr>
              <w:t>necessary for us to realize the full value of our investments. A staggered board of directors also may</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89"/>
              </w:rPr>
              <w:t>serve to deter hostile takeovers or proxy contests, as may certain other measures adopted by us. See</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“Description of Our Capital Stock.”</w:t>
            </w:r>
          </w:p>
        </w:tc>
      </w:tr>
      <w:tr>
        <w:trPr>
          <w:trHeight w:val="372"/>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1"/>
              </w:rPr>
              <w:t>The value of our assets, as well as the market price of our shares, will fluctuate. You may lose all or</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7"/>
              </w:rPr>
              <w:t>part of your investment. Investing in PennantPark involves other risks, including the following:</w:t>
            </w:r>
          </w:p>
        </w:tc>
      </w:tr>
      <w:tr>
        <w:trPr>
          <w:trHeight w:val="311"/>
        </w:trPr>
        <w:tc>
          <w:tcPr>
            <w:tcW w:w="3120" w:type="dxa"/>
            <w:vAlign w:val="bottom"/>
            <w:tcBorders>
              <w:left w:val="single" w:sz="8" w:color="auto"/>
            </w:tcBorders>
          </w:tcPr>
          <w:p>
            <w:pPr>
              <w:spacing w:after="0"/>
              <w:rPr>
                <w:sz w:val="24"/>
                <w:szCs w:val="24"/>
                <w:color w:val="auto"/>
              </w:rPr>
            </w:pPr>
          </w:p>
        </w:tc>
        <w:tc>
          <w:tcPr>
            <w:tcW w:w="1820" w:type="dxa"/>
            <w:vAlign w:val="bottom"/>
          </w:tcPr>
          <w:p>
            <w:pPr>
              <w:ind w:left="1500"/>
              <w:spacing w:after="0"/>
              <w:rPr>
                <w:sz w:val="20"/>
                <w:szCs w:val="20"/>
                <w:color w:val="auto"/>
              </w:rPr>
            </w:pPr>
            <w:r>
              <w:rPr>
                <w:rFonts w:ascii="Arial" w:cs="Arial" w:eastAsia="Arial" w:hAnsi="Arial"/>
                <w:sz w:val="18"/>
                <w:szCs w:val="18"/>
                <w:color w:val="auto"/>
              </w:rPr>
              <w:t>Ÿ</w:t>
            </w: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We are a new company with a limited operating history.</w:t>
            </w:r>
          </w:p>
        </w:tc>
      </w:tr>
      <w:tr>
        <w:trPr>
          <w:trHeight w:val="291"/>
        </w:trPr>
        <w:tc>
          <w:tcPr>
            <w:tcW w:w="3120" w:type="dxa"/>
            <w:vAlign w:val="bottom"/>
            <w:tcBorders>
              <w:left w:val="single" w:sz="8" w:color="auto"/>
            </w:tcBorders>
          </w:tcPr>
          <w:p>
            <w:pPr>
              <w:spacing w:after="0"/>
              <w:rPr>
                <w:sz w:val="24"/>
                <w:szCs w:val="24"/>
                <w:color w:val="auto"/>
              </w:rPr>
            </w:pPr>
          </w:p>
        </w:tc>
        <w:tc>
          <w:tcPr>
            <w:tcW w:w="1820" w:type="dxa"/>
            <w:vAlign w:val="bottom"/>
          </w:tcPr>
          <w:p>
            <w:pPr>
              <w:ind w:left="1500"/>
              <w:spacing w:after="0"/>
              <w:rPr>
                <w:sz w:val="20"/>
                <w:szCs w:val="20"/>
                <w:color w:val="auto"/>
              </w:rPr>
            </w:pPr>
            <w:r>
              <w:rPr>
                <w:rFonts w:ascii="Arial" w:cs="Arial" w:eastAsia="Arial" w:hAnsi="Arial"/>
                <w:sz w:val="18"/>
                <w:szCs w:val="18"/>
                <w:color w:val="auto"/>
              </w:rPr>
              <w:t>Ÿ</w:t>
            </w: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6"/>
              </w:rPr>
              <w:t>We are dependent upon PennantPark Investment Advisers’ key personnel for our</w:t>
            </w:r>
          </w:p>
        </w:tc>
      </w:tr>
      <w:tr>
        <w:trPr>
          <w:trHeight w:val="216"/>
        </w:trPr>
        <w:tc>
          <w:tcPr>
            <w:tcW w:w="3120" w:type="dxa"/>
            <w:vAlign w:val="bottom"/>
            <w:tcBorders>
              <w:left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1"/>
              </w:rPr>
              <w:t>future success, and if we are unable to hire and retain qualified personnel or if we lose</w:t>
            </w:r>
          </w:p>
        </w:tc>
      </w:tr>
      <w:tr>
        <w:trPr>
          <w:trHeight w:val="216"/>
        </w:trPr>
        <w:tc>
          <w:tcPr>
            <w:tcW w:w="3120" w:type="dxa"/>
            <w:vAlign w:val="bottom"/>
            <w:tcBorders>
              <w:left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2"/>
              </w:rPr>
              <w:t>any member of our management team, our ability to achieve our investment objective</w:t>
            </w:r>
          </w:p>
        </w:tc>
      </w:tr>
      <w:tr>
        <w:trPr>
          <w:trHeight w:val="222"/>
        </w:trPr>
        <w:tc>
          <w:tcPr>
            <w:tcW w:w="3120" w:type="dxa"/>
            <w:vAlign w:val="bottom"/>
            <w:tcBorders>
              <w:lef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could be significantly harmed.</w:t>
            </w:r>
          </w:p>
        </w:tc>
      </w:tr>
      <w:tr>
        <w:trPr>
          <w:trHeight w:val="297"/>
        </w:trPr>
        <w:tc>
          <w:tcPr>
            <w:tcW w:w="3120" w:type="dxa"/>
            <w:vAlign w:val="bottom"/>
            <w:tcBorders>
              <w:left w:val="single" w:sz="8" w:color="auto"/>
            </w:tcBorders>
          </w:tcPr>
          <w:p>
            <w:pPr>
              <w:spacing w:after="0"/>
              <w:rPr>
                <w:sz w:val="24"/>
                <w:szCs w:val="24"/>
                <w:color w:val="auto"/>
              </w:rPr>
            </w:pPr>
          </w:p>
        </w:tc>
        <w:tc>
          <w:tcPr>
            <w:tcW w:w="1820" w:type="dxa"/>
            <w:vAlign w:val="bottom"/>
          </w:tcPr>
          <w:p>
            <w:pPr>
              <w:ind w:left="1500"/>
              <w:spacing w:after="0"/>
              <w:rPr>
                <w:sz w:val="20"/>
                <w:szCs w:val="20"/>
                <w:color w:val="auto"/>
              </w:rPr>
            </w:pPr>
            <w:r>
              <w:rPr>
                <w:rFonts w:ascii="Arial" w:cs="Arial" w:eastAsia="Arial" w:hAnsi="Arial"/>
                <w:sz w:val="18"/>
                <w:szCs w:val="18"/>
                <w:color w:val="auto"/>
              </w:rPr>
              <w:t>Ÿ</w:t>
            </w: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We operate in a highly competitive market for investment opportunities.</w:t>
            </w:r>
          </w:p>
        </w:tc>
      </w:tr>
      <w:tr>
        <w:trPr>
          <w:trHeight w:val="161"/>
        </w:trPr>
        <w:tc>
          <w:tcPr>
            <w:tcW w:w="3120" w:type="dxa"/>
            <w:vAlign w:val="bottom"/>
            <w:tcBorders>
              <w:left w:val="single" w:sz="8" w:color="auto"/>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6520" w:type="dxa"/>
            <w:vAlign w:val="bottom"/>
            <w:tcBorders>
              <w:bottom w:val="single" w:sz="8" w:color="auto"/>
              <w:right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520" w:type="dxa"/>
            <w:vAlign w:val="bottom"/>
          </w:tcPr>
          <w:p>
            <w:pPr>
              <w:ind w:left="74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335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433514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Ÿ</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intend to elect to be treated as a RIC, and we will be subject to corporate-level income tax if we are unable to qualify as a RIC.</w:t>
      </w:r>
    </w:p>
    <w:p>
      <w:pPr>
        <w:spacing w:after="0" w:line="51" w:lineRule="exact"/>
        <w:rPr>
          <w:sz w:val="20"/>
          <w:szCs w:val="20"/>
          <w:color w:val="auto"/>
        </w:rPr>
      </w:pPr>
    </w:p>
    <w:p>
      <w:pPr>
        <w:sectPr>
          <w:pgSz w:w="11900" w:h="16838" w:orient="portrait"/>
          <w:cols w:equalWidth="0" w:num="2">
            <w:col w:w="4740" w:space="420"/>
            <w:col w:w="6060"/>
          </w:cols>
          <w:pgMar w:left="240" w:top="459" w:right="43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Ÿ</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 are a non-diversified fund.</w:t>
      </w:r>
    </w:p>
    <w:p>
      <w:pPr>
        <w:spacing w:after="0" w:line="124" w:lineRule="exact"/>
        <w:rPr>
          <w:sz w:val="20"/>
          <w:szCs w:val="20"/>
          <w:color w:val="auto"/>
        </w:rPr>
      </w:pPr>
    </w:p>
    <w:p>
      <w:pPr>
        <w:sectPr>
          <w:pgSz w:w="11900" w:h="16838" w:orient="portrait"/>
          <w:cols w:equalWidth="0" w:num="2">
            <w:col w:w="4740" w:space="420"/>
            <w:col w:w="6060"/>
          </w:cols>
          <w:pgMar w:left="240" w:top="459" w:right="43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Ÿ</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lack of liquidity in our investments may adversely affect our business.</w:t>
      </w:r>
    </w:p>
    <w:p>
      <w:pPr>
        <w:spacing w:after="0" w:line="113" w:lineRule="exact"/>
        <w:rPr>
          <w:sz w:val="20"/>
          <w:szCs w:val="20"/>
          <w:color w:val="auto"/>
        </w:rPr>
      </w:pPr>
    </w:p>
    <w:p>
      <w:pPr>
        <w:sectPr>
          <w:pgSz w:w="11900" w:h="16838" w:orient="portrait"/>
          <w:cols w:equalWidth="0" w:num="2">
            <w:col w:w="4740" w:space="420"/>
            <w:col w:w="6060"/>
          </w:cols>
          <w:pgMar w:left="240" w:top="459" w:right="43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Ÿ</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Investing in our shares may involve an above average degree of risk.</w:t>
      </w:r>
    </w:p>
    <w:p>
      <w:pPr>
        <w:spacing w:after="0" w:line="124" w:lineRule="exact"/>
        <w:rPr>
          <w:sz w:val="20"/>
          <w:szCs w:val="20"/>
          <w:color w:val="auto"/>
        </w:rPr>
      </w:pPr>
    </w:p>
    <w:p>
      <w:pPr>
        <w:sectPr>
          <w:pgSz w:w="11900" w:h="16838" w:orient="portrait"/>
          <w:cols w:equalWidth="0" w:num="2">
            <w:col w:w="4740" w:space="420"/>
            <w:col w:w="6060"/>
          </w:cols>
          <w:pgMar w:left="240" w:top="459" w:right="43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Ÿ</w:t>
      </w:r>
    </w:p>
    <w:p>
      <w:pPr>
        <w:spacing w:after="0" w:line="20" w:lineRule="exact"/>
        <w:rPr>
          <w:sz w:val="20"/>
          <w:szCs w:val="20"/>
          <w:color w:val="auto"/>
        </w:rPr>
      </w:pPr>
      <w:r>
        <w:rPr>
          <w:sz w:val="20"/>
          <w:szCs w:val="20"/>
          <w:color w:val="auto"/>
        </w:rPr>
        <w:br w:type="column"/>
      </w:r>
    </w:p>
    <w:p>
      <w:pPr>
        <w:ind w:right="100"/>
        <w:spacing w:after="0" w:line="306" w:lineRule="auto"/>
        <w:rPr>
          <w:sz w:val="20"/>
          <w:szCs w:val="20"/>
          <w:color w:val="auto"/>
        </w:rPr>
      </w:pPr>
      <w:r>
        <w:rPr>
          <w:rFonts w:ascii="Arial" w:cs="Arial" w:eastAsia="Arial" w:hAnsi="Arial"/>
          <w:sz w:val="16"/>
          <w:szCs w:val="16"/>
          <w:color w:val="auto"/>
        </w:rPr>
        <w:t>Since we intend to use debt to finance our investments prior to the completion of this offering and we may obtain additional debt financing subsequent to this offering, changes in interest rates may affect our cost of capital and net investment income.</w:t>
      </w:r>
    </w:p>
    <w:p>
      <w:pPr>
        <w:spacing w:after="0" w:line="26" w:lineRule="exact"/>
        <w:rPr>
          <w:sz w:val="20"/>
          <w:szCs w:val="20"/>
          <w:color w:val="auto"/>
        </w:rPr>
      </w:pPr>
    </w:p>
    <w:p>
      <w:pPr>
        <w:sectPr>
          <w:pgSz w:w="11900" w:h="16838" w:orient="portrait"/>
          <w:cols w:equalWidth="0" w:num="2">
            <w:col w:w="4740" w:space="420"/>
            <w:col w:w="6060"/>
          </w:cols>
          <w:pgMar w:left="240" w:top="459" w:right="43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Ÿ</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We will need to raise additional capital to grow because we must distribute most of our income.</w:t>
      </w:r>
    </w:p>
    <w:p>
      <w:pPr>
        <w:spacing w:after="0" w:line="51" w:lineRule="exact"/>
        <w:rPr>
          <w:sz w:val="20"/>
          <w:szCs w:val="20"/>
          <w:color w:val="auto"/>
        </w:rPr>
      </w:pPr>
    </w:p>
    <w:p>
      <w:pPr>
        <w:sectPr>
          <w:pgSz w:w="11900" w:h="16838" w:orient="portrait"/>
          <w:cols w:equalWidth="0" w:num="2">
            <w:col w:w="4740" w:space="420"/>
            <w:col w:w="6060"/>
          </w:cols>
          <w:pgMar w:left="240" w:top="459" w:right="43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Ÿ</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and we cannot assure you that the market price of our shares will not decline following the offering.</w:t>
      </w:r>
    </w:p>
    <w:p>
      <w:pPr>
        <w:spacing w:after="0" w:line="59" w:lineRule="exact"/>
        <w:rPr>
          <w:sz w:val="20"/>
          <w:szCs w:val="20"/>
          <w:color w:val="auto"/>
        </w:rPr>
      </w:pPr>
    </w:p>
    <w:p>
      <w:pPr>
        <w:sectPr>
          <w:pgSz w:w="11900" w:h="16838" w:orient="portrait"/>
          <w:cols w:equalWidth="0" w:num="2">
            <w:col w:w="4740" w:space="420"/>
            <w:col w:w="6060"/>
          </w:cols>
          <w:pgMar w:left="240" w:top="459" w:right="439" w:bottom="1440" w:gutter="0" w:footer="0" w:header="0"/>
          <w:type w:val="continuous"/>
        </w:sectPr>
      </w:pPr>
    </w:p>
    <w:p>
      <w:pPr>
        <w:ind w:left="4180" w:right="100"/>
        <w:spacing w:after="0" w:line="268" w:lineRule="auto"/>
        <w:rPr>
          <w:sz w:val="20"/>
          <w:szCs w:val="20"/>
          <w:color w:val="auto"/>
        </w:rPr>
      </w:pPr>
      <w:r>
        <w:rPr>
          <w:rFonts w:ascii="Arial" w:cs="Arial" w:eastAsia="Arial" w:hAnsi="Arial"/>
          <w:sz w:val="18"/>
          <w:szCs w:val="18"/>
          <w:color w:val="auto"/>
        </w:rPr>
        <w:t>See “Risk Factors” beginning on page 13 for more information on these and other risks you should carefully consider before deciding to invest in shares of our common stock.</w:t>
      </w:r>
    </w:p>
    <w:p>
      <w:pPr>
        <w:sectPr>
          <w:pgSz w:w="11900" w:h="16838" w:orient="portrait"/>
          <w:cols w:equalWidth="0" w:num="1">
            <w:col w:w="11220"/>
          </w:cols>
          <w:pgMar w:left="240" w:top="459" w:right="439" w:bottom="1440" w:gutter="0" w:footer="0" w:header="0"/>
          <w:type w:val="continuous"/>
        </w:sectPr>
      </w:pPr>
    </w:p>
    <w:p>
      <w:pPr>
        <w:spacing w:after="0" w:line="1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Available information</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have filed with the SEC a registration statement on Form N-2 under the Securities Act of 1933, as amended, or the “Securities Act,” which contains additional information about us and the shares of our common stock being offered by this prospectus. After completion of this offering, we will be</w:t>
      </w:r>
    </w:p>
    <w:p>
      <w:pPr>
        <w:spacing w:after="0" w:line="1" w:lineRule="exact"/>
        <w:rPr>
          <w:sz w:val="20"/>
          <w:szCs w:val="20"/>
          <w:color w:val="auto"/>
        </w:rPr>
      </w:pPr>
    </w:p>
    <w:p>
      <w:pPr>
        <w:sectPr>
          <w:pgSz w:w="11900" w:h="16838" w:orient="portrait"/>
          <w:cols w:equalWidth="0" w:num="2">
            <w:col w:w="3460" w:space="720"/>
            <w:col w:w="7040"/>
          </w:cols>
          <w:pgMar w:left="240" w:top="459" w:right="439" w:bottom="1440" w:gutter="0" w:footer="0" w:header="0"/>
          <w:type w:val="continuous"/>
        </w:sectPr>
      </w:pPr>
    </w:p>
    <w:p>
      <w:pPr>
        <w:ind w:left="4180"/>
        <w:spacing w:after="0" w:line="302" w:lineRule="auto"/>
        <w:rPr>
          <w:sz w:val="20"/>
          <w:szCs w:val="20"/>
          <w:color w:val="auto"/>
        </w:rPr>
      </w:pPr>
      <w:r>
        <w:rPr>
          <w:rFonts w:ascii="Arial" w:cs="Arial" w:eastAsia="Arial" w:hAnsi="Arial"/>
          <w:sz w:val="16"/>
          <w:szCs w:val="16"/>
          <w:color w:val="auto"/>
        </w:rPr>
        <w:t xml:space="preserve">required to file periodic reports, proxy statements and other information with the Securities and Exchange Commission, or the SEC. This information will be available at the SEC’s public reference room in Washington, D.C. and on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42" w:lineRule="exact"/>
        <w:rPr>
          <w:sz w:val="20"/>
          <w:szCs w:val="20"/>
          <w:color w:val="auto"/>
        </w:rPr>
      </w:pPr>
    </w:p>
    <w:p>
      <w:pPr>
        <w:ind w:left="4180"/>
        <w:spacing w:after="0" w:line="294" w:lineRule="auto"/>
        <w:rPr>
          <w:sz w:val="20"/>
          <w:szCs w:val="20"/>
          <w:color w:val="auto"/>
        </w:rPr>
      </w:pPr>
      <w:r>
        <w:rPr>
          <w:rFonts w:ascii="Arial" w:cs="Arial" w:eastAsia="Arial" w:hAnsi="Arial"/>
          <w:sz w:val="15"/>
          <w:szCs w:val="15"/>
          <w:color w:val="auto"/>
        </w:rPr>
        <w:t xml:space="preserve">We maintain a website at </w:t>
      </w:r>
      <w:r>
        <w:rPr>
          <w:rFonts w:ascii="Arial" w:cs="Arial" w:eastAsia="Arial" w:hAnsi="Arial"/>
          <w:sz w:val="15"/>
          <w:szCs w:val="15"/>
          <w:i w:val="1"/>
          <w:iCs w:val="1"/>
          <w:color w:val="auto"/>
        </w:rPr>
        <w:t>http://www.pennantpark.com</w:t>
      </w:r>
      <w:r>
        <w:rPr>
          <w:rFonts w:ascii="Arial" w:cs="Arial" w:eastAsia="Arial" w:hAnsi="Arial"/>
          <w:sz w:val="15"/>
          <w:szCs w:val="15"/>
          <w:color w:val="auto"/>
        </w:rPr>
        <w:t xml:space="preserve"> and intend to make all of our annual, quarterly and current reports, proxy statements and other information available, free of charge, on or through our website. You may also obtain such information by contacting us in writing at: 445 Park</w:t>
      </w:r>
    </w:p>
    <w:p>
      <w:pPr>
        <w:spacing w:after="0" w:line="1" w:lineRule="exact"/>
        <w:rPr>
          <w:sz w:val="20"/>
          <w:szCs w:val="20"/>
          <w:color w:val="auto"/>
        </w:rPr>
      </w:pPr>
    </w:p>
    <w:p>
      <w:pPr>
        <w:ind w:left="4180" w:right="180"/>
        <w:spacing w:after="0" w:line="221" w:lineRule="auto"/>
        <w:rPr>
          <w:sz w:val="20"/>
          <w:szCs w:val="20"/>
          <w:color w:val="auto"/>
        </w:rPr>
      </w:pPr>
      <w:r>
        <w:rPr>
          <w:rFonts w:ascii="Arial" w:cs="Arial" w:eastAsia="Arial" w:hAnsi="Arial"/>
          <w:sz w:val="18"/>
          <w:szCs w:val="18"/>
          <w:color w:val="auto"/>
        </w:rPr>
        <w:t>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 Attn: Chief Financial Officer, or by telephone at (212) 307-3280.</w:t>
      </w: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table is intended to assist you in understanding the costs and expenses that an investor in this offering will bear directly or indirectly.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“us” or “PennantPark,” or that “we” will pay fees or expenses, stockholders will indirectly bear such fees or expenses as investors in PennantPark.</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Sales load (as a percentage of offering price)</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None  (3)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 transaction expenses (as a percentage of offering price)</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Incentive fees payable under Investment Management Agreement (20% of realized capital gains and 20% of Pre-Incentive Fee</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0.00%(5)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Interest accrued on borrowed funds</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0.17  (6)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Other expenses</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Acquired Fund Fees and Expenses</w:t>
            </w: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None  (8)</w:t>
            </w:r>
          </w:p>
        </w:tc>
        <w:tc>
          <w:tcPr>
            <w:tcW w:w="0" w:type="dxa"/>
            <w:vAlign w:val="bottom"/>
          </w:tcPr>
          <w:p>
            <w:pPr>
              <w:spacing w:after="0"/>
              <w:rPr>
                <w:sz w:val="1"/>
                <w:szCs w:val="1"/>
                <w:color w:val="auto"/>
              </w:rPr>
            </w:pPr>
          </w:p>
        </w:tc>
      </w:tr>
      <w:tr>
        <w:trPr>
          <w:trHeight w:val="20"/>
        </w:trPr>
        <w:tc>
          <w:tcPr>
            <w:tcW w:w="10460" w:type="dxa"/>
            <w:vAlign w:val="bottom"/>
            <w:gridSpan w:val="2"/>
            <w:vMerge w:val="restart"/>
          </w:tcPr>
          <w:p>
            <w:pPr>
              <w:spacing w:after="0"/>
              <w:rPr>
                <w:sz w:val="20"/>
                <w:szCs w:val="20"/>
                <w:color w:val="auto"/>
              </w:rPr>
            </w:pPr>
            <w:r>
              <w:rPr>
                <w:rFonts w:ascii="Arial" w:cs="Arial" w:eastAsia="Arial" w:hAnsi="Arial"/>
                <w:sz w:val="18"/>
                <w:szCs w:val="18"/>
                <w:color w:val="auto"/>
              </w:rPr>
              <w:t>Total annual expenses (estimated)</w:t>
            </w: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460" w:type="dxa"/>
            <w:vAlign w:val="bottom"/>
            <w:gridSpan w:val="2"/>
            <w:vMerge w:val="continue"/>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w w:val="90"/>
              </w:rPr>
              <w:t>3.58%(4)(7)</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we would have no indebtedness and that our annual operating expenses remain at the levels set forth in the table above.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3 years</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5 years</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10 years</w:t>
            </w:r>
          </w:p>
        </w:tc>
        <w:tc>
          <w:tcPr>
            <w:tcW w:w="20" w:type="dxa"/>
            <w:vAlign w:val="bottom"/>
          </w:tcPr>
          <w:p>
            <w:pPr>
              <w:spacing w:after="0"/>
              <w:rPr>
                <w:sz w:val="14"/>
                <w:szCs w:val="14"/>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You would pay the following expenses on a $1,000 investment, assuming a 5% annual return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$96.43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$403.98</w:t>
            </w:r>
          </w:p>
        </w:tc>
        <w:tc>
          <w:tcPr>
            <w:tcW w:w="20" w:type="dxa"/>
            <w:vAlign w:val="bottom"/>
          </w:tcPr>
          <w:p>
            <w:pPr>
              <w:spacing w:after="0"/>
              <w:rPr>
                <w:sz w:val="18"/>
                <w:szCs w:val="18"/>
                <w:color w:val="auto"/>
              </w:rPr>
            </w:pPr>
          </w:p>
        </w:tc>
      </w:tr>
    </w:tbl>
    <w:p>
      <w:pPr>
        <w:spacing w:after="0" w:line="12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While the example assumes, as required by the SEC, a 5% annual return, our performance will vary and may result in a return greater or less than 5%. Additionally, we have assumed that the entire amount of such 5% annual return would constitute ordinary income as we do not expect to realize significant amounts of positive capital gains (computed net of all realized capital losses and unrealized capital depreciation) on our investments in the foreseeable future. Because the assumed 5% annual return is significantly below the hurdle rate (described in note 5 below) of 7% (annualized) that we must achieve under the Investment Management Agreement to trigger the payment of an income-based incentive fee, we have assumed, for purposes of the above example, that no income-based incentive fee would be payable if we realized a 5% annual return on our investments. Additionally, because we do not expect to realize significant amounts of positive capital gains (computed net of all realized capital losses and unrealized capital depreciation) on our investments for the foreseeable future, we have assumed that we will not trigger the payment of any capital gains-based incentive fee in any of the indicated time periods. If we achieve sufficient returns on our investments, including through the realization of capital gains, to trigger an incentive fee of a material amount, our expenses and returns to our investors would be higher. In addition, the example assumes inclusion of the sales load of $65 in the first year and reinvestment of all dividends and other distributions at net asset value. Participants in our dividend reinvestment plan will receive a number of shares of our common stock determined by dividing the total dollar amount of the distribution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674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36747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0"/>
        <w:spacing w:after="0" w:line="268" w:lineRule="auto"/>
        <w:rPr>
          <w:sz w:val="20"/>
          <w:szCs w:val="20"/>
          <w:color w:val="auto"/>
        </w:rPr>
      </w:pPr>
      <w:r>
        <w:rPr>
          <w:rFonts w:ascii="Arial" w:cs="Arial" w:eastAsia="Arial" w:hAnsi="Arial"/>
          <w:sz w:val="18"/>
          <w:szCs w:val="18"/>
          <w:color w:val="auto"/>
        </w:rPr>
        <w:t>payable to a participant by the market price per share of our common stock at the close of trading on the valuation date for the distribution. See “Dividend Reinvestment Plan” for additional information regarding our dividend reinvestment plan.</w:t>
      </w:r>
    </w:p>
    <w:p>
      <w:pPr>
        <w:spacing w:after="0" w:line="99" w:lineRule="exact"/>
        <w:rPr>
          <w:sz w:val="20"/>
          <w:szCs w:val="20"/>
          <w:color w:val="auto"/>
        </w:rPr>
      </w:pPr>
    </w:p>
    <w:p>
      <w:pPr>
        <w:ind w:left="200" w:right="280" w:firstLine="443"/>
        <w:spacing w:after="0" w:line="275" w:lineRule="auto"/>
        <w:rPr>
          <w:sz w:val="20"/>
          <w:szCs w:val="20"/>
          <w:color w:val="auto"/>
        </w:rPr>
      </w:pPr>
      <w:r>
        <w:rPr>
          <w:rFonts w:ascii="Arial" w:cs="Arial" w:eastAsia="Arial" w:hAnsi="Arial"/>
          <w:sz w:val="18"/>
          <w:szCs w:val="18"/>
          <w:b w:val="1"/>
          <w:bCs w:val="1"/>
          <w:color w:val="auto"/>
        </w:rPr>
        <w:t>This example should not be considered a representation of our future expenses, and actual expenses (including the cost of debt, if any, and other expenses) may be greater or less than those shown.</w:t>
      </w:r>
    </w:p>
    <w:p>
      <w:pPr>
        <w:spacing w:after="0" w:line="191" w:lineRule="exact"/>
        <w:rPr>
          <w:sz w:val="20"/>
          <w:szCs w:val="20"/>
          <w:color w:val="auto"/>
        </w:rPr>
      </w:pPr>
    </w:p>
    <w:p>
      <w:pPr>
        <w:ind w:left="520" w:hanging="323"/>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underwriting discount and commission with respect to shares sold in this offering, which is a one-time fee, is the only sales load paid in connection with this offering.</w:t>
      </w:r>
    </w:p>
    <w:p>
      <w:pPr>
        <w:ind w:left="520" w:hanging="323"/>
        <w:spacing w:after="0" w:line="22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 reflects estimated offering expenses of approximately $900,000.</w:t>
      </w:r>
    </w:p>
    <w:p>
      <w:pPr>
        <w:ind w:left="520" w:hanging="323"/>
        <w:spacing w:after="0" w:line="22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expenses of the dividend reinvestment plan are included in “other expenses.”</w:t>
      </w:r>
    </w:p>
    <w:p>
      <w:pPr>
        <w:ind w:left="520" w:right="120" w:hanging="323"/>
        <w:spacing w:after="0" w:line="258" w:lineRule="auto"/>
        <w:tabs>
          <w:tab w:leader="none" w:pos="5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management fee under the Investment Management Agreement is based on our gross assets. Although the base management fee will be 2.00 percent of our gross assets, the investment adviser has agreed to waive a portion of the base management fee such that the base management fee will equal 1.50 percent from the consummation of this offering through September 30, 2007,</w:t>
      </w:r>
    </w:p>
    <w:p>
      <w:pPr>
        <w:ind w:left="520"/>
        <w:spacing w:after="0"/>
        <w:rPr>
          <w:rFonts w:ascii="Arial" w:cs="Arial" w:eastAsia="Arial" w:hAnsi="Arial"/>
          <w:sz w:val="12"/>
          <w:szCs w:val="12"/>
          <w:color w:val="auto"/>
        </w:rPr>
      </w:pPr>
      <w:r>
        <w:rPr>
          <w:rFonts w:ascii="Arial" w:cs="Arial" w:eastAsia="Arial" w:hAnsi="Arial"/>
          <w:sz w:val="14"/>
          <w:szCs w:val="14"/>
          <w:color w:val="auto"/>
        </w:rPr>
        <w:t>1.75 percent from October 1, 2007 through March 31, 2008, and 2.00 percent thereafter. See “Management—Investment management agreement” and footnote 5 below.</w:t>
      </w:r>
    </w:p>
    <w:p>
      <w:pPr>
        <w:spacing w:after="0" w:line="56" w:lineRule="exact"/>
        <w:rPr>
          <w:rFonts w:ascii="Arial" w:cs="Arial" w:eastAsia="Arial" w:hAnsi="Arial"/>
          <w:sz w:val="12"/>
          <w:szCs w:val="12"/>
          <w:color w:val="auto"/>
        </w:rPr>
      </w:pPr>
    </w:p>
    <w:p>
      <w:pPr>
        <w:ind w:left="520" w:right="40" w:hanging="323"/>
        <w:spacing w:after="0" w:line="270" w:lineRule="auto"/>
        <w:tabs>
          <w:tab w:leader="none" w:pos="5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Based on our current business plan, we anticipate that a substantial portion of the net proceeds of this offering will be invested within 12 to 18 months, and all of the net proceeds will be invested within two years, in accordance with our investment objective. We expect that it will take more than three months to invest all of the proceeds of this offering, in part because privately negotiated investments in illiquid securities or private middle-market companies require substantial due diligence and structuring. During this period, we expect that we will not have any capital gains and only an insignificant amount of interest income that will not exceed the quarterly Hurdle discussed below. As a result, we do not anticipate paying any incentive fees in the first year after the completion of this offering. Once fully invested, we expect the incentive fees we pay to increase to the extent we earn greater interest income through our investments in portfolio companies and, to a lesser extent, realize capital gains upon the sale of equity investments in our portfolio companies. The incentive fee consists of two parts:</w:t>
      </w:r>
    </w:p>
    <w:p>
      <w:pPr>
        <w:spacing w:after="0" w:line="40" w:lineRule="exact"/>
        <w:rPr>
          <w:rFonts w:ascii="Arial" w:cs="Arial" w:eastAsia="Arial" w:hAnsi="Arial"/>
          <w:sz w:val="12"/>
          <w:szCs w:val="12"/>
          <w:color w:val="auto"/>
        </w:rPr>
      </w:pPr>
    </w:p>
    <w:p>
      <w:pPr>
        <w:ind w:left="520"/>
        <w:spacing w:after="0" w:line="288" w:lineRule="auto"/>
        <w:rPr>
          <w:rFonts w:ascii="Arial" w:cs="Arial" w:eastAsia="Arial" w:hAnsi="Arial"/>
          <w:sz w:val="12"/>
          <w:szCs w:val="12"/>
          <w:color w:val="auto"/>
        </w:rPr>
      </w:pPr>
      <w:r>
        <w:rPr>
          <w:rFonts w:ascii="Arial" w:cs="Arial" w:eastAsia="Arial" w:hAnsi="Arial"/>
          <w:sz w:val="12"/>
          <w:szCs w:val="12"/>
          <w:color w:val="auto"/>
        </w:rPr>
        <w:t>The first part, which is payable quarterly in arrears, will equal 20% of the excess, if any, of our “Pre-Incentive Fee Net Investment Income” that exceeds a 1.75% quarterly (7.00% annualized) hurdle rate (the “Hurdle”), subject to a “catch-up” provision measured at the end of each calendar quarter. The first part of the incentive fee will be computed and paid on income that may include interest that is accrued but not yet received in cash. The operation of the first part of the incentive fee for each quarter is as follows:</w:t>
      </w:r>
    </w:p>
    <w:p>
      <w:pPr>
        <w:spacing w:after="0" w:line="29" w:lineRule="exact"/>
        <w:rPr>
          <w:rFonts w:ascii="Arial" w:cs="Arial" w:eastAsia="Arial" w:hAnsi="Arial"/>
          <w:sz w:val="12"/>
          <w:szCs w:val="12"/>
          <w:color w:val="auto"/>
        </w:rPr>
      </w:pPr>
    </w:p>
    <w:p>
      <w:pPr>
        <w:ind w:left="960" w:hanging="439"/>
        <w:spacing w:after="0"/>
        <w:tabs>
          <w:tab w:leader="none" w:pos="960" w:val="left"/>
        </w:tabs>
        <w:numPr>
          <w:ilvl w:val="1"/>
          <w:numId w:val="3"/>
        </w:numPr>
        <w:rPr>
          <w:rFonts w:ascii="Arial" w:cs="Arial" w:eastAsia="Arial" w:hAnsi="Arial"/>
          <w:sz w:val="12"/>
          <w:szCs w:val="12"/>
          <w:color w:val="auto"/>
        </w:rPr>
      </w:pPr>
      <w:r>
        <w:rPr>
          <w:rFonts w:ascii="Arial" w:cs="Arial" w:eastAsia="Arial" w:hAnsi="Arial"/>
          <w:sz w:val="12"/>
          <w:szCs w:val="12"/>
          <w:color w:val="auto"/>
        </w:rPr>
        <w:t>no incentive fee is payable to our investment adviser in any calendar quarter in which our Pre-Incentive Fee Net Investment Income does not exceed the Hurdle of 1.75%;</w:t>
      </w:r>
    </w:p>
    <w:p>
      <w:pPr>
        <w:spacing w:after="0" w:line="22" w:lineRule="exact"/>
        <w:rPr>
          <w:rFonts w:ascii="Arial" w:cs="Arial" w:eastAsia="Arial" w:hAnsi="Arial"/>
          <w:sz w:val="12"/>
          <w:szCs w:val="12"/>
          <w:color w:val="auto"/>
        </w:rPr>
      </w:pPr>
    </w:p>
    <w:p>
      <w:pPr>
        <w:ind w:left="960" w:right="40" w:hanging="439"/>
        <w:spacing w:after="0" w:line="258" w:lineRule="auto"/>
        <w:tabs>
          <w:tab w:leader="none" w:pos="960" w:val="left"/>
        </w:tabs>
        <w:numPr>
          <w:ilvl w:val="1"/>
          <w:numId w:val="3"/>
        </w:numPr>
        <w:rPr>
          <w:rFonts w:ascii="Arial" w:cs="Arial" w:eastAsia="Arial" w:hAnsi="Arial"/>
          <w:sz w:val="12"/>
          <w:szCs w:val="12"/>
          <w:color w:val="auto"/>
        </w:rPr>
      </w:pPr>
      <w:r>
        <w:rPr>
          <w:rFonts w:ascii="Arial" w:cs="Arial" w:eastAsia="Arial" w:hAnsi="Arial"/>
          <w:sz w:val="12"/>
          <w:szCs w:val="12"/>
          <w:color w:val="auto"/>
        </w:rPr>
        <w:t>100% of our Pre-Incentive Fee Net Investment Income with respect to that portion of such Pre-Incentive Fee Net Investment Income, if any, that exceeds the Hurdle but is less than 2.1875% in any calendar quarter (8.75% annualized) is payable to our investment adviser. We refer to this portion of our Pre-Incentive Fee Net Investment Income (which exceeds the Hurdle but is less than 2.1875%) as the “catch-up.” The “catch-up” is meant to provide our investment adviser with 20% of our Pre-Incentive Fee Net Investment Income, as if a Hurdle did not apply when our Pre-Incentive Fee Net Investment Income exceeds 2.1875% in any calendar quarter; and</w:t>
      </w:r>
    </w:p>
    <w:p>
      <w:pPr>
        <w:ind w:left="960" w:right="80" w:hanging="439"/>
        <w:spacing w:after="0" w:line="297" w:lineRule="auto"/>
        <w:tabs>
          <w:tab w:leader="none" w:pos="960" w:val="left"/>
        </w:tabs>
        <w:numPr>
          <w:ilvl w:val="1"/>
          <w:numId w:val="3"/>
        </w:numPr>
        <w:rPr>
          <w:rFonts w:ascii="Arial" w:cs="Arial" w:eastAsia="Arial" w:hAnsi="Arial"/>
          <w:sz w:val="12"/>
          <w:szCs w:val="12"/>
          <w:color w:val="auto"/>
        </w:rPr>
      </w:pPr>
      <w:r>
        <w:rPr>
          <w:rFonts w:ascii="Arial" w:cs="Arial" w:eastAsia="Arial" w:hAnsi="Arial"/>
          <w:sz w:val="12"/>
          <w:szCs w:val="12"/>
          <w:color w:val="auto"/>
        </w:rPr>
        <w:t>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w:t>
      </w:r>
    </w:p>
    <w:p>
      <w:pPr>
        <w:spacing w:after="0" w:line="25" w:lineRule="exact"/>
        <w:rPr>
          <w:sz w:val="20"/>
          <w:szCs w:val="20"/>
          <w:color w:val="auto"/>
        </w:rPr>
      </w:pPr>
    </w:p>
    <w:p>
      <w:pPr>
        <w:ind w:left="520" w:right="60"/>
        <w:spacing w:after="0" w:line="278" w:lineRule="auto"/>
        <w:rPr>
          <w:sz w:val="20"/>
          <w:szCs w:val="20"/>
          <w:color w:val="auto"/>
        </w:rPr>
      </w:pPr>
      <w:r>
        <w:rPr>
          <w:rFonts w:ascii="Arial" w:cs="Arial" w:eastAsia="Arial" w:hAnsi="Arial"/>
          <w:sz w:val="12"/>
          <w:szCs w:val="12"/>
          <w:color w:val="auto"/>
        </w:rPr>
        <w:t>The second part of the incentive fee will equal 20% of our “Incentive Fee Capital Gains,” if any, which will equal our realized capital gains on a cumulative basis from inception through the end of each calendar year, computed net of all realized capital losses and unrealized capital depreciation on a cumulative basis, less the aggregate amount of any previously paid capital gain incentive fees. The second part of the incentive fee will be payable, in arrears, at the end of each calendar year (or upon termination of the investment advisory and management agreement, as of the termination date), commencing with the year ending December 31, 2007. For a more detailed discussion of the calculation of this fee, see “Management–Investment Management Agreement.”</w:t>
      </w: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430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24307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20" w:right="20" w:hanging="323"/>
        <w:spacing w:after="0" w:line="266" w:lineRule="auto"/>
        <w:tabs>
          <w:tab w:leader="none" w:pos="52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through our wholly owned subsidiary, Pennant SPV Company, LLC, have established a Credit Facility to fund portfolio investments prior to the consummation of this offering. From the date we entered into it through March 21, 2007, we accrued approximately $487,000 in interest expense under the Credit Facility. We anticipate repaying all of the debt incurred under the Credit Facility and terminating it upon the closing of this offering, and investors in this offering will not pay interest indirectly under the Credit Facility after we have repaid all amounts owing under it. We may also borrow funds to make investments subsequent to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PennantPark and our stockholders. We have not decided whether, and to what extent, we will finance portfolio investments using debt. After we repay the Credit Facility, we do not intend to borrow money to fund our investments until such time as we have invested substantially all of the proceeds of the offering. However, assuming we borrow for investment purposes an amount equal to 40% of our total assets (including such borrowed funds) and that the annual interest rate on the amount borrowed is 6.40%, our total annual expenses (estimated) on a gross basis would be as follows:</w:t>
      </w:r>
    </w:p>
    <w:p>
      <w:pPr>
        <w:spacing w:after="0" w:line="112"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4"/>
                <w:szCs w:val="14"/>
                <w:color w:val="auto"/>
              </w:rPr>
              <w:t>Management fees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5"/>
              </w:rPr>
              <w:t>2.00%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00" w:type="dxa"/>
            <w:vAlign w:val="bottom"/>
          </w:tcPr>
          <w:p>
            <w:pPr>
              <w:spacing w:after="0" w:line="138" w:lineRule="exact"/>
              <w:rPr>
                <w:sz w:val="20"/>
                <w:szCs w:val="20"/>
                <w:color w:val="auto"/>
              </w:rPr>
            </w:pPr>
            <w:r>
              <w:rPr>
                <w:rFonts w:ascii="Arial" w:cs="Arial" w:eastAsia="Arial" w:hAnsi="Arial"/>
                <w:sz w:val="14"/>
                <w:szCs w:val="14"/>
                <w:color w:val="auto"/>
                <w:w w:val="93"/>
              </w:rPr>
              <w:t>Incentive fees payable under investment advisory and management agreement (20% of realized capital gains and 20% of Pre-Incentive Fee Net Investment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00" w:type="dxa"/>
            <w:vAlign w:val="bottom"/>
          </w:tcPr>
          <w:p>
            <w:pPr>
              <w:ind w:left="180"/>
              <w:spacing w:after="0" w:line="159" w:lineRule="exact"/>
              <w:rPr>
                <w:sz w:val="20"/>
                <w:szCs w:val="20"/>
                <w:color w:val="auto"/>
              </w:rPr>
            </w:pPr>
            <w:r>
              <w:rPr>
                <w:rFonts w:ascii="Arial" w:cs="Arial" w:eastAsia="Arial" w:hAnsi="Arial"/>
                <w:sz w:val="14"/>
                <w:szCs w:val="14"/>
                <w:color w:val="auto"/>
              </w:rPr>
              <w:t>Income)</w:t>
            </w:r>
          </w:p>
        </w:tc>
        <w:tc>
          <w:tcPr>
            <w:tcW w:w="3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85"/>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payments on borrowed funds</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5"/>
              </w:rPr>
              <w:t>0.80%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annual expenses (estimated)</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ind w:left="520" w:right="240" w:hanging="323"/>
        <w:spacing w:after="0" w:line="233"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estimated organizational expenses of $218,000 (which are non-recurring) and our overhead expenses, including payments under the Administration Agreement, based on our projected allocable portion of overhead and other expenses incurred by PennantPark Administration in performing its obligations under the Administration Agreement. See “Management—Administration Agreement.”</w:t>
      </w:r>
    </w:p>
    <w:p>
      <w:pPr>
        <w:spacing w:after="0" w:line="57" w:lineRule="exact"/>
        <w:rPr>
          <w:rFonts w:ascii="Arial" w:cs="Arial" w:eastAsia="Arial" w:hAnsi="Arial"/>
          <w:sz w:val="14"/>
          <w:szCs w:val="14"/>
          <w:color w:val="auto"/>
        </w:rPr>
      </w:pPr>
    </w:p>
    <w:p>
      <w:pPr>
        <w:ind w:left="520" w:hanging="323"/>
        <w:spacing w:after="0" w:line="278" w:lineRule="auto"/>
        <w:tabs>
          <w:tab w:leader="none" w:pos="52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have no current intention to invest in the securities or other investment instruments of investment companies, other than our wholly owned subsidiary, Pennant SPV Company, LLC. However, we are permitted to make such investments in limited circumstances under the 1940 Act. If we were to make such investments, we would incur fees and our shareholders would pay two levels of fees. As we have no current expectation of making any such investments, any estimate of the amount of such fees would be highly speculative. Our wholly owned subsidiary, Pennant SPV Company, LLC, which holds investments acquired prior to the closing of this offering, is technically an investment company; however, this subsidiary will charge no additional fees.</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5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Before you invest in our shares, you should be aware of various risks, including those described below. You should carefully consider these risk factors, together with all of the other information included in this prospectus, before you decide whether to make an investment in our common stock. The risks set out below are not the only risks we face. If any of the following events occur, our business, financial condition and results of operations could be materially adversely affected. In such case, our net asset value and the trading price of our common stock could decline, and you may lose all or part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new company with a limited operating history.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new business, including the risk that we will not achieve our investment objective and that the value of your investment could decline substantially. Although we have used, and will continue to use, the proceeds of the Credit Facility to acquire portfolio investments prior to consummation of this offering, we anticipate that it will take us up to 12 to 18 months to invest a substantial portion of the net proceeds of this offering, and up to two years to invest all of the net proceeds in accordance with our investment objective. We expect that it will take more than three months to invest all of the proceeds of this offering, in part because privately negotiated investments in illiquid securities or private middle-market companies require substantial due diligence and structuring. During this period, we will invest the net proceeds of this offering remaining after repayment of the Credit Facility in short-term investments, such as cash and cash equivalents. We expect we will earn yields substantially lower than the interest income that we anticipate receiving in respect of investments in mezzanine loans, senior secured loans and equity securities. As a result, any distributions we make during this period may be substantially lower than the distributions that we expect to pay when our portfolio is fully invested.</w:t>
      </w:r>
    </w:p>
    <w:p>
      <w:pPr>
        <w:spacing w:after="0" w:line="168" w:lineRule="exact"/>
        <w:rPr>
          <w:sz w:val="20"/>
          <w:szCs w:val="20"/>
          <w:color w:val="auto"/>
        </w:rPr>
      </w:pPr>
    </w:p>
    <w:p>
      <w:pPr>
        <w:ind w:right="540"/>
        <w:spacing w:after="0" w:line="361" w:lineRule="auto"/>
        <w:rPr>
          <w:sz w:val="20"/>
          <w:szCs w:val="20"/>
          <w:color w:val="auto"/>
        </w:rPr>
      </w:pPr>
      <w:r>
        <w:rPr>
          <w:rFonts w:ascii="Arial" w:cs="Arial" w:eastAsia="Arial" w:hAnsi="Arial"/>
          <w:sz w:val="15"/>
          <w:szCs w:val="15"/>
          <w:b w:val="1"/>
          <w:bCs w:val="1"/>
          <w:color w:val="auto"/>
        </w:rPr>
        <w:t>We are dependent upon PennantPark Investment Advisers’ key personnel for our future success, and if we are unable to hire and retain qualified personnel or if we lose any member of our management team, our ability to achieve our investment objective could be significantly harmed.</w:t>
      </w:r>
    </w:p>
    <w:p>
      <w:pPr>
        <w:ind w:right="80" w:firstLine="456"/>
        <w:spacing w:after="0" w:line="314" w:lineRule="auto"/>
        <w:rPr>
          <w:sz w:val="20"/>
          <w:szCs w:val="20"/>
          <w:color w:val="auto"/>
        </w:rPr>
      </w:pPr>
      <w:r>
        <w:rPr>
          <w:rFonts w:ascii="Arial" w:cs="Arial" w:eastAsia="Arial" w:hAnsi="Arial"/>
          <w:sz w:val="15"/>
          <w:szCs w:val="15"/>
          <w:color w:val="auto"/>
        </w:rPr>
        <w:t>We will depend on the diligence, skill and network of business contacts of the investment professionals of PennantPark Investment Advisers. We will also depend, to a significant extent, on PennantPark Investment Advisers’ access to the investment information and deal flow generated by these investment professionals and any others that may be hired by our investment adviser. Mr. Penn and other managers of PennantPark Investment Advisers will evaluate, negotiate, structure, close and monitor our investments. Our future success will depend on the continued service of Mr. Penn and other management personnel of PennantPark Investment Advisers. The departure of Mr. Penn or any other managers of PennantPark Investment Advisers could have a material adverse effect on our ability to achieve our investment objective. In addition, we can offer no assurance that PennantPark Investment Advisers will remain our investment adviser.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the efforts of a limited management team.</w:t>
      </w:r>
    </w:p>
    <w:p>
      <w:pPr>
        <w:spacing w:after="0" w:line="96"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At this time, our operations depend upon the efforts, knowledge and expertise of our management team and that of our investment adviser, including Messrs. Penn, Chang, Efrat, Giannetti and Williams. Our investment adviser intends to expand its management team to a total of seven to ten investment professionals within the first 12 months after completion of this offering. We also expect to hire a chief compliance officer promptly after completion of this offering. However, it is our investment adviser’s intention to maintain a relatively small management team. We anticipate that this team will operate without the financial and other resources and commitments typically associated with large institutional investment firms. We cannot assure you that the additional professionals our investment adviser may retain will have the expertise or experience of Mr. Penn and the other investment professionals of the investment adviser. We also cannot assure you that unforeseen business, medical, personal or other circumstances will not lead Mr. Penn or any of the other investment professionals hired by our investment adviser to terminate his or her employment with us. The loss of investment professionals of our investment adviser, if any, would be detrimental to our ability to achieve our business objectives and could have a material adverse affect on our financial condition and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its management will have limited experience managing a business development company.</w:t>
      </w:r>
    </w:p>
    <w:p>
      <w:pPr>
        <w:spacing w:after="0" w:line="9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The 1940 Act imposes numerous constraints on the operations of business development companies. For example, business development companies are required to invest at least 70% of their total assets primarily in securities of private or thinly traded U.S. public companies, cash, cash equivalents, U.S. government securities and other high quality debt investments that mature in one year or less. These constraints may hinder our investment adviser’s ability to take advantage of attractive investment opportunities and to achieve our investment objective. While Mr. Penn, our Chief Executive Officer and the Managing Member of our investment adviser, has approximately two and one-half years of experience managing the investments of another business development company, such experience may not translate directly into his roles acting on our behalf. This is also true of the other investment professionals of our investment adviser. In addition, the investment philosophy and techniques used by PennantPark Investment Advisers may differ from those other funds. Accordingly, we can offer no assurance that PennantPark will replicate the historical performance of other investment companies with which Mr. Penn or our other investment professionals has been affiliated, and we caution you that our investment returns could be substantially lower than the returns achieved by such other companies.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ability to achieve our investment objective will depend on our ability to grow, which will depend, in turn, on our investment adviser’s ability to identify, invest in and monitor companies that meet our investment criteria.</w:t>
      </w:r>
    </w:p>
    <w:p>
      <w:pPr>
        <w:spacing w:after="0" w:line="10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will have substantial responsibilities under the investment advisory and management agreement. In order to grow, we and our investment adviser will need to hire, train, supervise and manage new employees. However, we can offer no assurance that any such employees will contribute effectively to the work of the investment adviser, and caution you that they may also be called upon to provide managerial assistance to our portfolio companies as the principals of our administrator. Such demands on their time may distract them or slow our rate of investment. Any failure to manage our future growth effectively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will compete with us to make the types of investments that we plan to make in middle-market companies. We will compete with public and private funds, including other business development companies, commercial and investment banks, commercial financing companies, and, to the extent they provide an alternative form of financing, private equity funds. Additionally, because competition for investment opportunities generally has increased among alternative investment vehicles, such as hedge funds, those entities have begun to invest in areas they have not traditionally invested in, including making investments in middle- market companies. As a result of these new entrants, competition for investment opportunities at middle-market companies has intensified, and we expect the trend to continue. Many of our potential competitors are substantially larger and have considerably greater financial, technical and marketing resources than we do. For example, some competitors may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 We cannot assure you that the competitive pressures we face will not have a material adverse effect on our business, financial condition and results of operations. Also, as a result of this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competition, we may not be able to take advantage of attractive investment opportunities from time to time, and we can offer no assurance that we will be able to identify and make investments that are consistent with our investment objective.</w:t>
      </w:r>
    </w:p>
    <w:p>
      <w:pPr>
        <w:spacing w:after="0" w:line="105"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will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4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We intend to elect to be treated as a RIC. Once we have elected RIC-status, we will not be subject to corporate-level income tax unless we are unable to qualify as a RIC or fail to satisfy distribution requirements.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qualify as a RIC under the Code and obtain RIC tax benefits, we must meet certain income source, asset diversification and annual distribution requirements. For a short period (less than one month after the closing of this offering), we may not be a RIC and may be subject to corporate-level income tax. The annual distribution requirement for a RIC is satisfied if we distribute at least 90% of our ordinary income and realized net short-term capital gains in excess of realized net long-term capital losses, if any, to our stockholders on an annual basis. To the extent we use debt financing in the future, we may be subject to certain asset coverage ratio requirements under the 1940 Act and financial covenants under loan and credit agreements that could, under certain circumstances, restrict us from making distributions necessary to qualify for RIC tax benefits. If we are unable to obtain cash from other sources, we may fail to qualify for such benefits and, thus, may be subject to corporate-level income tax. To qualify as a RIC, we must also meet certain asset diversification requirements at the end of each calendar quarter. Failure to meet these tests may result in our having to dispose of certain investments quickly in order to prevent the loss of RIC status. Because we anticipate that most of our investments will be in the securities of relatively illiquid middle-market private companies, any such dispositions could be made at disadvantageous prices and may result in substantial losses. If we fail to qualify for RIC tax benefits for any reason and remain or become subject to corporate income tax, the resulting corporate taxes could substantially reduce our net assets, the amount of income available for distribution and the amount of our distributions. Such a failure would have a material adverse effect on us and our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For federal income tax purposes, we will include in income certain amounts that we have not yet received in cash, such as original issue discount, which may arise if we receive warrants in connection with the making of a loan or possibly in other circumstances, or contracted payment-in-kind, or “PIK,” interest, which represents contractual interest added to the loan balance and due at the end of the loan term. Such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89"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That part of the incentive fee payable by us that relates to our net investment income will be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1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In certain cases we may recognize income before or without receiving cash representing such income. As a result, we may have difficulty meeting the tax requirement to distribute at least 90% of our ordinary income and realized net short-term capital gains in excess of realized net long-term capital losses, if any, to obtain RIC tax benefits. Accordingly, we may have to sell some of our investments at times we would not consider advantageous, raise additional debt or equity capital or reduce new investment originations to meet these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distribution requirements. If we are not able to obtain cash from other sources, we may fail to qualify for RIC tax benefits and thus be subject to corporate level income tax. See “Material U.S. Federal Income Tax Considerations—Taxation as a RIC.”</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may issue debt securities or preferred stock and/or borrow money from banks or other financial institutions, which we refer to collectively as “senior securities,” up to the maximum amount permitted by the 1940 Act. Under the provisions of the 1940 Act, we will be permitted as a business development company to issue senior securities only in amounts such that our asset coverage, as defined in the 1940 Act, equals at least 200%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w:t>
      </w:r>
    </w:p>
    <w:p>
      <w:pPr>
        <w:spacing w:after="0" w:line="8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not generally able to issue and sell our common stock at a price below net asset value per share. We may, however, sell our common stock, at a price below the current net asset value of the common stock, or sell warrants, options or rights to acquire such common stock, at a price below the current net asset value of the common stock. To do this, our board of directors must determine that such sale is in the best interests of PennantPark and our stockholders, and our stockholders must approve PennantPark’s policy and practice of making such sales. In any such case, the price at which our securities are to be issued and sold may not be less than a price which, in the determination of our board of directors, closely approximates the market value of such securities (less any distributing commission or discount).</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issuing securities to raise capital as described above, we may in the future seek to securitize our loans to generate cash for funding new investments. To securitize loans, we may create a wholly owned subsidiary and contribute a pool of loans to the subsidiary. This could include the sale of interests in the subsidiary on a non-recourse basis to purchasers who we would expect to be willing to accept a lower interest rate to invest in investment grade loan pools, and we would retain a portion of the equity in any such securitized pool of loans. An inability to successfully securitize our loan portfolio could limit our ability to grow our business, fully execute our business strategy and decrease our earnings, if any. Moreover, the successful securitization of our loan portfolio might expose us to losses as the residual loans in which we do not sell interests will tend to be those that are riskier and more apt to generate losses.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3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Since, in addition to entering into the Credit Facility, we may obtain additional debt financing subsequent to this offering, we are exposed to the typical risks associated with leverage.</w:t>
      </w:r>
    </w:p>
    <w:p>
      <w:pPr>
        <w:spacing w:after="0" w:line="45" w:lineRule="exact"/>
        <w:rPr>
          <w:sz w:val="20"/>
          <w:szCs w:val="20"/>
          <w:color w:val="auto"/>
        </w:rPr>
      </w:pPr>
    </w:p>
    <w:p>
      <w:pPr>
        <w:ind w:left="900" w:right="76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exposed to increased risk of loss by incurring debt to make investments. If we have outstanding debt, a decrease in the value of our investments has a greater negative impact on the value of our common stock than it would if we did not use debt.</w:t>
      </w:r>
    </w:p>
    <w:p>
      <w:pPr>
        <w:spacing w:after="0" w:line="4" w:lineRule="exact"/>
        <w:rPr>
          <w:rFonts w:ascii="Arial" w:cs="Arial" w:eastAsia="Arial" w:hAnsi="Arial"/>
          <w:sz w:val="16"/>
          <w:szCs w:val="16"/>
          <w:color w:val="auto"/>
        </w:rPr>
      </w:pPr>
    </w:p>
    <w:p>
      <w:pPr>
        <w:ind w:left="900" w:right="8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pay distributions is restricted when our asset coverage ratio is not at least 200%, and any amounts that we use to service our indebtedness is not available for distributions to our common stockholders.</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existing debt is governed by the terms of the Credit Facility, and any future debt will likely be governed by an indenture or other instrument containing covenants restricting our operating flexibility.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and indirectly our stockholders, bear the cost of issuing and servicing such debt.</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convertible or exchangeable securities that we issue in the future may have rights, preferences and privileges more favorable than those of our common stock.</w:t>
      </w:r>
    </w:p>
    <w:p>
      <w:pPr>
        <w:spacing w:after="0" w:line="105"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following table is designed to illustrate the effect on return to a holder of our common stock of the leverage created by our use of borrowing, at the weighted average annual interest rate of 6.40%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Assumed Return on Portfolio (Net of Expenses)</w:t>
            </w:r>
            <w:r>
              <w:rPr>
                <w:rFonts w:ascii="Arial" w:cs="Arial" w:eastAsia="Arial" w:hAnsi="Arial"/>
                <w:sz w:val="22"/>
                <w:szCs w:val="22"/>
                <w:b w:val="1"/>
                <w:bCs w:val="1"/>
                <w:color w:val="auto"/>
                <w:vertAlign w:val="superscript"/>
              </w:rPr>
              <w:t>(1)</w:t>
            </w:r>
          </w:p>
        </w:tc>
        <w:tc>
          <w:tcPr>
            <w:tcW w:w="23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-10.0%</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-5.0%</w:t>
            </w:r>
          </w:p>
        </w:tc>
        <w:tc>
          <w:tcPr>
            <w:tcW w:w="10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0</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r>
        <w:trPr>
          <w:trHeight w:val="293"/>
        </w:trPr>
        <w:tc>
          <w:tcPr>
            <w:tcW w:w="514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22"/>
                <w:szCs w:val="22"/>
                <w:color w:val="auto"/>
                <w:vertAlign w:val="superscript"/>
              </w:rPr>
              <w:t>(2)</w:t>
            </w:r>
          </w:p>
        </w:tc>
        <w:tc>
          <w:tcPr>
            <w:tcW w:w="2320" w:type="dxa"/>
            <w:vAlign w:val="bottom"/>
          </w:tcPr>
          <w:p>
            <w:pPr>
              <w:jc w:val="right"/>
              <w:ind w:right="192"/>
              <w:spacing w:after="0"/>
              <w:rPr>
                <w:sz w:val="20"/>
                <w:szCs w:val="20"/>
                <w:color w:val="auto"/>
              </w:rPr>
            </w:pPr>
            <w:r>
              <w:rPr>
                <w:rFonts w:ascii="Arial" w:cs="Arial" w:eastAsia="Arial" w:hAnsi="Arial"/>
                <w:sz w:val="18"/>
                <w:szCs w:val="18"/>
                <w:color w:val="auto"/>
              </w:rPr>
              <w:t>-20.93%</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-12.60%</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-4.27%</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4.07%</w:t>
            </w:r>
          </w:p>
        </w:tc>
        <w:tc>
          <w:tcPr>
            <w:tcW w:w="820" w:type="dxa"/>
            <w:vAlign w:val="bottom"/>
          </w:tcPr>
          <w:p>
            <w:pPr>
              <w:jc w:val="right"/>
              <w:spacing w:after="0"/>
              <w:rPr>
                <w:sz w:val="20"/>
                <w:szCs w:val="20"/>
                <w:color w:val="auto"/>
              </w:rPr>
            </w:pPr>
            <w:r>
              <w:rPr>
                <w:rFonts w:ascii="Arial" w:cs="Arial" w:eastAsia="Arial" w:hAnsi="Arial"/>
                <w:sz w:val="18"/>
                <w:szCs w:val="18"/>
                <w:color w:val="auto"/>
              </w:rPr>
              <w:t>12.40%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2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340" w:right="100" w:hanging="332"/>
        <w:spacing w:after="0" w:line="225"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 See footnote 6 under “Fees and Expenses” for information on the assumptions included in the above calculations.</w:t>
      </w:r>
    </w:p>
    <w:p>
      <w:pPr>
        <w:spacing w:after="0" w:line="19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Since we are using debt to finance our investments prior to the completion of this offering, and we may use additional debt financing subsequent to this offering, changes in interest rates may affect our cost of capital and net investment income.</w:t>
      </w:r>
    </w:p>
    <w:p>
      <w:pPr>
        <w:spacing w:after="0" w:line="4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Since we are using debt to finance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when we have debt outstanding, our cost of funds will increase, which could reduce our net investment income. We expect that our long-term fixed-rate investments will be financed primarily with equity and long-term debt.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w:t>
      </w:r>
    </w:p>
    <w:p>
      <w:pPr>
        <w:spacing w:after="0" w:line="9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You should also be aware that 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raise additional capital to grow because we must distribute most of our income.</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We will need additional capital to fund growth in our investments once we have fully invested the proceeds of this offering. We may issue debt or equity securities or borrow from financial institutions in order to obtain this additional capital.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addition, as a business development company, we are generally required to maintain a ratio of at least 200% of total assets to total borrowings, which may restrict our ability to borrow in certain circumstances.</w:t>
      </w:r>
    </w:p>
    <w:p>
      <w:pPr>
        <w:spacing w:after="0" w:line="180"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Many of our portfolio investments will be recorded at fair value as determined in good faith by our board of directors. As a result, there will be uncertainty as to the value of our portfolio investments.</w:t>
      </w:r>
    </w:p>
    <w:p>
      <w:pPr>
        <w:spacing w:after="0" w:line="4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 large percentage of our portfolio investments will be in the form of securities that are not publicly traded. The fair value of securities and other investments that are not publicly traded may not be readily determinable. We will value these securities quarterly at fair value as determined in good faith by our board of directors. Our board of directors intends to use the services of several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such valuations, and particularly valuations of private securities and private companies, are inherently uncertain, may fluctuate over short periods of time and may be based on estimates, our determinations of fair value may differ materially from the values that would have been used if a ready market for these securities existed. Our net asset value could be adversely affected if our determinations regarding the fair value of our investments were materially higher than the values that we ultimately realize upon the disposal of such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generally make investments in private companies. Substantially all of these securities will be subject to legal and other restrictions on resale or will otherwise be less liquid than publicly traded securities. The illiquidity of our investments may make it difficult for us to sell such investments if the need arises.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executive officers and directors to be retained in the future, and the future partners of our investment adviser, PennantPark Investment Advisers, may serve as officers, directors or principals of entities that operate in the same or a related line of business as we do or of investment funds managed by affiliates of PennantPark that may be formed in the future. Accordingly, if this occurs, they may have obligations to investors in those entities, the fulfillment of which might not be in the best interests of us or our stockholders.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PennantPark Investment Advisers, and will reimburse PennantPark Investment Advisers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PennantPark Investment Advisers has interests that differ from those of our stockholders, giving rise to a conflict.</w:t>
      </w:r>
    </w:p>
    <w:p>
      <w:pPr>
        <w:spacing w:after="0" w:line="8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entered into the License Agreement with our investment adviser, pursuant to which our investment adviser has agreed to grant us a royalty-free non-exclusive license to use the name “PennantPark.” Under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License Agreement, we will have the right to use the “PennantPark” name for so long as PennantPark Investment Advisers or one of its affiliates remains our investment adviser. In addition, we will pay PennantPark Administration, an affiliate of PennantPark Investment Advisers, our allocable portion of overhead and other expenses incurred by PennantPark Administration in performing its obligations under the Administration Agreement, including rent and our allocable portion of the cost of our chief financial officer and chief compliance officer and their respective staffs. These arrangements create conflicts of interest that our board of directors must monitor.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We and our portfolio companies will be subject to regulation by laws at the local, state and federal levels. These laws and regulations, as well as their interpretation, may be changed from time to time. Accordingly, any change in these laws or regulations could have a material adverse affect on our business.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 operating policies and strategies without prior notice or stockholder approval.</w:t>
      </w:r>
    </w:p>
    <w:p>
      <w:pPr>
        <w:spacing w:after="0" w:line="17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right="540"/>
        <w:spacing w:after="0" w:line="399" w:lineRule="auto"/>
        <w:rPr>
          <w:sz w:val="20"/>
          <w:szCs w:val="20"/>
          <w:color w:val="auto"/>
        </w:rPr>
      </w:pPr>
      <w:r>
        <w:rPr>
          <w:rFonts w:ascii="Arial" w:cs="Arial" w:eastAsia="Arial" w:hAnsi="Arial"/>
          <w:sz w:val="15"/>
          <w:szCs w:val="15"/>
          <w:color w:val="auto"/>
        </w:rPr>
        <w:t xml:space="preserve">We intend to invest primarily in senior secured term loans, mezzanine debt and selected equity investments issued by middle-market companies. </w:t>
      </w:r>
      <w:r>
        <w:rPr>
          <w:rFonts w:ascii="Arial" w:cs="Arial" w:eastAsia="Arial" w:hAnsi="Arial"/>
          <w:sz w:val="15"/>
          <w:szCs w:val="15"/>
          <w:i w:val="1"/>
          <w:iCs w:val="1"/>
          <w:color w:val="auto"/>
        </w:rPr>
        <w:t xml:space="preserve">Senior Secured Loans. </w:t>
      </w:r>
      <w:r>
        <w:rPr>
          <w:rFonts w:ascii="Arial" w:cs="Arial" w:eastAsia="Arial" w:hAnsi="Arial"/>
          <w:sz w:val="15"/>
          <w:szCs w:val="15"/>
          <w:color w:val="auto"/>
        </w:rPr>
        <w:t>When we extend senior secured term loans, we will generally take a security interest in the available assets of these portfolio</w:t>
      </w:r>
    </w:p>
    <w:p>
      <w:pPr>
        <w:ind w:right="20"/>
        <w:spacing w:after="0" w:line="288" w:lineRule="auto"/>
        <w:rPr>
          <w:sz w:val="20"/>
          <w:szCs w:val="20"/>
          <w:color w:val="auto"/>
        </w:rPr>
      </w:pPr>
      <w:r>
        <w:rPr>
          <w:rFonts w:ascii="Arial" w:cs="Arial" w:eastAsia="Arial" w:hAnsi="Arial"/>
          <w:sz w:val="16"/>
          <w:szCs w:val="16"/>
          <w:color w:val="auto"/>
        </w:rPr>
        <w:t>companies, including the equity interests of their subsidiaries. We expect this security interest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Mezzanine Debt</w:t>
      </w:r>
      <w:r>
        <w:rPr>
          <w:rFonts w:ascii="Arial" w:cs="Arial" w:eastAsia="Arial" w:hAnsi="Arial"/>
          <w:sz w:val="18"/>
          <w:szCs w:val="18"/>
          <w:color w:val="auto"/>
        </w:rPr>
        <w:t>. Our mezzanine debt investments will generally be subordinated to senior loans and will generally be unsecured. This may result in an</w:t>
      </w:r>
      <w:r>
        <w:rPr>
          <w:rFonts w:ascii="Arial" w:cs="Arial" w:eastAsia="Arial" w:hAnsi="Arial"/>
          <w:sz w:val="18"/>
          <w:szCs w:val="18"/>
          <w:i w:val="1"/>
          <w:iCs w:val="1"/>
          <w:color w:val="auto"/>
        </w:rPr>
        <w:t xml:space="preserve"> </w:t>
      </w:r>
      <w:r>
        <w:rPr>
          <w:rFonts w:ascii="Arial" w:cs="Arial" w:eastAsia="Arial" w:hAnsi="Arial"/>
          <w:sz w:val="18"/>
          <w:szCs w:val="18"/>
          <w:color w:val="auto"/>
        </w:rPr>
        <w:t>above average amount of risk and volatility or a loss of principal.</w:t>
      </w:r>
    </w:p>
    <w:p>
      <w:pPr>
        <w:spacing w:after="0" w:line="105"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any cash prior to the maturity of some of our mezzanine debt investment, such investments will be of greater risk than amortizing loans.</w:t>
      </w:r>
    </w:p>
    <w:p>
      <w:pPr>
        <w:spacing w:after="0" w:line="6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Equity Investments</w:t>
      </w:r>
      <w:r>
        <w:rPr>
          <w:rFonts w:ascii="Arial" w:cs="Arial" w:eastAsia="Arial" w:hAnsi="Arial"/>
          <w:sz w:val="18"/>
          <w:szCs w:val="18"/>
          <w:color w:val="auto"/>
        </w:rPr>
        <w:t>. We expect to make selected equity investments. In addition, when we invest in first and second lien senior loans or mezzanine debt, we</w:t>
      </w:r>
      <w:r>
        <w:rPr>
          <w:rFonts w:ascii="Arial" w:cs="Arial" w:eastAsia="Arial" w:hAnsi="Arial"/>
          <w:sz w:val="18"/>
          <w:szCs w:val="18"/>
          <w:i w:val="1"/>
          <w:iCs w:val="1"/>
          <w:color w:val="auto"/>
        </w:rPr>
        <w:t xml:space="preserve"> </w:t>
      </w:r>
      <w:r>
        <w:rPr>
          <w:rFonts w:ascii="Arial" w:cs="Arial" w:eastAsia="Arial" w:hAnsi="Arial"/>
          <w:sz w:val="18"/>
          <w:szCs w:val="18"/>
          <w:color w:val="auto"/>
        </w:rPr>
        <w:t>may acquire warrants to purchase equity securities. Our goal 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ultimately to dispose of these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jc w:val="both"/>
        <w:ind w:left="900" w:right="26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2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20" w:hanging="446"/>
        <w:spacing w:after="0" w:line="29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18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We have not yet identified all of the portfolio company investments we intend to acquire using borrowings under the Credit Facility or the proceeds of this offering.</w:t>
      </w:r>
    </w:p>
    <w:p>
      <w:pPr>
        <w:spacing w:after="0" w:line="4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used, and expect to continue to use, amounts borrowed under the Credit Facility to acquire interests in senior secured loans and other debt obligations. However, we have not yet identified all of the potential investments for our portfolio that we will purchase prior to the offering. As a result, you will be unable to evaluate all of our specific portfolio company investments prior to purchasing shares of our common stock. Additionally, our investment adviser will select our investments subsequent to the closing of this offering, and our stockholders will have no input with respect to such investment decisions. These factors increase the uncertainty, and thus the risk, of investing in our shares.</w:t>
      </w:r>
    </w:p>
    <w:p>
      <w:pPr>
        <w:spacing w:after="0" w:line="19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If we do not invest a sufficient portion of our assets in qualifying assets, we could fail to qualify as a business development company or be precluded from investing according to our current business strategy.</w:t>
      </w:r>
    </w:p>
    <w:p>
      <w:pPr>
        <w:spacing w:after="0" w:line="4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a business development company, we may not acquire any assets other than “qualifying assets” unless, at the time of and after giving effect to such acquisition, at least 70% of our total assets are qualifying assets. See “Regulation.”</w:t>
      </w:r>
    </w:p>
    <w:p>
      <w:pPr>
        <w:spacing w:after="0" w:line="10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believe that most of our senior and mezzanine loans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could lose our status as a business development company, which would have a material adverse effect on our business, financial condition and results of operations. Similarly, these rules could prevent us from making follow-on investments in existing portfolio companies (which could result in the dilution of our position) or could require us to dispose of investments at inappropriate times in order to comply with the 1940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3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4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Many of our portfolio companies may be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increasing investments and harm our operating results.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interests and subordinate all or a portion of our claim to that of other creditors. This could occur even though we may have structured our investment as senior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gains from our equity investments.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When we invest in mezzanine loans or senior secured loans, we may also invest in the equity securities of the borrower or acquire warrant or other equity securities as well. In addition, we may invest directly in the equity securities of portfolio companies. Our goal is ultimately to dispose of such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make follow-on investments in our portfolio companies could impair the value of our portfolio.</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5620" w:right="5360" w:hanging="5166"/>
        <w:spacing w:after="0" w:line="525" w:lineRule="auto"/>
        <w:tabs>
          <w:tab w:leader="none" w:pos="893"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 or maintain in whole or in part our equity ownership percentage; 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64" w:lineRule="exact"/>
        <w:rPr>
          <w:sz w:val="20"/>
          <w:szCs w:val="20"/>
          <w:color w:val="auto"/>
        </w:rPr>
      </w:pPr>
    </w:p>
    <w:p>
      <w:pPr>
        <w:ind w:right="540"/>
        <w:spacing w:after="0" w:line="338" w:lineRule="auto"/>
        <w:rPr>
          <w:sz w:val="20"/>
          <w:szCs w:val="20"/>
          <w:color w:val="auto"/>
        </w:rPr>
      </w:pPr>
      <w:r>
        <w:rPr>
          <w:rFonts w:ascii="Arial" w:cs="Arial" w:eastAsia="Arial" w:hAnsi="Arial"/>
          <w:sz w:val="16"/>
          <w:szCs w:val="16"/>
          <w:b w:val="1"/>
          <w:bCs w:val="1"/>
          <w:color w:val="auto"/>
        </w:rPr>
        <w:t>Because we will generally not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may do so in the future, we do not currently anticipate taking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will typically hold in our portfolio companies, we may not be able to dispose of our investments in the event we disagree with the actions of a portfolio company, and may therefore suffer a decrease in the value of our investments.</w:t>
      </w:r>
    </w:p>
    <w:p>
      <w:pPr>
        <w:spacing w:after="0" w:line="19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will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adversely affect our investment returns as compared to companies investing primarily in the securities of public companies.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intend to invest primarily in mezzanine loans, senior secured loans and equity securities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PennantPark Investment Advisers to make speculative investments.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including investors in this offering. In addition, the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9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incentive fee payable by us to our investment adviser also may induce PennantPark Investment Advisers to invest on our behalf in instruments that have a deferred interest feature, even if such deferred payments would not provide cash necessary to enable us to pay current distributions to our stockholders. Under these investments, we would accrue interest over the life of the investment but would not receive the cash income from the investment until the end of the term. Our Pre-Incentive Fee Net Investment Income used to calculate the income portion of our investment fee, however, includes accrued interest. Thus, a portion of this incentive fee would be based on income that we have not yet received in cash.</w:t>
      </w:r>
    </w:p>
    <w:p>
      <w:pPr>
        <w:spacing w:after="0" w:line="8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including private funds.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the assets invested in the securities and instruments of other investment companies under the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investment strategy contemplates potential investments in securities of foreign companies. Investing in foreign companies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89"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9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6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9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THIS OFFERING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you may not receive distributions or that our distributions may not grow over time.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intend to make distributions on a quarterly basis to our stockholders out of assets legally available for distribution. We cannot assure you that we will achieve investment results that will allow us to make a specified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35" w:lineRule="auto"/>
        <w:rPr>
          <w:sz w:val="20"/>
          <w:szCs w:val="20"/>
          <w:color w:val="auto"/>
        </w:rPr>
      </w:pPr>
      <w:r>
        <w:rPr>
          <w:rFonts w:ascii="Arial" w:cs="Arial" w:eastAsia="Arial" w:hAnsi="Arial"/>
          <w:sz w:val="15"/>
          <w:szCs w:val="15"/>
          <w:color w:val="auto"/>
        </w:rPr>
        <w:t>level of cash distributions or year-to-year increases in cash distributions. In addition, due to the asset coverage test applicable to us as a business development company, we may be limited in our ability to make distributions. Finally, if more stockholders opt to receive cash dividends and other distributions rather than participate in our dividend reinvestment plan, we may be forced to liquidate some of our investments and raise cash in order to make distribution payments.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shares may not be suitable for someone with lower risk tolerance.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 including Mr. Penn;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this offering in ways with which you may not agree.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have significant flexibility in investing the net proceeds of this offering. Accordingly, we may use the net proceeds from this offering in ways with which you may not agree or for purposes other than those contemplated at the time of the offering.</w:t>
      </w:r>
    </w:p>
    <w:p>
      <w:pPr>
        <w:spacing w:after="0" w:line="18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Prior to this offering, there has been no public market for our common stock, and we cannot assure you that the market price of our shares will not decline following the offering.</w:t>
      </w:r>
    </w:p>
    <w:p>
      <w:pPr>
        <w:spacing w:after="0" w:line="4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cannot assure you that a trading market will develop for our common stock after this offering or, if one develops, that such trading market can be sustained. Shares of companies offered in an initial public offering often trade at a discount to the initial offering price due to underwriting discounts and related offering expenses. Also, shares of closed-end investment companies frequently trade at a discount from net asset value. This characteristic of closed-end investment companies is separate and distinct from the risk that our net asset value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per share may decline. We cannot predict whether our common stock will trade at, above or below net asset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in this offering will suffer immediate dilution upon the closing of this offering.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giving effect to the underwriting discount for this offering of $0.975 per share and offering and organizational expenses of $0.05 per share, upon the completion of this offering, taking into account the 80,000 shares purchased by PennantPark Investment Advisers in connection with the establishment of our Credit Facility and the 320,000 shares we intend to issue in a private placement immediately prior to this offering, our net asset value per share is estimated to be approximately $13.99 per share, compared to a price of $15.00 per share in this offering. Accordingly, investors purchasing shares in this offering will pay a price per share of common stock that exceeds the estimated net asset value per share of common stock after this offering by $1.01 and will bear the costs of the underwriting discount and, indirectly, other offering and organizational expenses.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substantial amounts of our common stock in the public market may have an adverse effect on the market price of our common stock.</w:t>
      </w:r>
    </w:p>
    <w:p>
      <w:pPr>
        <w:spacing w:after="0" w:line="11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Upon completion of our sale of 320,000 shares in a private placement to our officers and directors, our investment adviser and the managers of our investment adviser and this offering, we will have 20,400,000 shares of common stock outstanding (or 23,400,000 shares of common stock if the underwriters’ over-allotment option is fully exercised). Following this offering, sales of substantial amounts of our common stock or the availability of such shares for sale, could adversely affect the prevailing market prices for our common stock. If this occurs and continues, it could impair our ability to raise additional capital through the sale of equity securities should we desire to do so.</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5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Some of the statements in this prospectus constitute forward-looking statements, which relate to future events or our future performance or financial condition. The forward-looking statements contained in this prospectus involve risks and uncertainties, including statements as to:</w:t>
      </w:r>
    </w:p>
    <w:p>
      <w:pPr>
        <w:spacing w:after="0" w:line="4"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use words such as “anticipates,” “believes,” “expects,” “intends” and similar expressions to identify forward-looking statements. Our actual results could differ materially from those projected in the forward-looking statements for any reason, including the factors set forth in “Risk Factors” and elsewhere in this prospectus.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8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You should understand that under Sections 27A(b)(2)(B) and (D) of the Securities Act and Sections 21E(b)(2)(B) and (D) of the Securities Exchange Act of 1934, as amended, or the Exchange Act, the “safe harbor” provisions of the Private Securities Litigation Reform Act of 1995 do not apply to statements made in connection with this offering.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DISCUSSION OF EXPECTED OPERATING PLANS</w:t>
      </w:r>
    </w:p>
    <w:p>
      <w:pPr>
        <w:spacing w:after="0" w:line="15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The following discussion and other parts of this prospectus contain forward-looking information that involves risks and uncertainties. Our actual results could differ materially from those anticipated by such forward-looking information due to factors discussed under “Risk Factors” and “Forward-Looking Statements” appearing elsewhere in the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PennantPark was incorporated under the Maryland General Corporation Law in January 2007. We are a newly organized, externally managed, closed-end, non-diversified management investment company that intends to file an election to be treated as a business development company under the 1940 Act. As such,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 This offering will significantly increase our capital resources.</w:t>
      </w:r>
    </w:p>
    <w:p>
      <w:pPr>
        <w:spacing w:after="0" w:line="8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 objective is to generate both current income and capital appreciation through debt and equity investments. From time to time, we may also invest in public companies that are thinly traded. We anticipate that our portfolio will be comprised of investments in subordinated loans, referred to as mezzanine loans, and senior secured loans made to private U.S. middle-market companies. We expect that the companies in which we invest will typically be highly leveraged, often as a result of leveraged buy-outs or other recapitalization transactions, and, in most cases, will not be rated by national rating agencies. If such companies were rated, we believe they would typically receive a rating below investment grade (between BB and CCC under the Standard &amp; Poor’s system) from the national rating agencies. In addition, we expect the debt securities of such companies to range in maturity from three to ten years.</w:t>
      </w:r>
    </w:p>
    <w:p>
      <w:pPr>
        <w:spacing w:after="0" w:line="9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will also invest in equity securities, such as preferred stock, common stock, warrants or options received in connection with our debt investments or through direct investments. We expect that our investments in mezzanine loans, senior secured loans and other investments will range between $15 million and $50 million each, although this investment size will vary proportionately with the size of our capital base. However, we expect that our initial portfolio upon consummation of this offering will consist primarily of senior secured loans of between $3 and $10 million each.</w:t>
      </w:r>
    </w:p>
    <w:p>
      <w:pPr>
        <w:spacing w:after="0" w:line="8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March 21, 2007, we had invested approximately $234 million in senior secured loans, of which $118 million had settled. As of March 21, 2007, our portfolio consisted of investments with an average investment size of approximately $5.7 million, a weighted average yield of 7.5% and a weighted average maturity of 6.4 years. Immediately prior to the consummation of this offering, we expect that our initial portfolio of senior secured loans will total approximately $250 million. This amount will include capital commitments in respect of delayed or deferred draws under some lending facilities, which totaled approximately $15.3 million as of March 21, 2007. Over time, however, we expect that our portfolio will include a combination of senior and mezzanine loans and, to a lesser extent, equity securities. See “Discussion of Expected Operating Plans—Credit Facility” and “Business—Investments.”</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through our wholly owned subsidiary, Pennant SPV Company, LLC, have established a Credit Facility with the Lender. Under the terms of the Credit Facility, the Lender has agreed to extend credit in an aggregate principal of up to $250 million. See “Portfolio Companies.” The Credit Facility matures on the earliest to occur of (1) the closing date of an initial public offering or private placement of equity securities by PennantPark, (2) June 30, 2007, (3) the termination date of the Credit Facility by its terms and (4) any other date mutually agreed by the parties. The Credit Facility is secured by liens on substantially all of the assets in Pennant SPV, including its interests in any investments and any cash or cash equivalents held by it from time to time. Pricing under the Credit Facility is set at 175 basis points over applicable LIBOR, as that term is defined in the Credit Facility.</w:t>
      </w:r>
    </w:p>
    <w:p>
      <w:pPr>
        <w:spacing w:after="0" w:line="93" w:lineRule="exact"/>
        <w:rPr>
          <w:sz w:val="20"/>
          <w:szCs w:val="20"/>
          <w:color w:val="auto"/>
        </w:rPr>
      </w:pPr>
    </w:p>
    <w:p>
      <w:pPr>
        <w:ind w:firstLine="456"/>
        <w:spacing w:after="0" w:line="243" w:lineRule="auto"/>
        <w:rPr>
          <w:sz w:val="20"/>
          <w:szCs w:val="20"/>
          <w:color w:val="auto"/>
        </w:rPr>
      </w:pPr>
      <w:r>
        <w:rPr>
          <w:rFonts w:ascii="Arial" w:cs="Arial" w:eastAsia="Arial" w:hAnsi="Arial"/>
          <w:sz w:val="18"/>
          <w:szCs w:val="18"/>
          <w:color w:val="auto"/>
        </w:rPr>
        <w:t>In connection with the Credit Facility, our investment adviser purchased 80,000 shares of common stock from PennantPark at $15.00 per share for a total of $1.2 million. PennantPark contributed this amount to Pennant SPV Company, LLC in consideration of the purchase of all of the equity interests in Pennant SPV Company, LLC.</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While our primary focus will be to generate current income and capital appreciation through debt and equity investments in thinly traded or private U.S. companies, we may invest up to 30% of the portfolio in opportunistic investments in order to seek to enhance returns to stockholders. Such investments may include investments in high-yield bonds, distressed debt, private equity or securities of public companies that are not thinly traded and securities of middle-market companies located outside of the United States. We expect that these public companies generally will have debt securities that are non-investment grade.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plan to generate revenue in the form of interest payable on the debt securities that we hold and capital gains and distributions, if any, on the warrants or other equity interests that we may acquire in portfolio companies. We expect our debt investments, whether in the form of mezzanine loans or senior secured loans, to have a term of five to ten years and typically to bear interest at a fixed or floating rate. Interest on debt securities will be payable generally quarterly or semiannually, with the amortization of principal generally being deferred for several years from the date of the initial investment. In some cases, we will also defer payments of interest for the first few years after our investment. The principal amount of the debt securities and any accrued but unpaid interest will generally become due at the maturity date. In addition, we may generate revenue in the form of commitment, origination, structuring or diligence fees, fees for providing managerial assistance and possibly consulting fees. Loan origination fees, original issue discount and market discount are capitalized, and we then amortize such amounts as interest income. Upon the prepayment of a loan or debt security, any unamortized loan origination fees are recorded as interest income. We record prepayment premiums on loans and debt securities as interest income when we receive such amounts.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360" w:firstLine="456"/>
        <w:spacing w:after="0" w:line="286" w:lineRule="auto"/>
        <w:rPr>
          <w:sz w:val="20"/>
          <w:szCs w:val="20"/>
          <w:color w:val="auto"/>
        </w:rPr>
      </w:pPr>
      <w:r>
        <w:rPr>
          <w:rFonts w:ascii="Arial" w:cs="Arial" w:eastAsia="Arial" w:hAnsi="Arial"/>
          <w:sz w:val="16"/>
          <w:szCs w:val="16"/>
          <w:color w:val="auto"/>
        </w:rPr>
        <w:t>Our primary operating expenses subsequent to the completion of this offering will include the payment of (1) investment advisory fees to PennantPark Investment Advisers; (2) the allocable portion of overhead under the Administration Agreement; (3) the interest expense on our outstanding debt, if any, and</w:t>
      </w:r>
    </w:p>
    <w:p>
      <w:pPr>
        <w:ind w:right="100" w:firstLine="8"/>
        <w:spacing w:after="0" w:line="255" w:lineRule="auto"/>
        <w:tabs>
          <w:tab w:leader="none" w:pos="2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operating costs as detailed below. Our investment advisory fee will compensate our investment adviser for its work in identifying, evaluating, negotiating, consummating and monitoring our investments. See “Management—Investment management agreement.” We will bear all other costs and expenses of our operations and transactions, including (without limitation):</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reviews of prospective investments and investment advisory fees;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98"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other expenses incurred by either PennantPark Administration or us in connection with our organization and this offering, administering our business, including payments under the Administration Agreement that will be based upon our allocable portion of overhead, and other expenses incurred by PennantPark Administration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To the extent that any of our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futures, options, swaps and forward contracts. Costs incurred in entering into such contracts or in settling them will be borne by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will generate cash primarily from the net proceeds of this offering and any future offerings of securities and cash flows from operations, including interest earned from the temporary investment of cash in U.S. government securities and other high-quality debt investments that mature in one year or less. We will fund a portion of our investments through the Credit Facility prior to completion of this offering and, in the future, we may obtain borrowings from other banks and issuances of senior securities. We may also borrow funds subsequent to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PennantPark and our stockholders. We have not decided the extent to which we will finance our portfolio investments using debt. After we repay the Credit Facility, we do not intend to borrow money to fund our investments until such time as we have invested substantially all of the proceeds of the offering. See “Material U.S. Federal Income Tax Consideration.” In the future, we may also securitize a portion of our investments in mezzanine loans or senior secured loans or other assets. We expect that our primary use of funds will be investments in portfolio companies and repayment of amounts owing the advances under the Credit Facility, cash distributions to holders of our common stock and the payment of operating expenses, including debt service if we borrow additional amounts after completion of this offering to fund our investments. As of March 21, 2007, we had approximately $118 million outstanding and $116 million committed to be borrowed under our Credit Facility. Immediately after this offering and the consummation of the related transactions, including the repayment of advances of the Credit Facility, we expect to have cash resources of approximately $134 million and no indebtedness. This amount does not take into account proceeds, if any, from the exercise of the underwriters’ overallotment option. See “Use of Proceeds.”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Policy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board of directors will determine the timing and amount, if any, of our distributions. We intend to pay distributions on a quarterly basis. In order to avoid corporate-level tax on the income we distribute as a RIC, we must distribute to our stockholders at least 90% of our ordinary income and realized net short-term capital gains in excess of realized net long-term capital losses, if any, on an annual basis out of the assets legally available for such distributions. In addition, we also intend to distribute any realized net capital gains (i.e., realized net long-term capital gains in excess of realized net short-term capital losses) at least annually out of the assets legally available for such distributions. For a short period (less than one month after the closing of this offering), we may not be a RIC and may be subject to corporate-level income tax.</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entered into certain contracts under which we have material future commitments. We and PennantPark Investment Advisers have entered into an Interim Investment Management Agreement, dated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January 18, 2007, pursuant to which PennantPark Investment Advisers is providing investment management services to us prior to the consummation of this offering. Under the Interim Investment Management Agreement, PennantPark Investment Advisers is reimbursed for expenses and does not receive a management or incentive fee. PennantPark Investment Advisers is registered with the SEC as an investment adviser, and we expect to execute the Investment Management Agreement in accordance with the 1940 Act at the time we elect to be treated as a business development company, which we expect to occur shortly before consummation of this offering. PennantPark Investment Advisers will serve as our investment adviser subsequent to consummation of this offering in accordance with the terms of the Investment Management Agreement. Payments under the Investment Management Agreement in future periods will be equal to</w:t>
      </w:r>
    </w:p>
    <w:p>
      <w:pPr>
        <w:spacing w:after="0" w:line="1" w:lineRule="exact"/>
        <w:rPr>
          <w:sz w:val="20"/>
          <w:szCs w:val="20"/>
          <w:color w:val="auto"/>
        </w:rPr>
      </w:pPr>
    </w:p>
    <w:p>
      <w:pPr>
        <w:ind w:right="200" w:firstLine="8"/>
        <w:spacing w:after="0" w:line="261"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management fee equal to a percentage of the value of our gross assets and (2) an incentive fee based on our performance. See “Management—Investment Management Agreement.”</w:t>
      </w:r>
    </w:p>
    <w:p>
      <w:pPr>
        <w:spacing w:after="0" w:line="11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Pursuant to the Administration Agreement, PennantPark Administration furnishes us with office facilities and administrative services necessary to conduct our day-to-day operations. If requested to provide managerial assistance to our portfolio companies, PennantPark Administration will be paid an additional amount based on the services provided, which amount will not in any case exceed the amount we receive from the portfolio companies for such services. Payments under the Administration Agreement will be based upon our allocable portion of PennantPark Administration’s overhead in performing its obligations under the Administration Agreement, including rent, technology systems, insurance and our allocable portion of the costs of our chief compliance officer, chief financial officer and their respective staffs. See “Management—Administration Agreement.”</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through our wholly owned subsidiary, Pennant SPV Company, LLC, have established a Credit Facility with the Lender. Under the terms of the Credit Facility, the Lender has agreed to extend credit in an aggregate principal of up to $250 million. The Credit Facility matures on the earliest to occur of (1) the closing date of an initial public offering or private placement of equity securities by PennantPark, (2) June 30, 2007, (3) the termination date of the Credit Facility by its terms and (4) any other date mutually agreed by the parties. The Credit Facility is secured by liens on substantially all of the assets in Pennant SPV Company LLC, including its interests in any investments and any cash or cash equivalents held by it from time to time. Pricing under the Credit Facility is set at 175 basis points over applicable LIBOR, as that term is defined in the Credit Facility. From the date we entered into the Credit Facility through March 21, 2007, we accrued approximately $487,000 in interest expense pursuant to the Credit Facility.</w:t>
      </w:r>
    </w:p>
    <w:p>
      <w:pPr>
        <w:spacing w:after="0" w:line="9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Credit Facility contains affirmative and restrictive covenants, including: (a) periodic financial reporting and maintenance requirements, (b) compliance with laws, documents and certain eligibility criteria, (c) maintenance of accounts, inspections and records, (d) preservation of security interests and collateral and maintenance of liens, (e) limitations on sales of assets and the use of proceeds therefrom, (f) prohibition of fundamental changes and limitation on conduct of business, (g) limitation on restricted payments, (h) limitations on liens, (i) limitation on purchases of assets, investments and loans, (j) limitations on indebtedness and guarantees, (k) limitation on issuance of additional interests and impairment of rights, (l) security interests and (m) limitation on subsidiaries. Borrowings under the Credit Facility are subject at all times to compliance with certain eligibility criteria.</w:t>
      </w:r>
    </w:p>
    <w:p>
      <w:pPr>
        <w:spacing w:after="0" w:line="9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Credit Facility is being used to finance our investments prior to the closing of this offering. We intend to repay the Credit Facility in full upon the completion of the offering.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Information about our senior securities is shown in the following table for the period ended February 6, 2007. The information has been derived from our financial statements which have been audited by KPMG LLP.</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20" w:type="dxa"/>
            <w:vAlign w:val="bottom"/>
            <w:gridSpan w:val="2"/>
          </w:tcPr>
          <w:p>
            <w:pPr>
              <w:jc w:val="center"/>
              <w:ind w:left="632"/>
              <w:spacing w:after="0" w:line="149" w:lineRule="exact"/>
              <w:rPr>
                <w:sz w:val="20"/>
                <w:szCs w:val="20"/>
                <w:color w:val="auto"/>
              </w:rPr>
            </w:pPr>
            <w:r>
              <w:rPr>
                <w:rFonts w:ascii="Arial" w:cs="Arial" w:eastAsia="Arial" w:hAnsi="Arial"/>
                <w:sz w:val="14"/>
                <w:szCs w:val="14"/>
                <w:b w:val="1"/>
                <w:bCs w:val="1"/>
                <w:color w:val="auto"/>
                <w:w w:val="87"/>
              </w:rPr>
              <w:t>Outstanding</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0" w:type="dxa"/>
            <w:vAlign w:val="bottom"/>
            <w:gridSpan w:val="2"/>
          </w:tcPr>
          <w:p>
            <w:pPr>
              <w:jc w:val="center"/>
              <w:ind w:left="612"/>
              <w:spacing w:after="0" w:line="149" w:lineRule="exact"/>
              <w:rPr>
                <w:sz w:val="20"/>
                <w:szCs w:val="20"/>
                <w:color w:val="auto"/>
              </w:rPr>
            </w:pPr>
            <w:r>
              <w:rPr>
                <w:rFonts w:ascii="Arial" w:cs="Arial" w:eastAsia="Arial" w:hAnsi="Arial"/>
                <w:sz w:val="14"/>
                <w:szCs w:val="14"/>
                <w:b w:val="1"/>
                <w:bCs w:val="1"/>
                <w:color w:val="auto"/>
                <w:w w:val="90"/>
              </w:rPr>
              <w:t>Involuntary</w:t>
            </w:r>
          </w:p>
        </w:tc>
        <w:tc>
          <w:tcPr>
            <w:tcW w:w="6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Exclusive of</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Liquidating</w:t>
            </w:r>
          </w:p>
        </w:tc>
        <w:tc>
          <w:tcPr>
            <w:tcW w:w="6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w:t>
            </w:r>
          </w:p>
        </w:tc>
      </w:tr>
      <w:tr>
        <w:trPr>
          <w:trHeight w:val="144"/>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Treasury</w:t>
            </w:r>
          </w:p>
        </w:tc>
        <w:tc>
          <w:tcPr>
            <w:tcW w:w="1580" w:type="dxa"/>
            <w:vAlign w:val="bottom"/>
            <w:gridSpan w:val="2"/>
          </w:tcPr>
          <w:p>
            <w:pPr>
              <w:jc w:val="right"/>
              <w:spacing w:after="0" w:line="144" w:lineRule="exact"/>
              <w:rPr>
                <w:sz w:val="20"/>
                <w:szCs w:val="20"/>
                <w:color w:val="auto"/>
              </w:rPr>
            </w:pPr>
            <w:r>
              <w:rPr>
                <w:rFonts w:ascii="Arial" w:cs="Arial" w:eastAsia="Arial" w:hAnsi="Arial"/>
                <w:sz w:val="14"/>
                <w:szCs w:val="14"/>
                <w:b w:val="1"/>
                <w:bCs w:val="1"/>
                <w:color w:val="auto"/>
              </w:rPr>
              <w:t>Asset Coverage</w:t>
            </w:r>
          </w:p>
        </w:tc>
        <w:tc>
          <w:tcPr>
            <w:tcW w:w="700" w:type="dxa"/>
            <w:vAlign w:val="bottom"/>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2"/>
              </w:rPr>
              <w:t>Preference</w:t>
            </w:r>
          </w:p>
        </w:tc>
        <w:tc>
          <w:tcPr>
            <w:tcW w:w="680" w:type="dxa"/>
            <w:vAlign w:val="bottom"/>
          </w:tcPr>
          <w:p>
            <w:pPr>
              <w:spacing w:after="0"/>
              <w:rPr>
                <w:sz w:val="12"/>
                <w:szCs w:val="12"/>
                <w:color w:val="auto"/>
              </w:rPr>
            </w:pPr>
          </w:p>
        </w:tc>
        <w:tc>
          <w:tcPr>
            <w:tcW w:w="6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Value</w:t>
            </w:r>
          </w:p>
        </w:tc>
      </w:tr>
      <w:tr>
        <w:trPr>
          <w:trHeight w:val="187"/>
        </w:trPr>
        <w:tc>
          <w:tcPr>
            <w:tcW w:w="4860" w:type="dxa"/>
            <w:vAlign w:val="bottom"/>
            <w:gridSpan w:val="3"/>
          </w:tcPr>
          <w:p>
            <w:pPr>
              <w:ind w:left="860"/>
              <w:spacing w:after="0"/>
              <w:rPr>
                <w:sz w:val="20"/>
                <w:szCs w:val="20"/>
                <w:color w:val="auto"/>
              </w:rPr>
            </w:pPr>
            <w:r>
              <w:rPr>
                <w:rFonts w:ascii="Arial" w:cs="Arial" w:eastAsia="Arial" w:hAnsi="Arial"/>
                <w:sz w:val="14"/>
                <w:szCs w:val="14"/>
                <w:b w:val="1"/>
                <w:bCs w:val="1"/>
                <w:color w:val="auto"/>
              </w:rPr>
              <w:t>Class and Year</w:t>
            </w:r>
          </w:p>
        </w:tc>
        <w:tc>
          <w:tcPr>
            <w:tcW w:w="700" w:type="dxa"/>
            <w:vAlign w:val="bottom"/>
          </w:tcPr>
          <w:p>
            <w:pPr>
              <w:spacing w:after="0"/>
              <w:rPr>
                <w:sz w:val="16"/>
                <w:szCs w:val="16"/>
                <w:color w:val="auto"/>
              </w:rPr>
            </w:pPr>
          </w:p>
        </w:tc>
        <w:tc>
          <w:tcPr>
            <w:tcW w:w="720" w:type="dxa"/>
            <w:vAlign w:val="bottom"/>
          </w:tcPr>
          <w:p>
            <w:pPr>
              <w:jc w:val="center"/>
              <w:spacing w:after="0" w:line="180" w:lineRule="exact"/>
              <w:rPr>
                <w:sz w:val="20"/>
                <w:szCs w:val="20"/>
                <w:color w:val="auto"/>
              </w:rPr>
            </w:pPr>
            <w:r>
              <w:rPr>
                <w:rFonts w:ascii="Arial" w:cs="Arial" w:eastAsia="Arial" w:hAnsi="Arial"/>
                <w:sz w:val="13"/>
                <w:szCs w:val="13"/>
                <w:b w:val="1"/>
                <w:bCs w:val="1"/>
                <w:color w:val="auto"/>
                <w:w w:val="89"/>
              </w:rPr>
              <w:t>Securities</w:t>
            </w:r>
            <w:r>
              <w:rPr>
                <w:rFonts w:ascii="Arial" w:cs="Arial" w:eastAsia="Arial" w:hAnsi="Arial"/>
                <w:sz w:val="20"/>
                <w:szCs w:val="20"/>
                <w:b w:val="1"/>
                <w:bCs w:val="1"/>
                <w:color w:val="auto"/>
                <w:w w:val="89"/>
                <w:vertAlign w:val="superscript"/>
              </w:rPr>
              <w:t>(1)</w:t>
            </w:r>
          </w:p>
        </w:tc>
        <w:tc>
          <w:tcPr>
            <w:tcW w:w="700" w:type="dxa"/>
            <w:vAlign w:val="bottom"/>
          </w:tcPr>
          <w:p>
            <w:pPr>
              <w:spacing w:after="0"/>
              <w:rPr>
                <w:sz w:val="16"/>
                <w:szCs w:val="16"/>
                <w:color w:val="auto"/>
              </w:rPr>
            </w:pPr>
          </w:p>
        </w:tc>
        <w:tc>
          <w:tcPr>
            <w:tcW w:w="880" w:type="dxa"/>
            <w:vAlign w:val="bottom"/>
          </w:tcPr>
          <w:p>
            <w:pPr>
              <w:jc w:val="right"/>
              <w:ind w:right="65"/>
              <w:spacing w:after="0" w:line="180" w:lineRule="exact"/>
              <w:rPr>
                <w:sz w:val="20"/>
                <w:szCs w:val="20"/>
                <w:color w:val="auto"/>
              </w:rPr>
            </w:pPr>
            <w:r>
              <w:rPr>
                <w:rFonts w:ascii="Arial" w:cs="Arial" w:eastAsia="Arial" w:hAnsi="Arial"/>
                <w:sz w:val="13"/>
                <w:szCs w:val="13"/>
                <w:b w:val="1"/>
                <w:bCs w:val="1"/>
                <w:color w:val="auto"/>
              </w:rPr>
              <w:t>per Unit</w:t>
            </w:r>
            <w:r>
              <w:rPr>
                <w:rFonts w:ascii="Arial" w:cs="Arial" w:eastAsia="Arial" w:hAnsi="Arial"/>
                <w:sz w:val="20"/>
                <w:szCs w:val="20"/>
                <w:b w:val="1"/>
                <w:bCs w:val="1"/>
                <w:color w:val="auto"/>
                <w:vertAlign w:val="superscript"/>
              </w:rPr>
              <w:t>(2)</w:t>
            </w:r>
          </w:p>
        </w:tc>
        <w:tc>
          <w:tcPr>
            <w:tcW w:w="700" w:type="dxa"/>
            <w:vAlign w:val="bottom"/>
          </w:tcPr>
          <w:p>
            <w:pPr>
              <w:spacing w:after="0"/>
              <w:rPr>
                <w:sz w:val="16"/>
                <w:szCs w:val="16"/>
                <w:color w:val="auto"/>
              </w:rPr>
            </w:pPr>
          </w:p>
        </w:tc>
        <w:tc>
          <w:tcPr>
            <w:tcW w:w="700" w:type="dxa"/>
            <w:vAlign w:val="bottom"/>
          </w:tcPr>
          <w:p>
            <w:pPr>
              <w:jc w:val="center"/>
              <w:spacing w:after="0" w:line="180" w:lineRule="exact"/>
              <w:rPr>
                <w:sz w:val="20"/>
                <w:szCs w:val="20"/>
                <w:color w:val="auto"/>
              </w:rPr>
            </w:pPr>
            <w:r>
              <w:rPr>
                <w:rFonts w:ascii="Arial" w:cs="Arial" w:eastAsia="Arial" w:hAnsi="Arial"/>
                <w:sz w:val="13"/>
                <w:szCs w:val="13"/>
                <w:b w:val="1"/>
                <w:bCs w:val="1"/>
                <w:color w:val="auto"/>
                <w:w w:val="91"/>
              </w:rPr>
              <w:t>per Unit</w:t>
            </w:r>
            <w:r>
              <w:rPr>
                <w:rFonts w:ascii="Arial" w:cs="Arial" w:eastAsia="Arial" w:hAnsi="Arial"/>
                <w:sz w:val="20"/>
                <w:szCs w:val="20"/>
                <w:b w:val="1"/>
                <w:bCs w:val="1"/>
                <w:color w:val="auto"/>
                <w:w w:val="91"/>
                <w:vertAlign w:val="superscript"/>
              </w:rPr>
              <w:t>(3)</w:t>
            </w:r>
          </w:p>
        </w:tc>
        <w:tc>
          <w:tcPr>
            <w:tcW w:w="1300" w:type="dxa"/>
            <w:vAlign w:val="bottom"/>
            <w:gridSpan w:val="2"/>
          </w:tcPr>
          <w:p>
            <w:pPr>
              <w:jc w:val="center"/>
              <w:ind w:left="617"/>
              <w:spacing w:after="0" w:line="180" w:lineRule="exact"/>
              <w:rPr>
                <w:sz w:val="20"/>
                <w:szCs w:val="20"/>
                <w:color w:val="auto"/>
              </w:rPr>
            </w:pPr>
            <w:r>
              <w:rPr>
                <w:rFonts w:ascii="Arial" w:cs="Arial" w:eastAsia="Arial" w:hAnsi="Arial"/>
                <w:sz w:val="13"/>
                <w:szCs w:val="13"/>
                <w:b w:val="1"/>
                <w:bCs w:val="1"/>
                <w:color w:val="auto"/>
                <w:w w:val="94"/>
              </w:rPr>
              <w:t>per Unit</w:t>
            </w:r>
            <w:r>
              <w:rPr>
                <w:rFonts w:ascii="Arial" w:cs="Arial" w:eastAsia="Arial" w:hAnsi="Arial"/>
                <w:sz w:val="20"/>
                <w:szCs w:val="20"/>
                <w:b w:val="1"/>
                <w:bCs w:val="1"/>
                <w:color w:val="auto"/>
                <w:w w:val="94"/>
                <w:vertAlign w:val="superscript"/>
              </w:rPr>
              <w:t>(4)</w:t>
            </w:r>
          </w:p>
        </w:tc>
      </w:tr>
      <w:tr>
        <w:trPr>
          <w:trHeight w:val="216"/>
        </w:trPr>
        <w:tc>
          <w:tcPr>
            <w:tcW w:w="880" w:type="dxa"/>
            <w:vAlign w:val="bottom"/>
          </w:tcPr>
          <w:p>
            <w:pPr>
              <w:spacing w:after="0"/>
              <w:rPr>
                <w:sz w:val="18"/>
                <w:szCs w:val="18"/>
                <w:color w:val="auto"/>
              </w:rPr>
            </w:pPr>
          </w:p>
        </w:tc>
        <w:tc>
          <w:tcPr>
            <w:tcW w:w="3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7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3"/>
              </w:rPr>
              <w:t>N/A</w:t>
            </w:r>
          </w:p>
        </w:tc>
        <w:tc>
          <w:tcPr>
            <w:tcW w:w="6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3"/>
              </w:rPr>
              <w:t>N/A</w:t>
            </w:r>
          </w:p>
        </w:tc>
      </w:tr>
      <w:tr>
        <w:trPr>
          <w:trHeight w:val="108"/>
        </w:trPr>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r>
    </w:tbl>
    <w:p>
      <w:pPr>
        <w:spacing w:after="0" w:line="100" w:lineRule="exact"/>
        <w:rPr>
          <w:sz w:val="20"/>
          <w:szCs w:val="20"/>
          <w:color w:val="auto"/>
        </w:rPr>
      </w:pPr>
    </w:p>
    <w:p>
      <w:pPr>
        <w:ind w:left="460" w:right="20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senior secured indebtedness of $118 million outstanding and $116 million committed to be borrowed under the Credit Facility as of date of this prospectus. See “—Credit Facility.”</w:t>
      </w:r>
    </w:p>
    <w:p>
      <w:pPr>
        <w:ind w:left="460" w:right="1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discussion of our expected operating plans is based upon our expected financial statements, which will be prepared in accordance with accounting principles generally accepted in the United States of America, or GAAP. The preparation of these financial statements will require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will describe our critical accounting policies in the notes to our future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business development company, we will generally invest in illiquid securities including debt and equity securities of middle-market companies. Under procedures established by our board of directors, we intend to value investments for which market quotations are readily available at such market quotations. We will obtain these market values from an independent pricing service or at the mean between the bid and ask prices obtained from at least two brokers or dealers (if available, otherwise by a principal market maker or a primary market dealer). Debt and equity securities that are not publicly traded or whose market prices are not readily available will be valued at fair value as determined in good faith by our board of directors. Such determination of fair values may involve subjective judgments and estimates. Investments purchased within 60 days of maturity will be valued at cost plus accreted discount, or minus amortized premium, which approximates value. With respect to unquoted securities, our board of directors, together with our independent valuation advisers, will value each investment considering, among other measures, discounted cash flow models, comparisons of financial ratios of peer companies that are public and other factors.</w:t>
      </w:r>
    </w:p>
    <w:p>
      <w:pPr>
        <w:spacing w:after="0" w:line="9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our board will use the pricing indicated by the external event to corroborate and/or assist us in our valuation. Because we expect that there will not be a readily available market for many of the investments in our portfolio, we expect to value many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will undertake a multi-step valuation process each quarter, as described below:</w:t>
      </w:r>
    </w:p>
    <w:p>
      <w:pPr>
        <w:spacing w:after="0" w:line="51" w:lineRule="exact"/>
        <w:rPr>
          <w:sz w:val="20"/>
          <w:szCs w:val="20"/>
          <w:color w:val="auto"/>
        </w:rPr>
      </w:pPr>
    </w:p>
    <w:p>
      <w:pPr>
        <w:ind w:left="900" w:right="1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Independent valuation firms engaged by our board of directors will conduct independent appraisals and review management’s preliminary valuations and their own independent assessment;</w:t>
      </w:r>
    </w:p>
    <w:p>
      <w:pPr>
        <w:spacing w:after="0" w:line="50"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 of our investment adviser and that of the independent valuation firms and respond and supplement the valuation recommendation of the independent valuation firms to reflect any comments; and</w:t>
      </w:r>
    </w:p>
    <w:p>
      <w:pPr>
        <w:spacing w:after="0" w:line="4"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of directors will then discuss valuations and determine the fair value of each investment in our portfolio in good faith, based on the input of our investment adviser, the respective independent valuation firms and the audit committee.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see “Business—Investment selection—Ongoing relationships with portfolio companies—Valuation process.”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will record interest income on an accrual basis to the extent that we expect to collect such amounts. For loans and debt securities with contractual payment-in-kind, or “PIK,” interest, which represents contractual interest accrued and added to the loan balance that generally becomes due at maturity, we will not accrue PIK interest if the portfolio company valuation indicates that such PIK interest is not collectible. We will not accrue as a receivable interest on loans and debt securities if we have reason to doubt our ability to collect such interest. Loan origination fees, original issue discount and market discount or premium will be capitalized, and we will then accrete or amortize such amounts using the effective interest method as interest income. Upon the prepayment of a loan or debt security, any unamortized loan origination will be recorded as interest income. We will record prepayment premiums on loans and debt securities as interest income. Dividend income, if any, will be recognized on the ex-dividend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measure realized gains or losses by the difference between the net proceeds from the repayment or sale and the amortized cost basis of the investment, without regard to unrealized appreciation or depreciation previously recognized, but considering unamortized upfront fees and prepayment penalties. Net change in unrealized appreciation or depreciation will reflect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5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estimate that the net proceeds we will receive from the sale of shares of our common stock in this offering will be approximately $279,600,000 (or approximately $321,675,000 if the underwriters fully exercise their over-allotment option). This assumes, in each case, an initial public offering price of $15.00 per share, after deducting the underwriting discounts and commissions and estimated offering expenses of approximately $900,000 payable by us. Separately, immediately prior to the closing of this offering, we expect to sell 320,000 shares of common stock to our directors and officers, our investment adviser and the managers of our investment adviser at a price of $15.00 per share in a private placement. We will receive the full proceeds of this private placement, and no underwriting discounts or commissions will be paid in respect of these shares.</w:t>
      </w:r>
    </w:p>
    <w:p>
      <w:pPr>
        <w:spacing w:after="0" w:line="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intend to use a portion of the net proceeds of this offering to repay the outstanding principal of, and accrued and unpaid interest on, the Credit Facility as well as to pay the reasonable transaction costs incurred by us and Lender in establishing the Credit Facility. As of March 21, 2007, we had borrowed approximately $118 million and committed to borrow $116 million under the Credit Facility. The Credit Facility currently provides for available borrowings of up to an aggregate principal amount of $250 million, subject to specified borrowing conditions. Interest on advances under the Credit Facility is payable quarterly in arrears and charged at one-month LIBOR plus a spread of 1.75%. Any defaulted interest will be carried forward and compounded at a default interest rate. Our ability to draw advances under the Credit Facility will expire on the earlier of (1) June 30, 2007, (2) the date of the closing of this offering, (3) the date on which the Credit Facility is terminated by its terms or (4) any date mutually agreed by the parties, at which time the outstanding principal amount under the Credit Facility together with all accrued and unpaid interest on the Credit Facility will become due and payable in full. As of March 21, 2007, the interest rate on advances under the Credit Facility was 7.07%. From the date we entered into the Credit Facility through March 21, 2007, we accrued approximately $487,000 in interest expense pursuant to the Credit Facility. We plan to invest the balance of the net proceeds of this offering in portfolio companies in accordance with our investment objective and strategies described in this prospectus.</w:t>
      </w:r>
    </w:p>
    <w:p>
      <w:pPr>
        <w:spacing w:after="0" w:line="10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anticipate that a substantial portion of the net proceeds of this offering will be invested for the above purposes within 12 to 18 months and all of the net proceeds of this offering will be invested within two years, depending on the availability of appropriate investment opportunities consistent with our investment objective and market conditions. We expect that it will take more than three months to invest all of the proceeds of this offering, in part because privately negotiated investments in illiquid securities or private middle-market companies require substantial due diligence and structuring. We cannot assure you we will achieve our targeted investment pace. As a result of our expected purchase of the senior secured loans and our other anticipated investments, we expect that our portfolio will initially consist primarily of senior secured loans.</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Pending these investments, we will invest the net proceeds primarily in cash, cash equivalents, U.S. government securities and other high-quality debt investments that mature in one year or less from the date of investment. During the period when the proceeds of this offering are not fully invested, we expect that our investment earnings, and hence the return to shareholders, will be lower than after we are fully invested. See “Regulation—Temporary investments” for additional information about temporary investments we may make while waiting to make longer-term investments in pursuit of our investment objective.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15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intend to make quarterly distributions to our stockholders. The timing and amount of our quarterly distributions, if any, will be determined by our board of directors. Any distributions to our stockholders will be declared out of assets legally available for distribution.</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intend to elect to be treated, and intend to qualify annually thereafter, as a RIC under Subchapter M of the Code. For a short period (less than one month after the closing of this offering), we may not be a RIC and may be subject to corporate-level income tax. To obtain RIC tax benefits, we must distribute at least 90% of our ordinary income and realized net short-term capital gains in excess of realized net long-term capital losses, if any, out of the assets legally available for distribution. In order to avoid certain excise taxes imposed on RICs, we currently intend to distribute during each calendar year an amount at least equal to the sum of (1) 98% of our ordinary income for the calendar year, (2) 98%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short-term capital losses), if any, at least annually, out of the assets legally available for such distributions, we may in the future decide to retain such capital gains for investment. In such event, the consequences of our retention of net capital gains are as described under “Material U.S. Federal Income Tax Considerations.” 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0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intend to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 See “Dividend Reinvestment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CAPITALIZATION</w:t>
      </w:r>
    </w:p>
    <w:p>
      <w:pPr>
        <w:spacing w:after="0" w:line="15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table sets forth (1) our actual capitalization as of February 6, 2007 and (2) our cash, accrued organizational expenses and capitalization as adjusted to reflect the effects of (a) the contribution of an additional $200,000 by our investment adviser in connection with its investment in 80,000 shares of our common stock, (b) the sale of 320,000 shares of our common stock to our officers and directors, our investment adviser and the managers of our investment adviser in a private placement immediately prior to consummation of this offering and (c) the sale of our common stock in this offering at an assumed public offering price of $15.00 per share, after deducting the underwriting discounts and commissions and organization and offering expenses payable by us. You should read this table together with “Use of Proceeds” and our balance sheet included elsewhere in this prospectus.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As of February 6, 2007</w:t>
            </w:r>
            <w:r>
              <w:rPr>
                <w:rFonts w:ascii="Arial" w:cs="Arial" w:eastAsia="Arial" w:hAnsi="Arial"/>
                <w:sz w:val="22"/>
                <w:szCs w:val="22"/>
                <w:b w:val="1"/>
                <w:bCs w:val="1"/>
                <w:color w:val="auto"/>
                <w:vertAlign w:val="superscript"/>
              </w:rPr>
              <w:t>(1)</w:t>
            </w:r>
          </w:p>
        </w:tc>
      </w:tr>
      <w:tr>
        <w:trPr>
          <w:trHeight w:val="169"/>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
              <w:spacing w:after="0" w:line="169" w:lineRule="exact"/>
              <w:rPr>
                <w:sz w:val="20"/>
                <w:szCs w:val="20"/>
                <w:color w:val="auto"/>
              </w:rPr>
            </w:pPr>
            <w:r>
              <w:rPr>
                <w:rFonts w:ascii="Arial" w:cs="Arial" w:eastAsia="Arial" w:hAnsi="Arial"/>
                <w:sz w:val="12"/>
                <w:szCs w:val="12"/>
                <w:b w:val="1"/>
                <w:bCs w:val="1"/>
                <w:color w:val="auto"/>
                <w:w w:val="98"/>
              </w:rPr>
              <w:t>As Adjusted</w:t>
            </w:r>
            <w:r>
              <w:rPr>
                <w:rFonts w:ascii="Arial" w:cs="Arial" w:eastAsia="Arial" w:hAnsi="Arial"/>
                <w:sz w:val="19"/>
                <w:szCs w:val="19"/>
                <w:b w:val="1"/>
                <w:bCs w:val="1"/>
                <w:color w:val="auto"/>
                <w:w w:val="98"/>
                <w:vertAlign w:val="superscript"/>
              </w:rPr>
              <w:t>(2)</w:t>
            </w:r>
          </w:p>
        </w:tc>
      </w:tr>
      <w:tr>
        <w:trPr>
          <w:trHeight w:val="210"/>
        </w:trPr>
        <w:tc>
          <w:tcPr>
            <w:tcW w:w="88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1,000,000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285,600,000</w:t>
            </w:r>
          </w:p>
        </w:tc>
      </w:tr>
      <w:tr>
        <w:trPr>
          <w:trHeight w:val="216"/>
        </w:trPr>
        <w:tc>
          <w:tcPr>
            <w:tcW w:w="88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285,600,000</w:t>
            </w:r>
          </w:p>
        </w:tc>
      </w:tr>
      <w:tr>
        <w:trPr>
          <w:trHeight w:val="216"/>
        </w:trPr>
        <w:tc>
          <w:tcPr>
            <w:tcW w:w="88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organization costs and other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154,884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218,000</w:t>
            </w:r>
          </w:p>
        </w:tc>
      </w:tr>
      <w:tr>
        <w:trPr>
          <w:trHeight w:val="216"/>
        </w:trPr>
        <w:tc>
          <w:tcPr>
            <w:tcW w:w="88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Common stock, par value $0.001 per share; 100,000,000 common shares authorized, 80,000 common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4"/>
        </w:trPr>
        <w:tc>
          <w:tcPr>
            <w:tcW w:w="880" w:type="dxa"/>
            <w:vAlign w:val="bottom"/>
          </w:tcPr>
          <w:p>
            <w:pPr>
              <w:spacing w:after="0"/>
              <w:rPr>
                <w:sz w:val="19"/>
                <w:szCs w:val="19"/>
                <w:color w:val="auto"/>
              </w:rPr>
            </w:pPr>
          </w:p>
        </w:tc>
        <w:tc>
          <w:tcPr>
            <w:tcW w:w="7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outstanding, actual; 20,400,000 common shares outstanding, as 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20,400</w:t>
            </w:r>
          </w:p>
        </w:tc>
      </w:tr>
      <w:tr>
        <w:trPr>
          <w:trHeight w:val="216"/>
        </w:trPr>
        <w:tc>
          <w:tcPr>
            <w:tcW w:w="88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Capital in excess of par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845,036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285,361,600</w:t>
            </w:r>
          </w:p>
        </w:tc>
      </w:tr>
      <w:tr>
        <w:trPr>
          <w:trHeight w:val="216"/>
        </w:trPr>
        <w:tc>
          <w:tcPr>
            <w:tcW w:w="88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845,116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285,382,000</w:t>
            </w:r>
          </w:p>
        </w:tc>
      </w:tr>
      <w:tr>
        <w:trPr>
          <w:trHeight w:val="216"/>
        </w:trPr>
        <w:tc>
          <w:tcPr>
            <w:tcW w:w="88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Net asset value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13.99</w:t>
            </w: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r>
    </w:tbl>
    <w:p>
      <w:pPr>
        <w:spacing w:after="0" w:line="97" w:lineRule="exact"/>
        <w:rPr>
          <w:sz w:val="20"/>
          <w:szCs w:val="20"/>
          <w:color w:val="auto"/>
        </w:rPr>
      </w:pPr>
    </w:p>
    <w:p>
      <w:pPr>
        <w:ind w:left="340" w:right="160" w:hanging="332"/>
        <w:spacing w:after="0" w:line="230"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of March 21, 2007, we had invested approximately $234 million in senior secured loans in portfolio companies, of which $118 million had settled; these amounts are excluded from As Adjusted. We expect that our initial portfolio of senior secured loans will total approximately $250 million immediately prior to the closing of the offering.</w:t>
      </w:r>
    </w:p>
    <w:p>
      <w:pPr>
        <w:ind w:left="340" w:hanging="332"/>
        <w:spacing w:after="0"/>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Assumes no exercise of the underwriters’ over-allotment option of 3,000,000 shares. As adjusted gives effect to an increase in organizational costs and other liabilities to $218,000 as of March 21, 2007.</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15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dilution to investors in this offering is represented by the difference between the offering price per share and the pro forma net tangible book value per share after this offering. Net tangible book value per share is determined by dividing our net tangible book value, which is our total tangible assets less total liabilities, by the number of outstanding shares.</w:t>
      </w:r>
    </w:p>
    <w:p>
      <w:pPr>
        <w:spacing w:after="0" w:line="113"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As of February 6, 2007, our net tangible book value was $845,116, or approximately $10.56 per share. After giving effect to (a) the contribution of an additional $200,000 by our investment adviser in connection with its investment in 80,000 shares of our common stock, (b) the sale of 320,000 shares of our common stock to our officers and directors, our investment adviser and the managers of our investment adviser in a private placement immediately prior to consummation of this offering and (c) the sale of the shares to be sold in this offering, and the deduction of discounts and estimated expenses of this offering before stabilization, our pro forma net tangible book value would have been approximately $285.4 million, or $13.99 per share, representing an immediate increase in our net tangible book value of $3.43 per share and an immediate dilution of $1.01 per share, or 6.7%, to shares sold in this offering.</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060" w:type="dxa"/>
            <w:vAlign w:val="bottom"/>
            <w:gridSpan w:val="2"/>
          </w:tcPr>
          <w:p>
            <w:pPr>
              <w:jc w:val="right"/>
              <w:ind w:right="2612"/>
              <w:spacing w:after="0"/>
              <w:rPr>
                <w:sz w:val="20"/>
                <w:szCs w:val="20"/>
                <w:color w:val="auto"/>
              </w:rPr>
            </w:pPr>
            <w:r>
              <w:rPr>
                <w:rFonts w:ascii="Arial" w:cs="Arial" w:eastAsia="Arial" w:hAnsi="Arial"/>
                <w:sz w:val="18"/>
                <w:szCs w:val="18"/>
                <w:color w:val="auto"/>
                <w:w w:val="88"/>
              </w:rPr>
              <w:t>The following table illustrates the dilution to the shares on a per share basis:</w:t>
            </w:r>
          </w:p>
        </w:tc>
        <w:tc>
          <w:tcPr>
            <w:tcW w:w="1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20" w:type="dxa"/>
            <w:vAlign w:val="bottom"/>
            <w:vMerge w:val="restart"/>
          </w:tcPr>
          <w:p>
            <w:pPr>
              <w:spacing w:after="0"/>
              <w:rPr>
                <w:sz w:val="13"/>
                <w:szCs w:val="13"/>
                <w:color w:val="auto"/>
              </w:rPr>
            </w:pPr>
          </w:p>
        </w:tc>
        <w:tc>
          <w:tcPr>
            <w:tcW w:w="76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10.56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Increase attributable to shareholders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13.99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Dilution to shareholders in this offering (without exercise of the over-allotment option)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63"/>
        </w:trPr>
        <w:tc>
          <w:tcPr>
            <w:tcW w:w="8060" w:type="dxa"/>
            <w:vAlign w:val="bottom"/>
            <w:gridSpan w:val="2"/>
          </w:tcPr>
          <w:p>
            <w:pPr>
              <w:jc w:val="right"/>
              <w:ind w:right="2632"/>
              <w:spacing w:after="0"/>
              <w:rPr>
                <w:sz w:val="20"/>
                <w:szCs w:val="20"/>
                <w:color w:val="auto"/>
              </w:rPr>
            </w:pPr>
            <w:r>
              <w:rPr>
                <w:rFonts w:ascii="Arial" w:cs="Arial" w:eastAsia="Arial" w:hAnsi="Arial"/>
                <w:sz w:val="18"/>
                <w:szCs w:val="18"/>
                <w:color w:val="auto"/>
              </w:rPr>
              <w:t>37</w:t>
            </w: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PennantPark Investment Corporation is a newly organized, externally managed, non-diversified, closed-end management investment company that intends to file an election to be treated as a business development company under the 1940 Act. In addition, for tax purposes we intend to elect to be treated as a RIC under Subchapter M of the Code. PennantPark’s investment objective is to generate both current income and capital appreciation through debt and equity investments. For a short period (less than one month after the closing of this offering), we may not be a RIC and may be subject to corporate-level income tax. From time to time, we may also invest in public companies that are thinly traded.</w:t>
      </w:r>
    </w:p>
    <w:p>
      <w:pPr>
        <w:spacing w:after="0" w:line="8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anticipate that our portfolio will be primarily comprised of investments in mezzanine loans and senior secured loans made to private U.S. middle-market companies. We expect that the companies in which we invest will typically be highly leveraged, often as a result of leveraged buy-outs or other recapitalization transactions, and, in most cases, will not be rated by national rating agencies. If such companies were rated, we believe that they would typically receive a rating below investment grade (between BB and CCC under the Standard &amp; Poor’s system) from the national rating agencies. In addition, we expect the debt securities of such companies to range in maturity from three to ten years.</w:t>
      </w:r>
    </w:p>
    <w:p>
      <w:pPr>
        <w:spacing w:after="0" w:line="89"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will also invest in equity securities, such as preferred stock, common stock, warrants or options received in connection with our debt investments or through direct investments. We expect that our investments in mezzanine loans, senior secured loans and other investments will range between $15 million and $50 million each, although this investment size will vary proportionately with the size of our capital base. However, we expect that our initial portfolio upon consummation of this offering will consist primarily of senior secured loans of between $3 and $10 million each.</w:t>
      </w:r>
    </w:p>
    <w:p>
      <w:pPr>
        <w:spacing w:after="0" w:line="8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March 21, 2007, we had invested approximately $234 million in senior secured loans, of which $118 million had settled. As of that date, our portfolio consisted of investments with an average investment size of approximately $5.7 million, a weighted average yield of 7.5% and a weighted average maturity of 6.4 years. Immediately prior to the consummation of this offering, we expect that our portfolio will consist primarily of senior secured loans having an aggregate principal amount of approximately $250 million. This amount will include capital commitments in respect of delayed or deferred draws under some lending facilities, which totaled approximately $15.3 million as of March 31, 2007. See “Portfolio Companies.” Over time, however, we expect that our portfolio will include a combination of senior and mezzanine loans and senior secured loans and, to a lesser extent, equity securities. See “Discussion of Expected Operating Plans—Credit Facility” and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were incorporated in January 2007, and shortly thereafter entered into a binding term sheet with the Lender with respect to the creation of the Credit Facility. We subsequently formed Pennant SPV Company, LLC as a wholly owned subsidiary, and have capitalized it using $1.2 million we received from Mr. Penn, through PennantPark Investment Advisers, in connection with his investment in our common stock. In February 2007, we, through Pennant SPV Company, LLC, entered into the Credit Facility with the Lender. The Credit Facility was subsequently amended in March 2007.</w:t>
      </w:r>
    </w:p>
    <w:p>
      <w:pPr>
        <w:spacing w:after="0" w:line="8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arranged to borrow under the Credit Facility through Pennant SPV Company, LLC at the request of the Lender, so as to isolate the credit risk in our investments, and the Lender’s security interests in such investments, remotely from PennantPark until such time as the Credit Facility is repaid in full. The Credit Facility provides for available borrowings of up to an aggregate principal amount of $250 million, subject to specified borrowing conditions. We intend to use a portion of the net proceeds of this offering to repay the outstanding principal of, and accrued and unpaid interest on, the Credit Facility as well as to pay the reasonable transaction costs incurred by us and the Lender in establishing the Credit Facility. We have used borrowings under the Credit Facility to purchase the senior secured loans that constitute our current portfolio.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While our primary focus will be to generate current income and capital appreciation through debt and equity investments in thinly traded or private U.S. companies, we may invest up to 30% of the portfolio in opportunistic investments. These investments may include investments in high-yield bonds, distressed debt, private equity or securities of public companies that are not thinly traded and securities of companies located outside of the United States. We expect that these public companies generally will have debt securities that are non-investment grade.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will seek to capitalize on the investing experience and contacts of Arthur H. Penn, the Founder of PennantPark and the Founder of our investment adviser.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30, 2006.</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supervised the negotiation and execution of a senior secured credit facility with a syndicate of banks which, as amended, provides for borrowings up to $2.0 billion. During Mr. Penn’s tenure with Apollo Investment, it invested approximately $2.8 billion in 73 companies in partnership with 54 different financial sponsors.</w:t>
      </w:r>
    </w:p>
    <w:p>
      <w:pPr>
        <w:spacing w:after="0" w:line="8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During Mr. Penn’s career in the financial services industry, he also served as Managing Partner of Apollo Value Fund L.P. (formerly Apollo Distressed Investment Fund, L.P.) from 2003 through November 2006. Mr. Penn previously served as Global Head of Leveraged Finance at UBS Warburg LLC (now UBS Securities LLC)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89"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Over his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58"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5"/>
          <w:szCs w:val="15"/>
          <w:color w:val="auto"/>
        </w:rPr>
        <w:t>Aviv Efrat serves as our Chief Financial Officer and Treasurer. Mr. Efrat, who is also a Managing Director of PennantPark Administration, has extensive experience in finance and administration of registered investment companies, having served for a decade as a Director at BlackRock, LLC, a leading investment firm. Our investment adviser has three experienced investment professionals, in addition to Mr. Penn, who are partners of the firm. These professionals, Geoffrey Chang, Salvatore Giannetti III and Whit Williams, have a combined 44 years of experience in the mezzanine, private equity and leveraged finance businesses.</w:t>
      </w:r>
    </w:p>
    <w:p>
      <w:pPr>
        <w:spacing w:after="0" w:line="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Mr. Chang was previously a founding member and Principal of Audax Mezzanine from 2000 through 2007 and, prior to that was a Director in the Leveraged Finance Group at CIBC World Markets Corp. Mr. Giannetti previously served as Partner in the private equity firm of Wilton Ivy Partners from 2004 through 2007. Prior to joining Wilton Ivy Partners, he was a Managing Director at UBS Warburg LLC in its Leveraged Finance and Financial Sponsors Groups from March 2000 to November 2001. Mr. Williams was an officer at UBS Investment Bank from 1996 to March 2007, most recently as a Managing Director in its Leveraged Finance and Financial Sponsors Group. We and our investment adviser expect to hire additional investment professionals to assist with our ongoing management and</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in investing the proceeds of this offering. Specifically, we intend to hire a Chief Compliance Officer promptly after completion of this offering. Our investment adviser intends to hire a total of seven to ten investment professionals with skills applicable to our business plan within the first 12 months after completion of this offering. We expect such investment professionals to have experience in middle-market investing, leveraged and mezzanine finance and the capital markets.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PennantPark intends to invest primarily in mezzanine loans, senior secured loans and equity securities of U.S. middle-market companies. We believe that the size of the middle-market, coupled with the demands of these companies for flexible sources of capital, create an attractive investment environment for PennantPark.</w:t>
      </w:r>
    </w:p>
    <w:p>
      <w:pPr>
        <w:spacing w:after="0" w:line="53" w:lineRule="exact"/>
        <w:rPr>
          <w:sz w:val="20"/>
          <w:szCs w:val="20"/>
          <w:color w:val="auto"/>
        </w:rPr>
      </w:pPr>
    </w:p>
    <w:p>
      <w:pPr>
        <w:ind w:left="900" w:hanging="446"/>
        <w:spacing w:after="0" w:line="25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As evidence of this trend, the average deal size in the high-yield market has grown from approximately $164 million in 1997 to approximately $509 million in 2006. Approximately 2% of all high-yield issues in 2006 raised less than $100 million. We believe these trends have made it harder for middle-market companies to raise funds by issuing high-yield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80010</wp:posOffset>
            </wp:positionV>
            <wp:extent cx="4553585" cy="33020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53585"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205740</wp:posOffset>
            </wp:positionV>
            <wp:extent cx="4802505" cy="30099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802505"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00" w:right="20" w:hanging="446"/>
        <w:spacing w:after="0" w:line="313"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b w:val="1"/>
          <w:bCs w:val="1"/>
          <w:color w:val="auto"/>
        </w:rPr>
        <w:t xml:space="preserve">We believe there is a large pool of un-invested private equity capital likely to seek mezzanine capital to support private investments. </w:t>
      </w:r>
      <w:r>
        <w:rPr>
          <w:rFonts w:ascii="Arial" w:cs="Arial" w:eastAsia="Arial" w:hAnsi="Arial"/>
          <w:sz w:val="15"/>
          <w:szCs w:val="15"/>
          <w:color w:val="auto"/>
        </w:rPr>
        <w:t>We</w:t>
      </w:r>
      <w:r>
        <w:rPr>
          <w:rFonts w:ascii="Arial" w:cs="Arial" w:eastAsia="Arial" w:hAnsi="Arial"/>
          <w:sz w:val="15"/>
          <w:szCs w:val="15"/>
          <w:b w:val="1"/>
          <w:bCs w:val="1"/>
          <w:color w:val="auto"/>
        </w:rPr>
        <w:t xml:space="preserve"> </w:t>
      </w:r>
      <w:r>
        <w:rPr>
          <w:rFonts w:ascii="Arial" w:cs="Arial" w:eastAsia="Arial" w:hAnsi="Arial"/>
          <w:sz w:val="15"/>
          <w:szCs w:val="15"/>
          <w:color w:val="auto"/>
        </w:rPr>
        <w:t>expect that private equity firms will be active investors in middle-market companies and that these private equity funds will seek to leverage their investments by combining capital with mezzanine loans and/or senior secured loans from other sources. We expect such activity to be funded by the record amounts of private equity capital that have been raised in recent years. In 2005 and 2006, private equity funds raised $151 billion and $186 billion, respectively. Of this amount, we believe that approximately $39 billion was raised to finance leveraged buyout funds targeting U.S. middle-market companies both in 2005 and 2006. We believe that, when proposing a private investment, private equity funds generally seek to package their equity investments together with senior secured and/or mezzanine loans, which should provide opportunities for us to partner with such funds.</w:t>
      </w:r>
    </w:p>
    <w:p>
      <w:pPr>
        <w:spacing w:after="0" w:line="18" w:lineRule="exact"/>
        <w:rPr>
          <w:rFonts w:ascii="Arial" w:cs="Arial" w:eastAsia="Arial" w:hAnsi="Arial"/>
          <w:sz w:val="15"/>
          <w:szCs w:val="15"/>
          <w:color w:val="auto"/>
        </w:rPr>
      </w:pPr>
    </w:p>
    <w:p>
      <w:pPr>
        <w:ind w:left="900" w:hanging="446"/>
        <w:spacing w:after="0" w:line="293"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We believe that opportunities to invest mezzanine and other debt capital will remain strong</w:t>
      </w:r>
      <w:r>
        <w:rPr>
          <w:rFonts w:ascii="Arial" w:cs="Arial" w:eastAsia="Arial" w:hAnsi="Arial"/>
          <w:sz w:val="16"/>
          <w:szCs w:val="16"/>
          <w:color w:val="auto"/>
        </w:rPr>
        <w:t>. We expect that the volume of domestic “public-to-private” transactions as well as the number of companies selecting a “sale” alternative versus raising capital in the public equity markets as a means of increasing liquidity will remain large. The volume of “public to private” transactions in the United States increased from $23 billion in 2004 to $128 billion in 2006. Additionally, the cost and effort associated with being a public company in the United States have become more onerous, causing many management teams to consider alternative liquidity strategies. We believe these trends will reinforce demand for debt-related financing and mezzanine investment opportunities for middle-market companies.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expertise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Mr. Penn will have principal management responsibility for PennantPark Investment Advisers as its Managing Member. Mr. Penn has more than 20 years of experience in mezzanine lending, leveraged finance,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private equity and distressed debt investing. Through his tenure at Apollo Investment Management, he also has direct experience in successfully capitalizing, staffing and managing a publicly traded business development company. Mr. Penn intends to dedicate the vast majority of his time to managing PennantPark and PennantPark Investment Advisers. Mr. Efrat serves as our Chief Financial Officer and Treasurer is also a Managing Director of PennantPark Investment Administration. He has extensive experience in finance and administration of registered investment companies, having served for a decade as a Director at BlackRock, LLC, a leading investment firm. Our investment adviser has three experienced investment professionals, in addition to Mr. Penn, who are partners of the firm. These investment professionals, Geoffrey Chang, Salvatore Giannetti III and Whit Williams, have a combined 44 years of experience in the mezzanine, private equity and leveraged finance businesses. Mr. Chang was previously a Founding Member and Principal of Audax Mezzanine from 2000 through 2007 and, prior to that was a director in the Leveraged Finance Group at CIBC World Markets Corp. Mr. Giannetti previously served as Partner in the private equity firm of Wilton Ivy Partners from 2004 through 2007. Prior to joining Wilton Ivy Partners, he was a Managing Director at UBS Warburg LLC in its Leveraged Finance and Financial Sponsors Groups. Mr. Williams was an officer at UBS Investment Bank from 1996 to March 2007, most recently as a Managing Director in its Leveraged Finance and Financial Sponsors Group. We and our investment adviser expect to hire additional investment professionals to assist with our ongoing management and in investing the proceeds of this offering. Specifically, we intend to hire a chief compliance officer promptly after completion of this offering. Our investment adviser intends to hire a total of seven to ten investment professionals with skills applicable to our business plan within the first 12 months after completion of this offering. We expect such investment professionals to have experience in middle-market investing, leveraged and mezzanine finance and the capital markets.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Through his investment experience, we believe Mr. Penn has developed a strong reputation in the capital markets. We believe that this reputation, together with his experience and expertise of the other investment professionals of our investment adviser in raising capital, investing in debt and equity securities and managing investments in companies, will afford PennantPark a competitive advantage in identifying and investing in middle-market companies. Mr. Penn, our other officers and directors and the managers of our investment adviser have invested or committed to invest directly and indirectly, approximately $6.0 million in 400,000 shares of PennantPark prior to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Disciplined investment approach with strong value orientation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intend to employ a disciplined approach in selecting investments that meet our value-oriented investment criteria. Consistent with the investment strategy employed by Mr. Penn at Apollo Investment Management, our value-oriented investment philosophy focuses on preserving capital and ensuring that our investments have an appropriate return profile in relation to risk. When market conditions make it difficult for us to invest according to our criteria, we intend to be highly selective in deploying our capital. We do not intend to pursue short-term origination targets. We believe this approach will enable us to build an attractive investment portfolio that meets our return and value criteria over the long term.</w:t>
      </w:r>
    </w:p>
    <w:p>
      <w:pPr>
        <w:spacing w:after="0" w:line="8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intend to conduct a rigorous due diligence process that draws from our investment adviser’s investment experience, industry expertise and network of contacts. Among other things, our due diligence is designed to ensure that each prospective portfolio company will be able to meet its debt service obligations.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Focusing on investments that can generate positive risk-adjusted returns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investment adviser will seek to minimize the risk of capital loss without foregoing potential for capital appreciation. In making investment decisions we will seek to pursue and invest in companies that meet several of the following criteria:</w:t>
      </w:r>
    </w:p>
    <w:p>
      <w:pPr>
        <w:spacing w:after="0" w:line="5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value orientation and positive free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experienced management team;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established financial sponsors that have a history of creating value with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strong and competitive industry position;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viable exit strategy and reliable liquidation value of assets.</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Assuming a potential investment meets most or all of our investment criteria, we intend to be flexible in adopting transaction structures that address the needs of prospective portfolio companies and their owners. Our investment philosophy is focused on generating attractive internal rates of return over the life of an investment. Given our investment criteria and due diligence process, we expect to structure our investments so they correlate closely with the success of our portfolio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Ability to source and evaluate transactions through our investment adviser’s research capability and established network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his role as Chief Operating Officer and President of Apollo Investment Corporation, Mr. Penn oversaw investments in 73 companies operating in partnership with 54 different financial sponsors across 29 industries. As a result of their long experience in the investment business, Mr. Penn and the management team of our investment adviser have developed long-term relationships with management consultants and management teams that we believe will enable us to effectively evaluate investment opportunities in numerous industries, as well as giving us access to substantial information concerning those industries. We believe PennantPark Investment Advisers will be able to identify and assess attractive investment opportunities, structure investments successfully across all levels of a company’s capital structure and manage potential risk and return at all stages of the economic cycle.</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intend to identify potential investments both through active origination and through dialogue with numerous management teams, members of the financial community and corporate partners with whom Mr. Penn has long-term relationships. We believe that Mr. Penn’s broad network of contacts within the investment, commercial banking, private equity and investment management communities and his strong reputation in investment management, will enable us to attract well-positioned prospective portfolio companies. Additionally, we expect to generate information from our investment advisers’ network of accountants, consultants, lawyers and management teams of portfolio companies and other companies. We also expect to benefit from the additional contacts and relationships of Messrs. Chang, Giannetti, and Williams and of the other investment professionals retained by our investment adviser.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Flexible transaction structuring</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expect that the in-depth coverage and experience of Mr. Penn, as well as that of the other investment professionals of our investment adviser, will enable us to invest throughout various stages of the economic cycle and will provide our investment adviser with access to ongoing market insights in addition to a significant investment sourcing engine. See “—Investments.” While we will be subject to compliance with the 1940 Act, we will not be subject to many of the regulatory limitations that govern traditional lending institutions such as banks. As a result, we expect to be flexible in selecting and structuring investments, adjusting investment criteria, transaction structures and, in some cases, the types of securities in which we invest. We believe that this flexibility will enable PennantPark Investment Advisers to identify attractive investment opportunities throughout the economic cycle so that we can make investments consistent with our objective even during turbulent periods in the capital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Longer investment horizon with attractive publicly traded model</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Unlike private equity and venture capital funds, we will not be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These provisions often force private equity and venture capital funds to seek returns on their investments through mergers, public equity offerings or other liquidity events more quickly than they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otherwise might, potentially resulting in both a lower overall return to investors and an adverse impact on their portfolio companies. We believe that our flexibility to make investments with a long-term view and without the capital return requirements of traditional private investment vehicles will provide us with the opportunity to generate returns on invested capital and enable us to be a better long-term partner for our portfolio companies.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investment activities will be managed by PennantPark Investment Advisers and supervised by our board of directors, a majority of whom are independent of our investment adviser and PennantPark. PennantPark Investment Advisers is a newly formed investment adviser that is registered under the Advisers Act. Under our Investment Management Agreement, we have agreed to pay PennantPark Investment Advisers an annual base management fee based on our gross assets as well as an incentive fee based on our investment performance. We intend to execute the Investment Management Agreement at the time we elect to be treated as a business development company, which we expect to occur shortly before consummation of this offering. Prior to making this election, our relationship with the investment adviser is governed by the Interim Management Agreement. See “Management—Investment Management Agreement.”</w:t>
      </w:r>
    </w:p>
    <w:p>
      <w:pPr>
        <w:spacing w:after="0" w:line="93" w:lineRule="exact"/>
        <w:rPr>
          <w:sz w:val="20"/>
          <w:szCs w:val="20"/>
          <w:color w:val="auto"/>
        </w:rPr>
      </w:pPr>
    </w:p>
    <w:p>
      <w:pPr>
        <w:ind w:right="480" w:firstLine="456"/>
        <w:spacing w:after="0" w:line="298" w:lineRule="auto"/>
        <w:rPr>
          <w:sz w:val="20"/>
          <w:szCs w:val="20"/>
          <w:color w:val="auto"/>
        </w:rPr>
      </w:pPr>
      <w:r>
        <w:rPr>
          <w:rFonts w:ascii="Arial" w:cs="Arial" w:eastAsia="Arial" w:hAnsi="Arial"/>
          <w:sz w:val="16"/>
          <w:szCs w:val="16"/>
          <w:color w:val="auto"/>
        </w:rPr>
        <w:t>We have also entered into the Administration Agreement with PennantPark Administration. Under the Administration Agreement, we have agreed to reimburse PennantPark Administration for our allocable portion of overhead and other expenses incurred by PennantPark Administration in performing its obligations under the Administration Agreement, including rent and our allocable portion of the costs of compensation and related expenses of our chief compliance officer, chief financial officer and their respective staffs. See “Management—Administration Agreement.”</w:t>
      </w:r>
    </w:p>
    <w:p>
      <w:pPr>
        <w:spacing w:after="0" w:line="8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a business development company, we will be required to comply with certain regulatory requirements. For example, we note that any affiliated investment vehicle formed in the future and managed by our investment adviser may, notwithstanding different stated investment objectives, have overlapping investment objectives with our own and, accordingly, may invest in asset classes similar to those targeted by us. If our investment adviser undertakes to manage a new fund in the future, we will not invest in any portfolio company in which that fund has a pre-existing investment, although we may co-invest with such affiliate on a concurrent basis, subject to compliance with existing regulatory guidance, applicable regulations and our allocation procedures.</w:t>
      </w:r>
    </w:p>
    <w:p>
      <w:pPr>
        <w:spacing w:after="0" w:line="89"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through our wholly owned subsidiary, Pennant SPV Company, LLC, have established a Credit Facility to fund portfolio investments prior to consummation of this offering. We may borrow other funds subsequent to this offering. After we repay the Credit Facility, we do not intend to borrow money to fund our investments until such time as we have invested substantially all of the proceeds of this offering. At that time, we may elect to borrow money to fund investments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PennantPark and our stockholders. We have not yet decided the extent to which we will finance portfolio investments using debt. After we repay the Credit Facility, we do not intend to borrow money to fund our investments until such time as we have invested substantially all of the proceeds of the offering. See “Regulation.” See “Material U.S. Federal Income Tax Considerations.”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will seek to create a diversified portfolio that will include mezzanine loans, senior secured loans and equity securities by investing approximately $15 to $50 million of capital, on average, in the securities of middle-market companies although, this investment size will vary proportionately with the size of our capital base. However, we expect that our initial portfolio upon consummation of this offering will consist primarily of senior secured loans of between $3 and $10 million each. We expect that the companies in which we invest will typically be highly leveraged, often as a result of leveraged buy-outs or other recapitalization transactions, and, in most cases, will not be rated by national rating agencies. If such companies were rated, we believe that they would typically receive a rating below investment grade (between BB and CCC under the Standard &amp; Poor’s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system) from the national rating agencies. In addition, we expect the debt securities of such companies to range in maturity from three to ten years. We expect that our target portfolio over time will include both mezzanine loans and senior secured loans. Structurally, mezzanine loans usually rank subordinate in priority of payment to senior debt, such as senior bank debt, and is often unsecured. As such, other creditors may rank senior to us in the event of an insolvency. However, mezzanine loans rank senior to common and preferred equity in a borrowers’ capital structure. Due to its higher risk profile and often less restrictive covenants as compared to senior loans, mezzanine loans generally earn a higher return than senior secured loans. We believe that mezzanine loans offer an alternative investment opportunity based upon their historic returns and resilience during economic downturns. In many cases mezzanine investors receive opportunities to invest directly in the equity securities of borrowers and from time to time may also receive warrants to purchase equity securities. We will evaluate these investment opportunities on a case-by-case basis.</w:t>
      </w:r>
    </w:p>
    <w:p>
      <w:pPr>
        <w:spacing w:after="0" w:line="9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Initially, we expect that our portfolio will consist primarily of senior secured loans and our other anticipated investments. Over time, however, we expect that our portfolio will consist of both mezzanine loans and senior secured loans and, to a lesser extent, equity securities. In addition to mezzanine loans and senior secured loans, we may invest up to 30% of our portfolio in opportunistic investments. These investments may include investments in high-yield bonds, distressed debt, private equity, securities of public companies that are not thinly traded and securities of middle-market companies located outside of the United States. We expect that these public companies generally will issue debt securities that are non-investment grade.</w:t>
      </w:r>
    </w:p>
    <w:p>
      <w:pPr>
        <w:spacing w:after="0" w:line="89"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Additionally, we may in the future seek to securitize our loans to generate cash for funding new investments. To securitize loans, we may create a wholly owned subsidiary and contribute a pool of loans to the subsidiary. This could include the sale of interests in the subsidiary on a non-recourse basis to purchasers who we would expect to be willing to accept a lower interest rate to invest in investment grade loan pools, and we would retain a portion of the equity in the securitized pool of loans.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Moreover, we may acquire investments in the secondary market and, in analyzing such investments, we will employ the same analytical process as we use for our primary investments.</w:t>
      </w:r>
    </w:p>
    <w:p>
      <w:pPr>
        <w:spacing w:after="0" w:line="10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principal focus will be to provide mezzanine loans and senior secured loans to middle-market companies in a variety of industries. We will generally seek to target companies that generate positive cash flows. We will generally seek to invest in companies from the broad variety of industries in which our investment adviser has direct expertise. The following is a representative list of the industries in which we may elect to invest.</w:t>
      </w:r>
    </w:p>
    <w:p>
      <w:pPr>
        <w:spacing w:after="0" w:line="2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Broadcasting and Entertainment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Building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Buildings and Real Estate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Chemicals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Consumer Finance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Consumer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Consumer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 Marketing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Electronics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Environmental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Equipment Rental</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Grocery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Infrastructure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Leisure Equipment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Logistics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Machinery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Media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Oil and Gas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Publishing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Retail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Transportation</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invest in other industries if we are presented with attractive opportunities.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an effort to increase our returns and the number of loans that we can make, we may in the future seek to securitize our loans. To securitize loans, we would create a wholly owned subsidiary and contribute a pool of loans to the subsidiary. We would sell interests in the subsidiary on a non-recourse basis to purchasers who we would expect to be willing to accept a lower interest rate to invest in investment-grade loan pools. We may use the proceeds of such sales to pay down bank debt or to fund additional investment.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invest in any portfolio company in which any of our affiliates have an investment now or in the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adviser will seek to minimize the risk of capital loss without foregoing potential for capital appreciation.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portfolio company characteristics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you that not all of these criteria will be met by each prospective portfolio company in which we choose to invest. Generally, we will seek to use our experience and access to market information generated to identify investment candidates and to structure investments quickly and effectively.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Value orientation/positive cash flow</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investment philosophy will place a premium on fundamental analysis from an investor’s perspective and will have a distinct value orientation. We will focus on companies in which we can invest at relatively low multiples of operating cash flow and that are profitable at the time of investment on an operating cash flow basis. Typically, we would not expect to invest in start-up companies or companies having speculative business plans.</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Experienced management and established financial sponsor relationship</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will generally require that our portfolio companies have an experienced management team. We will also require the portfolio companies to have in place proper incentives to induce management to succeed and to act in concert with our interests as investors, including having significant equity interests. In addition, we intend to focus our investments in companies backed by strong financial sponsors that have a history of creating value and with whom members of our investment advisor have an established relationship.</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Strong and defensible competitive market position in industry</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will seek to invest in target companies that have developed leading market positions within their respective markets and are well positioned to capitalize on growth opportunities. We will seek companies that demonstrate significant competitive advantages versus their competitors, which should help to protect their market position and profitability.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Viable exit strategy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will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will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Realizable liquidation value of assets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prospective liquidation value of the assets, if any, collateralizing loans in which we invest will be an important factor in our credit analysis. We will emphasize both tangible assets, such as accounts receivable, inventory, equipment and real estate, and intangible assets, such as intellectual property, customer lists, networks and databases.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believe it is critical to conduct extensive due diligence on investment targets, and in evaluating new investments. We, through our investment adviser, will conduct a rigorous due diligence process that draws from our investment adviser’s investment experience, industry expertise and network of contacts. Our investment adviser will conduct extensive due diligence investigations in their investment activities. We expect that the senior investment professionals we retain after this offering will maintain a similar approach to conducting due diligence on prospective portfolio companies. In conducting due diligence, we expect that our investment adviser will use publicly available information as well as information from its relationships with former and current management teams, consultants, competitors and investment bankers.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will typically include:</w:t>
      </w:r>
    </w:p>
    <w:p>
      <w:pPr>
        <w:spacing w:after="0" w:line="9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of senior loan documents;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will present the investment opportunity to our investment adviser’s investment committee, which will determine whether to pursue the potential investment. All new investments will be required to be reviewed by the investment committee of our investment adviser, which currently consists of Messrs. Penn, Chang, Giannetti and Williams, subject to final approval by Mr. Penn. As our investment adviser adds senior investment professionals subsequent to this offering, our investment adviser may add them to its investment committee. The members of our investment committee will receive no compensation from us. These members will be employees or partners of our investment adviser and will receive compensation or profit distributions from our investment adviser.</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accountants prior to the closing of the investment, as well as other outside advisers, as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Once we have determined that a prospective portfolio company is suitable for investment, we will work with the management of that company and its other capital providers, including senior, junior, and equity capital providers, to structure an investment. We will negotiate among these parties to agree on how our investment is expected to perform relative to the other capital in the portfolio company’s capital structure.</w:t>
      </w:r>
    </w:p>
    <w:p>
      <w:pPr>
        <w:spacing w:after="0" w:line="8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anticipate investing in portfolio companies primarily in the form of senior secured loans and mezzanine loans. We expect our senior secured loans to have terms of three to ten years and to provide for deferred interest payments in the first few years of the term of the loan. We will obtain security interests in the assets of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portfolio companies that will serve as collateral in support of the repayment of these loans. This collateral may take the form of first or second priority liens on the assets of a portfolio company. We expect that the interest rate on our senior secured loans generally will range between 1.5% and 10% over LIBOR.</w:t>
      </w:r>
    </w:p>
    <w:p>
      <w:pPr>
        <w:spacing w:after="0" w:line="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anticipate structuring our mezzanine investments primarily as unsecured, subordinated loans that provide for relatively high, fixed interest rates that will provide us with significant current interest income. These loans typically will have interest-only payments in the early years, with amortization of principal deferred to the later years of the mezzanine loans. In some cases, we may enter into mezzanine loans that, by their terms, convert into equity or additional debt securities or defer payments of interest for the first few years after our investment. Also, in some cases our mezzanine loans may be collateralized by a subordinated lien on some or all of the assets of the borrower. Typically, our mezzanine loans will have maturities of five to ten years. We will generally target an annual total return of 11% to 20% for our mezzanine loan investments.</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case of our mezzanine loan and senior secured loan investments, we will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will seek to limit the downside potential of our investments by:</w:t>
      </w:r>
    </w:p>
    <w:p>
      <w:pPr>
        <w:spacing w:after="0" w:line="62"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00" w:hanging="446"/>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8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receive with our debt securities generally will require only a nominal cost to exercise, and thus, as a portfolio company appreciates in value, we may achieve additional investment return from these equity interests. We may structure the warrants to provide provisions protecting our rights as a minority-interest holder, as well as puts, or rights to sell such securities back to the company, upon the occurrence of specified events. In many cases, we will also obtain registration rights in connection with these equity securities, which may include demand and “piggyback” registration rights. With respect to preferred or common equity investments, we expect to target an investment return of at least 16%. However, we can offer no assurance that we can achieve such a return with respect to any investment or our portfolio as a whole.</w:t>
      </w:r>
    </w:p>
    <w:p>
      <w:pPr>
        <w:spacing w:after="0" w:line="9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expect to hold most of our investments to maturity or repayment, but will sell our investments earlier if a liquidity event takes place, such as the sale or recapitalization of a portfolio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 business development company, we will offer, and must provide upon request, managerial assistance to certain of our portfolio companies. This assistance could involve, among other things, monitoring the operations of our portfolio companies, participating in board and management meetings, consulting with and advising officers of portfolio companies and providing other organizational and financial guidance. We may receive fees for these services. PennantPark Administration will provide such managerial assistance on our behalf to portfolio companies that request this assistance.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Monitoring</w:t>
      </w:r>
    </w:p>
    <w:p>
      <w:pPr>
        <w:spacing w:after="0" w:line="9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PennantPark Investment Advisers will monitor our portfolio companies on an ongoing basis. PennantPark Investment Advisers will monitor the financial trends of each portfolio company to determine if they are meeting their respective business plans and to assess the appropriate course of action for each company.</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PennantPark Investment Advisers will have several methods of evaluating and monitoring the performance and fair value of our investments, which may include the following:</w:t>
      </w:r>
    </w:p>
    <w:p>
      <w:pPr>
        <w:spacing w:after="0" w:line="5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Comparisons to other PennantPark portfolio companies in the industry,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Valuation Process</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following is a description of the steps we will take each quarter to determine the value of our portfolio. Investments for which market quotations are readily available will be recorded in our financial statements at such market quotations. With respect to investments for which market quotations are not readily available, our board of directors will undertake a multi-step valuation process each quarter, as described below:</w:t>
      </w:r>
    </w:p>
    <w:p>
      <w:pPr>
        <w:spacing w:after="0" w:line="26" w:lineRule="exact"/>
        <w:rPr>
          <w:sz w:val="20"/>
          <w:szCs w:val="20"/>
          <w:color w:val="auto"/>
        </w:rPr>
      </w:pPr>
    </w:p>
    <w:p>
      <w:pPr>
        <w:ind w:left="900" w:right="16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Independent valuation firms engaged by our board of directors will conduct independent appraisals and review management’s preliminary valuations and their own independent assessment;</w:t>
      </w:r>
    </w:p>
    <w:p>
      <w:pPr>
        <w:spacing w:after="0" w:line="50"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 of our investment adviser and that of the independent valuation firms and respond and supplement the valuation recommendation of the independent valuation firm to reflect any comments; and</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board of directors will discuss valuations and determine the fair value of each investment in our portfolio in good faith based on the input of our investment adviser, the respective independent valuation firms and the audit committee.</w:t>
      </w:r>
    </w:p>
    <w:p>
      <w:pPr>
        <w:spacing w:after="0" w:line="10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When we make investments that involve deferrals of interest payable to us, any increase in the value of the investment due to the accrual or receipt of payment of interest will be allocated to the increase in the cost basis of the investment, rather than to capital appreciation or gain.</w:t>
      </w:r>
    </w:p>
    <w:p>
      <w:pPr>
        <w:spacing w:after="0" w:line="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expect that all of our portfolio investments will be recorded at fair value as determined under the valuation process discussed above. As a result, there will be uncertainty with respect to the value of our portfolio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primary competitors to provide financing to middle-market companies will include public and private funds, including other business development companies, commercial and investment banks, commercial financing companies, and, to the extent they provide an alternative form of financing, private equity funds. As a result of these new entrants, competition for investment opportunities at middle-market companies has intensified. Many of our competitors are substantially larger and have considerably greater financial, technical and marketing resources than we do. For example, some competitors may have a lower cost of funds and access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 We expect to use the industry information available our investment adviser to assess investment risks and determine appropriate pricing for our investments in portfolio companies. In addition, we expect to benefit from the relationships of Messrs. Penn, Chang, Giannetti and Williams, and other senior investment professionals retained by our investment adviser, will enable us to learn about, and compete effectively for, financing opportunities with attractive middle-market companies in the industries in which we seek to invest. For additional information concerning the competitive risks we face, see “Risk Factors—Risks relating to our business and structure—We operate in a highly competitive market for investment opportunities.”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do not currently have any employees. Mr. Penn, our Chief Executive Officer, is the Managing Member of our investment adviser. In addition, Mr. Efrat, our Chief Financial Officer and Treasurer, is a Managing Director of our administrator. We and our investment adviser expect to hire additional investment professionals to assist with our ongoing management and in investing the proceeds of this offering. Specifically, we expect to hire a chief compliance officer promptly after the completion of the offering. Currently, our investment adviser has four senior investment professionals, Messrs. Chang, Giannetti, Penn and Williams. Following this offering our investment adviser intends to expand its management team to a total of seven to ten investment professionals within 12 months of the completion of this offering. We and our investment adviser intend to hire professionals with skills applicable to our business plan, including experience in middle-market investing, leveraged and mezzanine finance and capital markets. It is likely that some of these individuals will be employees of PennantPark Administration and will perform their respective functions under the terms of the Administration Agreement. See “Management—Investment management agreement.” In addition, we will reimburse PennantPark Administration for our allocable portion of expenses incurred by it in performing its obligations under the Administration Agreement, including rent and our allocable portion of the cost of our chief compliance officer and their respective staffs. See “Management—Administration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3" w:lineRule="exact"/>
        <w:rPr>
          <w:sz w:val="20"/>
          <w:szCs w:val="20"/>
          <w:color w:val="auto"/>
        </w:rPr>
      </w:pPr>
    </w:p>
    <w:p>
      <w:pPr>
        <w:ind w:right="960" w:firstLine="456"/>
        <w:spacing w:after="0" w:line="254" w:lineRule="auto"/>
        <w:rPr>
          <w:sz w:val="20"/>
          <w:szCs w:val="20"/>
          <w:color w:val="auto"/>
        </w:rPr>
      </w:pPr>
      <w:r>
        <w:rPr>
          <w:rFonts w:ascii="Arial" w:cs="Arial" w:eastAsia="Arial" w:hAnsi="Arial"/>
          <w:sz w:val="16"/>
          <w:szCs w:val="16"/>
          <w:color w:val="auto"/>
        </w:rPr>
        <w:t>Our executive offices are located at 445 Park Avenue,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NY 10022, and are provided by our administrator pursuant to our Administration Agreement. We believe that our office facilities are suitable and adequate for our business as it is contemplated to be conducted.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None of our investment adviser, our administrator or us is currently subject to any material legal proceedings, nor, to our knowledge, is any material legal proceeding threatened against us, or against our investment adviser or administrator. On January 30, 2007, we received a letter from a company objecting to our use of the name Pennant Investment Corporation. We subsequently changed our name to PennantPark Investment Corporation in order to avoid any confusion with that company. In subsequent correspondence with the counsel to that company, we understand that it has continuing concerns regarding our name. We are working to resolve these concerns amicably and, while we can offer no assurance in this regard, do not believe that this issue will have a material adverse effect on our business or financial condition.</w:t>
      </w:r>
    </w:p>
    <w:p>
      <w:pPr>
        <w:spacing w:after="0" w:line="9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As of March 21, 2007, we had invested approximately $234 million of senior secured debt, of which $118 million had settled. We expect that our initial portfolio of senior secured loans will total an aggregate of approximately $250 million immediately prior to closing of this offering. The following table provides information about the investments and commitments in our portfolio as of March 21, 2007.</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left="620"/>
        <w:spacing w:after="0"/>
        <w:rPr>
          <w:sz w:val="20"/>
          <w:szCs w:val="20"/>
          <w:color w:val="auto"/>
        </w:rPr>
      </w:pPr>
      <w:r>
        <w:rPr>
          <w:rFonts w:ascii="Arial" w:cs="Arial" w:eastAsia="Arial" w:hAnsi="Arial"/>
          <w:sz w:val="12"/>
          <w:szCs w:val="12"/>
          <w:b w:val="1"/>
          <w:bCs w:val="1"/>
          <w:color w:val="auto"/>
        </w:rPr>
        <w:t>Issuer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449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Secured Debt</w:t>
      </w:r>
    </w:p>
    <w:p>
      <w:pPr>
        <w:spacing w:after="0" w:line="223" w:lineRule="auto"/>
        <w:rPr>
          <w:sz w:val="20"/>
          <w:szCs w:val="20"/>
          <w:color w:val="auto"/>
        </w:rPr>
      </w:pPr>
      <w:r>
        <w:rPr>
          <w:rFonts w:ascii="Arial" w:cs="Arial" w:eastAsia="Arial" w:hAnsi="Arial"/>
          <w:sz w:val="14"/>
          <w:szCs w:val="14"/>
          <w:color w:val="auto"/>
        </w:rPr>
        <w:t>American Cellular Corporation*</w:t>
      </w:r>
    </w:p>
    <w:p>
      <w:pPr>
        <w:ind w:left="440"/>
        <w:spacing w:after="0" w:line="222" w:lineRule="auto"/>
        <w:rPr>
          <w:sz w:val="20"/>
          <w:szCs w:val="20"/>
          <w:color w:val="auto"/>
        </w:rPr>
      </w:pPr>
      <w:r>
        <w:rPr>
          <w:rFonts w:ascii="Arial" w:cs="Arial" w:eastAsia="Arial" w:hAnsi="Arial"/>
          <w:sz w:val="14"/>
          <w:szCs w:val="14"/>
          <w:color w:val="auto"/>
        </w:rPr>
        <w:t>14201 Wireless Way, Oklahoma City,</w:t>
      </w:r>
    </w:p>
    <w:p>
      <w:pPr>
        <w:ind w:left="440"/>
        <w:spacing w:after="0"/>
        <w:rPr>
          <w:sz w:val="20"/>
          <w:szCs w:val="20"/>
          <w:color w:val="auto"/>
        </w:rPr>
      </w:pPr>
      <w:r>
        <w:rPr>
          <w:rFonts w:ascii="Arial" w:cs="Arial" w:eastAsia="Arial" w:hAnsi="Arial"/>
          <w:sz w:val="14"/>
          <w:szCs w:val="14"/>
          <w:color w:val="auto"/>
        </w:rPr>
        <w:t>OK 73134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0"/>
              </w:rPr>
              <w:t>Basis</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120" w:type="dxa"/>
            <w:vAlign w:val="bottom"/>
          </w:tcPr>
          <w:p>
            <w:pPr>
              <w:spacing w:after="0"/>
              <w:rPr>
                <w:sz w:val="12"/>
                <w:szCs w:val="12"/>
                <w:color w:val="auto"/>
              </w:rPr>
            </w:pPr>
          </w:p>
        </w:tc>
        <w:tc>
          <w:tcPr>
            <w:tcW w:w="6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Spread</w:t>
            </w: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Above</w:t>
            </w:r>
          </w:p>
        </w:tc>
        <w:tc>
          <w:tcPr>
            <w:tcW w:w="1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5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Cost</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Value(2)</w:t>
            </w:r>
          </w:p>
        </w:tc>
        <w:tc>
          <w:tcPr>
            <w:tcW w:w="0" w:type="dxa"/>
            <w:vAlign w:val="bottom"/>
          </w:tcPr>
          <w:p>
            <w:pPr>
              <w:spacing w:after="0"/>
              <w:rPr>
                <w:sz w:val="1"/>
                <w:szCs w:val="1"/>
                <w:color w:val="auto"/>
              </w:rPr>
            </w:pPr>
          </w:p>
        </w:tc>
      </w:tr>
      <w:tr>
        <w:trPr>
          <w:trHeight w:val="175"/>
        </w:trPr>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Maturity</w:t>
            </w:r>
          </w:p>
        </w:tc>
        <w:tc>
          <w:tcPr>
            <w:tcW w:w="1460" w:type="dxa"/>
            <w:vAlign w:val="bottom"/>
          </w:tcPr>
          <w:p>
            <w:pPr>
              <w:ind w:left="48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Index (1)</w:t>
            </w:r>
          </w:p>
        </w:tc>
        <w:tc>
          <w:tcPr>
            <w:tcW w:w="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5"/>
                <w:szCs w:val="15"/>
                <w:color w:val="auto"/>
              </w:rPr>
            </w:pPr>
          </w:p>
        </w:tc>
        <w:tc>
          <w:tcPr>
            <w:tcW w:w="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5"/>
              </w:rPr>
              <w:t>(000)</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05/15/14</w:t>
            </w:r>
          </w:p>
        </w:tc>
        <w:tc>
          <w:tcPr>
            <w:tcW w:w="1460" w:type="dxa"/>
            <w:vAlign w:val="bottom"/>
          </w:tcPr>
          <w:p>
            <w:pPr>
              <w:spacing w:after="0"/>
              <w:rPr>
                <w:sz w:val="20"/>
                <w:szCs w:val="20"/>
                <w:color w:val="auto"/>
              </w:rPr>
            </w:pPr>
            <w:r>
              <w:rPr>
                <w:rFonts w:ascii="Arial" w:cs="Arial" w:eastAsia="Arial" w:hAnsi="Arial"/>
                <w:sz w:val="14"/>
                <w:szCs w:val="14"/>
                <w:color w:val="auto"/>
              </w:rPr>
              <w:t>Telecom</w:t>
            </w:r>
          </w:p>
        </w:tc>
        <w:tc>
          <w:tcPr>
            <w:tcW w:w="12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Arial" w:cs="Arial" w:eastAsia="Arial" w:hAnsi="Arial"/>
                <w:sz w:val="14"/>
                <w:szCs w:val="14"/>
                <w:color w:val="auto"/>
              </w:rPr>
              <w:t>L+200</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  1,000</w:t>
            </w:r>
          </w:p>
        </w:tc>
        <w:tc>
          <w:tcPr>
            <w:tcW w:w="680" w:type="dxa"/>
            <w:vAlign w:val="bottom"/>
            <w:gridSpan w:val="3"/>
          </w:tcPr>
          <w:p>
            <w:pPr>
              <w:jc w:val="right"/>
              <w:ind w:right="120"/>
              <w:spacing w:after="0"/>
              <w:rPr>
                <w:sz w:val="20"/>
                <w:szCs w:val="20"/>
                <w:color w:val="auto"/>
              </w:rPr>
            </w:pPr>
            <w:r>
              <w:rPr>
                <w:rFonts w:ascii="Arial" w:cs="Arial" w:eastAsia="Arial" w:hAnsi="Arial"/>
                <w:sz w:val="14"/>
                <w:szCs w:val="14"/>
                <w:color w:val="auto"/>
              </w:rPr>
              <w:t>$ 1,000</w:t>
            </w:r>
          </w:p>
        </w:tc>
        <w:tc>
          <w:tcPr>
            <w:tcW w:w="480" w:type="dxa"/>
            <w:vAlign w:val="bottom"/>
          </w:tcPr>
          <w:p>
            <w:pPr>
              <w:jc w:val="center"/>
              <w:spacing w:after="0"/>
              <w:rPr>
                <w:sz w:val="20"/>
                <w:szCs w:val="20"/>
                <w:color w:val="auto"/>
              </w:rPr>
            </w:pPr>
            <w:r>
              <w:rPr>
                <w:rFonts w:ascii="Arial" w:cs="Arial" w:eastAsia="Arial" w:hAnsi="Arial"/>
                <w:sz w:val="14"/>
                <w:szCs w:val="14"/>
                <w:color w:val="auto"/>
                <w:w w:val="94"/>
              </w:rPr>
              <w:t>$  1,003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-196215</wp:posOffset>
            </wp:positionV>
            <wp:extent cx="7246620" cy="94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6080" w:space="720"/>
            <w:col w:w="46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5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Brock Holdings III, Inc.</w:t>
            </w:r>
          </w:p>
        </w:tc>
        <w:tc>
          <w:tcPr>
            <w:tcW w:w="14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02/21/13</w:t>
            </w:r>
          </w:p>
        </w:tc>
        <w:tc>
          <w:tcPr>
            <w:tcW w:w="13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Industrial Services</w:t>
            </w:r>
          </w:p>
        </w:tc>
        <w:tc>
          <w:tcPr>
            <w:tcW w:w="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L+200</w:t>
            </w:r>
          </w:p>
        </w:tc>
        <w:tc>
          <w:tcPr>
            <w:tcW w:w="70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3,000</w:t>
            </w:r>
          </w:p>
        </w:tc>
        <w:tc>
          <w:tcPr>
            <w:tcW w:w="58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3,000</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3,011</w:t>
            </w:r>
          </w:p>
        </w:tc>
      </w:tr>
      <w:tr>
        <w:trPr>
          <w:trHeight w:val="149"/>
        </w:trPr>
        <w:tc>
          <w:tcPr>
            <w:tcW w:w="5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1670 E. Cardinal Dr., Beaumont,</w:t>
            </w:r>
          </w:p>
        </w:tc>
        <w:tc>
          <w:tcPr>
            <w:tcW w:w="1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TX 77705</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38"/>
        </w:trPr>
        <w:tc>
          <w:tcPr>
            <w:tcW w:w="5960" w:type="dxa"/>
            <w:vAlign w:val="bottom"/>
          </w:tcPr>
          <w:p>
            <w:pPr>
              <w:spacing w:after="0" w:line="138" w:lineRule="exact"/>
              <w:rPr>
                <w:sz w:val="20"/>
                <w:szCs w:val="20"/>
                <w:color w:val="auto"/>
              </w:rPr>
            </w:pPr>
            <w:r>
              <w:rPr>
                <w:rFonts w:ascii="Arial" w:cs="Arial" w:eastAsia="Arial" w:hAnsi="Arial"/>
                <w:sz w:val="14"/>
                <w:szCs w:val="14"/>
                <w:color w:val="auto"/>
              </w:rPr>
              <w:t>Building Materials Corp. of America*</w:t>
            </w:r>
          </w:p>
        </w:tc>
        <w:tc>
          <w:tcPr>
            <w:tcW w:w="1420" w:type="dxa"/>
            <w:vAlign w:val="bottom"/>
          </w:tcPr>
          <w:p>
            <w:pPr>
              <w:jc w:val="right"/>
              <w:spacing w:after="0" w:line="138" w:lineRule="exact"/>
              <w:rPr>
                <w:sz w:val="20"/>
                <w:szCs w:val="20"/>
                <w:color w:val="auto"/>
              </w:rPr>
            </w:pPr>
            <w:r>
              <w:rPr>
                <w:rFonts w:ascii="Arial" w:cs="Arial" w:eastAsia="Arial" w:hAnsi="Arial"/>
                <w:sz w:val="14"/>
                <w:szCs w:val="14"/>
                <w:color w:val="auto"/>
              </w:rPr>
              <w:t>09/15/14</w:t>
            </w:r>
          </w:p>
        </w:tc>
        <w:tc>
          <w:tcPr>
            <w:tcW w:w="1380" w:type="dxa"/>
            <w:vAlign w:val="bottom"/>
          </w:tcPr>
          <w:p>
            <w:pPr>
              <w:ind w:left="60"/>
              <w:spacing w:after="0" w:line="138" w:lineRule="exact"/>
              <w:rPr>
                <w:sz w:val="20"/>
                <w:szCs w:val="20"/>
                <w:color w:val="auto"/>
              </w:rPr>
            </w:pPr>
            <w:r>
              <w:rPr>
                <w:rFonts w:ascii="Arial" w:cs="Arial" w:eastAsia="Arial" w:hAnsi="Arial"/>
                <w:sz w:val="14"/>
                <w:szCs w:val="14"/>
                <w:color w:val="auto"/>
              </w:rPr>
              <w:t>Building Products</w:t>
            </w:r>
          </w:p>
        </w:tc>
        <w:tc>
          <w:tcPr>
            <w:tcW w:w="900" w:type="dxa"/>
            <w:vAlign w:val="bottom"/>
          </w:tcPr>
          <w:p>
            <w:pPr>
              <w:ind w:left="320"/>
              <w:spacing w:after="0" w:line="138" w:lineRule="exact"/>
              <w:rPr>
                <w:sz w:val="20"/>
                <w:szCs w:val="20"/>
                <w:color w:val="auto"/>
              </w:rPr>
            </w:pPr>
            <w:r>
              <w:rPr>
                <w:rFonts w:ascii="Arial" w:cs="Arial" w:eastAsia="Arial" w:hAnsi="Arial"/>
                <w:sz w:val="14"/>
                <w:szCs w:val="14"/>
                <w:color w:val="auto"/>
              </w:rPr>
              <w:t>L+275</w:t>
            </w:r>
          </w:p>
        </w:tc>
        <w:tc>
          <w:tcPr>
            <w:tcW w:w="7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1,000**</w:t>
            </w:r>
          </w:p>
        </w:tc>
        <w:tc>
          <w:tcPr>
            <w:tcW w:w="5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1,000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999</w:t>
            </w:r>
          </w:p>
        </w:tc>
      </w:tr>
      <w:tr>
        <w:trPr>
          <w:trHeight w:val="172"/>
        </w:trPr>
        <w:tc>
          <w:tcPr>
            <w:tcW w:w="5960" w:type="dxa"/>
            <w:vAlign w:val="bottom"/>
          </w:tcPr>
          <w:p>
            <w:pPr>
              <w:ind w:left="440"/>
              <w:spacing w:after="0"/>
              <w:rPr>
                <w:sz w:val="20"/>
                <w:szCs w:val="20"/>
                <w:color w:val="auto"/>
              </w:rPr>
            </w:pPr>
            <w:r>
              <w:rPr>
                <w:rFonts w:ascii="Arial" w:cs="Arial" w:eastAsia="Arial" w:hAnsi="Arial"/>
                <w:sz w:val="14"/>
                <w:szCs w:val="14"/>
                <w:color w:val="auto"/>
              </w:rPr>
              <w:t>1361 Alps Rd., Wayne, NJ, 07470</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38"/>
        </w:trPr>
        <w:tc>
          <w:tcPr>
            <w:tcW w:w="5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Burlington Coat Factory Warehouse Corporation</w:t>
            </w:r>
          </w:p>
        </w:tc>
        <w:tc>
          <w:tcPr>
            <w:tcW w:w="14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05/28/13</w:t>
            </w:r>
          </w:p>
        </w:tc>
        <w:tc>
          <w:tcPr>
            <w:tcW w:w="13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Retail</w:t>
            </w:r>
          </w:p>
        </w:tc>
        <w:tc>
          <w:tcPr>
            <w:tcW w:w="90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L+225</w:t>
            </w:r>
          </w:p>
        </w:tc>
        <w:tc>
          <w:tcPr>
            <w:tcW w:w="7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10,000</w:t>
            </w:r>
          </w:p>
        </w:tc>
        <w:tc>
          <w:tcPr>
            <w:tcW w:w="58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9,988</w:t>
            </w:r>
          </w:p>
        </w:tc>
        <w:tc>
          <w:tcPr>
            <w:tcW w:w="4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9,913</w:t>
            </w: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1830 Rt. 130, Burlington, NJ 08016</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38"/>
        </w:trPr>
        <w:tc>
          <w:tcPr>
            <w:tcW w:w="5960" w:type="dxa"/>
            <w:vAlign w:val="bottom"/>
          </w:tcPr>
          <w:p>
            <w:pPr>
              <w:spacing w:after="0" w:line="138" w:lineRule="exact"/>
              <w:rPr>
                <w:sz w:val="20"/>
                <w:szCs w:val="20"/>
                <w:color w:val="auto"/>
              </w:rPr>
            </w:pPr>
            <w:r>
              <w:rPr>
                <w:rFonts w:ascii="Arial" w:cs="Arial" w:eastAsia="Arial" w:hAnsi="Arial"/>
                <w:sz w:val="14"/>
                <w:szCs w:val="14"/>
                <w:color w:val="auto"/>
              </w:rPr>
              <w:t>Cenveo Corporation*</w:t>
            </w:r>
          </w:p>
        </w:tc>
        <w:tc>
          <w:tcPr>
            <w:tcW w:w="1420" w:type="dxa"/>
            <w:vAlign w:val="bottom"/>
          </w:tcPr>
          <w:p>
            <w:pPr>
              <w:jc w:val="right"/>
              <w:spacing w:after="0" w:line="138" w:lineRule="exact"/>
              <w:rPr>
                <w:sz w:val="20"/>
                <w:szCs w:val="20"/>
                <w:color w:val="auto"/>
              </w:rPr>
            </w:pPr>
            <w:r>
              <w:rPr>
                <w:rFonts w:ascii="Arial" w:cs="Arial" w:eastAsia="Arial" w:hAnsi="Arial"/>
                <w:sz w:val="14"/>
                <w:szCs w:val="14"/>
                <w:color w:val="auto"/>
              </w:rPr>
              <w:t>06/21/13</w:t>
            </w:r>
          </w:p>
        </w:tc>
        <w:tc>
          <w:tcPr>
            <w:tcW w:w="1380" w:type="dxa"/>
            <w:vAlign w:val="bottom"/>
          </w:tcPr>
          <w:p>
            <w:pPr>
              <w:ind w:left="60"/>
              <w:spacing w:after="0" w:line="138" w:lineRule="exact"/>
              <w:rPr>
                <w:sz w:val="20"/>
                <w:szCs w:val="20"/>
                <w:color w:val="auto"/>
              </w:rPr>
            </w:pPr>
            <w:r>
              <w:rPr>
                <w:rFonts w:ascii="Arial" w:cs="Arial" w:eastAsia="Arial" w:hAnsi="Arial"/>
                <w:sz w:val="14"/>
                <w:szCs w:val="14"/>
                <w:color w:val="auto"/>
              </w:rPr>
              <w:t>Printing</w:t>
            </w:r>
          </w:p>
        </w:tc>
        <w:tc>
          <w:tcPr>
            <w:tcW w:w="900" w:type="dxa"/>
            <w:vAlign w:val="bottom"/>
          </w:tcPr>
          <w:p>
            <w:pPr>
              <w:ind w:left="320"/>
              <w:spacing w:after="0" w:line="138" w:lineRule="exact"/>
              <w:rPr>
                <w:sz w:val="20"/>
                <w:szCs w:val="20"/>
                <w:color w:val="auto"/>
              </w:rPr>
            </w:pPr>
            <w:r>
              <w:rPr>
                <w:rFonts w:ascii="Arial" w:cs="Arial" w:eastAsia="Arial" w:hAnsi="Arial"/>
                <w:sz w:val="14"/>
                <w:szCs w:val="14"/>
                <w:color w:val="auto"/>
              </w:rPr>
              <w:t>L+175</w:t>
            </w:r>
          </w:p>
        </w:tc>
        <w:tc>
          <w:tcPr>
            <w:tcW w:w="7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2,000**</w:t>
            </w:r>
          </w:p>
        </w:tc>
        <w:tc>
          <w:tcPr>
            <w:tcW w:w="5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2,000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2,003</w:t>
            </w:r>
          </w:p>
        </w:tc>
      </w:tr>
      <w:tr>
        <w:trPr>
          <w:trHeight w:val="172"/>
        </w:trPr>
        <w:tc>
          <w:tcPr>
            <w:tcW w:w="5960" w:type="dxa"/>
            <w:vAlign w:val="bottom"/>
          </w:tcPr>
          <w:p>
            <w:pPr>
              <w:ind w:left="440"/>
              <w:spacing w:after="0"/>
              <w:rPr>
                <w:sz w:val="20"/>
                <w:szCs w:val="20"/>
                <w:color w:val="auto"/>
              </w:rPr>
            </w:pPr>
            <w:r>
              <w:rPr>
                <w:rFonts w:ascii="Arial" w:cs="Arial" w:eastAsia="Arial" w:hAnsi="Arial"/>
                <w:sz w:val="14"/>
                <w:szCs w:val="14"/>
                <w:color w:val="auto"/>
              </w:rPr>
              <w:t>One Canterbury Grn., 201 Broad St., Stamford, CT 06901</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38"/>
        </w:trPr>
        <w:tc>
          <w:tcPr>
            <w:tcW w:w="5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Charter Communications Operating, LLC*</w:t>
            </w:r>
          </w:p>
        </w:tc>
        <w:tc>
          <w:tcPr>
            <w:tcW w:w="14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03/06/14</w:t>
            </w:r>
          </w:p>
        </w:tc>
        <w:tc>
          <w:tcPr>
            <w:tcW w:w="13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Cable TV</w:t>
            </w:r>
          </w:p>
        </w:tc>
        <w:tc>
          <w:tcPr>
            <w:tcW w:w="90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L+200</w:t>
            </w:r>
          </w:p>
        </w:tc>
        <w:tc>
          <w:tcPr>
            <w:tcW w:w="7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15,000</w:t>
            </w:r>
          </w:p>
        </w:tc>
        <w:tc>
          <w:tcPr>
            <w:tcW w:w="58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15,000</w:t>
            </w:r>
          </w:p>
        </w:tc>
        <w:tc>
          <w:tcPr>
            <w:tcW w:w="4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14,953</w:t>
            </w: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 Charter Communications Holdings, 12405 Powerscourt Dr., St. Louis, MO 63131</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38"/>
        </w:trPr>
        <w:tc>
          <w:tcPr>
            <w:tcW w:w="5960" w:type="dxa"/>
            <w:vAlign w:val="bottom"/>
          </w:tcPr>
          <w:p>
            <w:pPr>
              <w:spacing w:after="0" w:line="138" w:lineRule="exact"/>
              <w:rPr>
                <w:sz w:val="20"/>
                <w:szCs w:val="20"/>
                <w:color w:val="auto"/>
              </w:rPr>
            </w:pPr>
            <w:r>
              <w:rPr>
                <w:rFonts w:ascii="Arial" w:cs="Arial" w:eastAsia="Arial" w:hAnsi="Arial"/>
                <w:sz w:val="14"/>
                <w:szCs w:val="14"/>
                <w:color w:val="auto"/>
              </w:rPr>
              <w:t>Cohr Holdings, Inc. (Master Plan)*</w:t>
            </w:r>
          </w:p>
        </w:tc>
        <w:tc>
          <w:tcPr>
            <w:tcW w:w="1420" w:type="dxa"/>
            <w:vAlign w:val="bottom"/>
          </w:tcPr>
          <w:p>
            <w:pPr>
              <w:jc w:val="right"/>
              <w:spacing w:after="0" w:line="138" w:lineRule="exact"/>
              <w:rPr>
                <w:sz w:val="20"/>
                <w:szCs w:val="20"/>
                <w:color w:val="auto"/>
              </w:rPr>
            </w:pPr>
            <w:r>
              <w:rPr>
                <w:rFonts w:ascii="Arial" w:cs="Arial" w:eastAsia="Arial" w:hAnsi="Arial"/>
                <w:sz w:val="14"/>
                <w:szCs w:val="14"/>
                <w:color w:val="auto"/>
              </w:rPr>
              <w:t>01/31/13</w:t>
            </w:r>
          </w:p>
        </w:tc>
        <w:tc>
          <w:tcPr>
            <w:tcW w:w="1380" w:type="dxa"/>
            <w:vAlign w:val="bottom"/>
          </w:tcPr>
          <w:p>
            <w:pPr>
              <w:ind w:left="60"/>
              <w:spacing w:after="0" w:line="138" w:lineRule="exact"/>
              <w:rPr>
                <w:sz w:val="20"/>
                <w:szCs w:val="20"/>
                <w:color w:val="auto"/>
              </w:rPr>
            </w:pPr>
            <w:r>
              <w:rPr>
                <w:rFonts w:ascii="Arial" w:cs="Arial" w:eastAsia="Arial" w:hAnsi="Arial"/>
                <w:sz w:val="14"/>
                <w:szCs w:val="14"/>
                <w:color w:val="auto"/>
              </w:rPr>
              <w:t>Healthcare</w:t>
            </w:r>
          </w:p>
        </w:tc>
        <w:tc>
          <w:tcPr>
            <w:tcW w:w="900" w:type="dxa"/>
            <w:vAlign w:val="bottom"/>
          </w:tcPr>
          <w:p>
            <w:pPr>
              <w:ind w:left="320"/>
              <w:spacing w:after="0" w:line="138" w:lineRule="exact"/>
              <w:rPr>
                <w:sz w:val="20"/>
                <w:szCs w:val="20"/>
                <w:color w:val="auto"/>
              </w:rPr>
            </w:pPr>
            <w:r>
              <w:rPr>
                <w:rFonts w:ascii="Arial" w:cs="Arial" w:eastAsia="Arial" w:hAnsi="Arial"/>
                <w:sz w:val="14"/>
                <w:szCs w:val="14"/>
                <w:color w:val="auto"/>
              </w:rPr>
              <w:t>L+250</w:t>
            </w:r>
          </w:p>
        </w:tc>
        <w:tc>
          <w:tcPr>
            <w:tcW w:w="7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7,000</w:t>
            </w:r>
          </w:p>
        </w:tc>
        <w:tc>
          <w:tcPr>
            <w:tcW w:w="5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7,000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7,031</w:t>
            </w:r>
          </w:p>
        </w:tc>
      </w:tr>
      <w:tr>
        <w:trPr>
          <w:trHeight w:val="149"/>
        </w:trPr>
        <w:tc>
          <w:tcPr>
            <w:tcW w:w="5960" w:type="dxa"/>
            <w:vAlign w:val="bottom"/>
          </w:tcPr>
          <w:p>
            <w:pPr>
              <w:ind w:left="440"/>
              <w:spacing w:after="0" w:line="149" w:lineRule="exact"/>
              <w:rPr>
                <w:sz w:val="20"/>
                <w:szCs w:val="20"/>
                <w:color w:val="auto"/>
              </w:rPr>
            </w:pPr>
            <w:r>
              <w:rPr>
                <w:rFonts w:ascii="Arial" w:cs="Arial" w:eastAsia="Arial" w:hAnsi="Arial"/>
                <w:sz w:val="14"/>
                <w:szCs w:val="14"/>
                <w:color w:val="auto"/>
              </w:rPr>
              <w:t>21540 Plummer St.,</w:t>
            </w:r>
          </w:p>
        </w:tc>
        <w:tc>
          <w:tcPr>
            <w:tcW w:w="1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72"/>
        </w:trPr>
        <w:tc>
          <w:tcPr>
            <w:tcW w:w="5960" w:type="dxa"/>
            <w:vAlign w:val="bottom"/>
          </w:tcPr>
          <w:p>
            <w:pPr>
              <w:ind w:left="440"/>
              <w:spacing w:after="0"/>
              <w:rPr>
                <w:sz w:val="20"/>
                <w:szCs w:val="20"/>
                <w:color w:val="auto"/>
              </w:rPr>
            </w:pPr>
            <w:r>
              <w:rPr>
                <w:rFonts w:ascii="Arial" w:cs="Arial" w:eastAsia="Arial" w:hAnsi="Arial"/>
                <w:sz w:val="14"/>
                <w:szCs w:val="14"/>
                <w:color w:val="auto"/>
              </w:rPr>
              <w:t>Chatsworth, CA 91311</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38"/>
        </w:trPr>
        <w:tc>
          <w:tcPr>
            <w:tcW w:w="5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Covalence Specialty Materials Corp.*</w:t>
            </w:r>
          </w:p>
        </w:tc>
        <w:tc>
          <w:tcPr>
            <w:tcW w:w="14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02/16/13</w:t>
            </w:r>
          </w:p>
        </w:tc>
        <w:tc>
          <w:tcPr>
            <w:tcW w:w="13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Packaging</w:t>
            </w:r>
          </w:p>
        </w:tc>
        <w:tc>
          <w:tcPr>
            <w:tcW w:w="90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L+200</w:t>
            </w:r>
          </w:p>
        </w:tc>
        <w:tc>
          <w:tcPr>
            <w:tcW w:w="7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5,975</w:t>
            </w:r>
          </w:p>
        </w:tc>
        <w:tc>
          <w:tcPr>
            <w:tcW w:w="58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5,990</w:t>
            </w:r>
          </w:p>
        </w:tc>
        <w:tc>
          <w:tcPr>
            <w:tcW w:w="4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5,979</w:t>
            </w: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 Crossroads Dr., Building A, Third Floor, Bedminister, NJ 07921</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38"/>
        </w:trPr>
        <w:tc>
          <w:tcPr>
            <w:tcW w:w="5960" w:type="dxa"/>
            <w:vAlign w:val="bottom"/>
          </w:tcPr>
          <w:p>
            <w:pPr>
              <w:spacing w:after="0" w:line="138" w:lineRule="exact"/>
              <w:rPr>
                <w:sz w:val="20"/>
                <w:szCs w:val="20"/>
                <w:color w:val="auto"/>
              </w:rPr>
            </w:pPr>
            <w:r>
              <w:rPr>
                <w:rFonts w:ascii="Arial" w:cs="Arial" w:eastAsia="Arial" w:hAnsi="Arial"/>
                <w:sz w:val="14"/>
                <w:szCs w:val="14"/>
                <w:color w:val="auto"/>
              </w:rPr>
              <w:t>Domtar Corporation</w:t>
            </w:r>
          </w:p>
        </w:tc>
        <w:tc>
          <w:tcPr>
            <w:tcW w:w="1420" w:type="dxa"/>
            <w:vAlign w:val="bottom"/>
          </w:tcPr>
          <w:p>
            <w:pPr>
              <w:jc w:val="right"/>
              <w:spacing w:after="0" w:line="138" w:lineRule="exact"/>
              <w:rPr>
                <w:sz w:val="20"/>
                <w:szCs w:val="20"/>
                <w:color w:val="auto"/>
              </w:rPr>
            </w:pPr>
            <w:r>
              <w:rPr>
                <w:rFonts w:ascii="Arial" w:cs="Arial" w:eastAsia="Arial" w:hAnsi="Arial"/>
                <w:sz w:val="14"/>
                <w:szCs w:val="14"/>
                <w:color w:val="auto"/>
              </w:rPr>
              <w:t>03/05/14</w:t>
            </w:r>
          </w:p>
        </w:tc>
        <w:tc>
          <w:tcPr>
            <w:tcW w:w="1380" w:type="dxa"/>
            <w:vAlign w:val="bottom"/>
          </w:tcPr>
          <w:p>
            <w:pPr>
              <w:ind w:left="60"/>
              <w:spacing w:after="0" w:line="138" w:lineRule="exact"/>
              <w:rPr>
                <w:sz w:val="20"/>
                <w:szCs w:val="20"/>
                <w:color w:val="auto"/>
              </w:rPr>
            </w:pPr>
            <w:r>
              <w:rPr>
                <w:rFonts w:ascii="Arial" w:cs="Arial" w:eastAsia="Arial" w:hAnsi="Arial"/>
                <w:sz w:val="14"/>
                <w:szCs w:val="14"/>
                <w:color w:val="auto"/>
              </w:rPr>
              <w:t>Paper</w:t>
            </w:r>
          </w:p>
        </w:tc>
        <w:tc>
          <w:tcPr>
            <w:tcW w:w="900" w:type="dxa"/>
            <w:vAlign w:val="bottom"/>
          </w:tcPr>
          <w:p>
            <w:pPr>
              <w:ind w:left="320"/>
              <w:spacing w:after="0" w:line="138" w:lineRule="exact"/>
              <w:rPr>
                <w:sz w:val="20"/>
                <w:szCs w:val="20"/>
                <w:color w:val="auto"/>
              </w:rPr>
            </w:pPr>
            <w:r>
              <w:rPr>
                <w:rFonts w:ascii="Arial" w:cs="Arial" w:eastAsia="Arial" w:hAnsi="Arial"/>
                <w:sz w:val="14"/>
                <w:szCs w:val="14"/>
                <w:color w:val="auto"/>
              </w:rPr>
              <w:t>L+137.5</w:t>
            </w:r>
          </w:p>
        </w:tc>
        <w:tc>
          <w:tcPr>
            <w:tcW w:w="7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5,000</w:t>
            </w:r>
          </w:p>
        </w:tc>
        <w:tc>
          <w:tcPr>
            <w:tcW w:w="5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5,000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4,988</w:t>
            </w:r>
          </w:p>
        </w:tc>
      </w:tr>
      <w:tr>
        <w:trPr>
          <w:trHeight w:val="172"/>
        </w:trPr>
        <w:tc>
          <w:tcPr>
            <w:tcW w:w="5960" w:type="dxa"/>
            <w:vAlign w:val="bottom"/>
          </w:tcPr>
          <w:p>
            <w:pPr>
              <w:ind w:left="440"/>
              <w:spacing w:after="0"/>
              <w:rPr>
                <w:sz w:val="20"/>
                <w:szCs w:val="20"/>
                <w:color w:val="auto"/>
              </w:rPr>
            </w:pPr>
            <w:r>
              <w:rPr>
                <w:rFonts w:ascii="Arial" w:cs="Arial" w:eastAsia="Arial" w:hAnsi="Arial"/>
                <w:sz w:val="14"/>
                <w:szCs w:val="14"/>
                <w:color w:val="auto"/>
              </w:rPr>
              <w:t>395 de Maisonnueve Blvd., West Montreal, Quebec H3A 1L6</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38"/>
        </w:trPr>
        <w:tc>
          <w:tcPr>
            <w:tcW w:w="5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FR Brand Holding Corp.</w:t>
            </w:r>
          </w:p>
        </w:tc>
        <w:tc>
          <w:tcPr>
            <w:tcW w:w="14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02/07/14</w:t>
            </w:r>
          </w:p>
        </w:tc>
        <w:tc>
          <w:tcPr>
            <w:tcW w:w="13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Infrastructure</w:t>
            </w:r>
          </w:p>
        </w:tc>
        <w:tc>
          <w:tcPr>
            <w:tcW w:w="90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L+225</w:t>
            </w:r>
          </w:p>
        </w:tc>
        <w:tc>
          <w:tcPr>
            <w:tcW w:w="7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2,000</w:t>
            </w:r>
          </w:p>
        </w:tc>
        <w:tc>
          <w:tcPr>
            <w:tcW w:w="58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2,000</w:t>
            </w:r>
          </w:p>
        </w:tc>
        <w:tc>
          <w:tcPr>
            <w:tcW w:w="4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2,009</w:t>
            </w:r>
          </w:p>
        </w:tc>
      </w:tr>
      <w:tr>
        <w:trPr>
          <w:trHeight w:val="149"/>
        </w:trPr>
        <w:tc>
          <w:tcPr>
            <w:tcW w:w="5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600 Travis St., Suite 600, Houston,</w:t>
            </w:r>
          </w:p>
        </w:tc>
        <w:tc>
          <w:tcPr>
            <w:tcW w:w="1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TX 77002</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62"/>
        </w:trPr>
        <w:tc>
          <w:tcPr>
            <w:tcW w:w="5960" w:type="dxa"/>
            <w:vAlign w:val="bottom"/>
          </w:tcPr>
          <w:p>
            <w:pPr>
              <w:spacing w:after="0"/>
              <w:rPr>
                <w:sz w:val="20"/>
                <w:szCs w:val="20"/>
                <w:color w:val="auto"/>
              </w:rPr>
            </w:pPr>
            <w:r>
              <w:rPr>
                <w:rFonts w:ascii="Arial" w:cs="Arial" w:eastAsia="Arial" w:hAnsi="Arial"/>
                <w:sz w:val="14"/>
                <w:szCs w:val="14"/>
                <w:color w:val="auto"/>
              </w:rPr>
              <w:t>Gatehouse Media Operating, Inc.*</w:t>
            </w:r>
          </w:p>
        </w:tc>
        <w:tc>
          <w:tcPr>
            <w:tcW w:w="1420" w:type="dxa"/>
            <w:vAlign w:val="bottom"/>
          </w:tcPr>
          <w:p>
            <w:pPr>
              <w:jc w:val="right"/>
              <w:spacing w:after="0"/>
              <w:rPr>
                <w:sz w:val="20"/>
                <w:szCs w:val="20"/>
                <w:color w:val="auto"/>
              </w:rPr>
            </w:pPr>
            <w:r>
              <w:rPr>
                <w:rFonts w:ascii="Arial" w:cs="Arial" w:eastAsia="Arial" w:hAnsi="Arial"/>
                <w:sz w:val="14"/>
                <w:szCs w:val="14"/>
                <w:color w:val="auto"/>
              </w:rPr>
              <w:t>08/27/14</w:t>
            </w:r>
          </w:p>
        </w:tc>
        <w:tc>
          <w:tcPr>
            <w:tcW w:w="1380" w:type="dxa"/>
            <w:vAlign w:val="bottom"/>
          </w:tcPr>
          <w:p>
            <w:pPr>
              <w:ind w:left="60"/>
              <w:spacing w:after="0"/>
              <w:rPr>
                <w:sz w:val="20"/>
                <w:szCs w:val="20"/>
                <w:color w:val="auto"/>
              </w:rPr>
            </w:pPr>
            <w:r>
              <w:rPr>
                <w:rFonts w:ascii="Arial" w:cs="Arial" w:eastAsia="Arial" w:hAnsi="Arial"/>
                <w:sz w:val="14"/>
                <w:szCs w:val="14"/>
                <w:color w:val="auto"/>
              </w:rPr>
              <w:t>Media</w:t>
            </w:r>
          </w:p>
        </w:tc>
        <w:tc>
          <w:tcPr>
            <w:tcW w:w="900" w:type="dxa"/>
            <w:vAlign w:val="bottom"/>
          </w:tcPr>
          <w:p>
            <w:pPr>
              <w:ind w:left="320"/>
              <w:spacing w:after="0"/>
              <w:rPr>
                <w:sz w:val="20"/>
                <w:szCs w:val="20"/>
                <w:color w:val="auto"/>
              </w:rPr>
            </w:pPr>
            <w:r>
              <w:rPr>
                <w:rFonts w:ascii="Arial" w:cs="Arial" w:eastAsia="Arial" w:hAnsi="Arial"/>
                <w:sz w:val="14"/>
                <w:szCs w:val="14"/>
                <w:color w:val="auto"/>
              </w:rPr>
              <w:t>L+175</w:t>
            </w:r>
          </w:p>
        </w:tc>
        <w:tc>
          <w:tcPr>
            <w:tcW w:w="700" w:type="dxa"/>
            <w:vAlign w:val="bottom"/>
          </w:tcPr>
          <w:p>
            <w:pPr>
              <w:jc w:val="right"/>
              <w:ind w:right="152"/>
              <w:spacing w:after="0"/>
              <w:rPr>
                <w:sz w:val="20"/>
                <w:szCs w:val="20"/>
                <w:color w:val="auto"/>
              </w:rPr>
            </w:pPr>
            <w:r>
              <w:rPr>
                <w:rFonts w:ascii="Arial" w:cs="Arial" w:eastAsia="Arial" w:hAnsi="Arial"/>
                <w:sz w:val="14"/>
                <w:szCs w:val="14"/>
                <w:color w:val="auto"/>
              </w:rPr>
              <w:t>3,641</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3,641</w:t>
            </w:r>
          </w:p>
        </w:tc>
        <w:tc>
          <w:tcPr>
            <w:tcW w:w="480" w:type="dxa"/>
            <w:vAlign w:val="bottom"/>
          </w:tcPr>
          <w:p>
            <w:pPr>
              <w:jc w:val="right"/>
              <w:spacing w:after="0"/>
              <w:rPr>
                <w:sz w:val="20"/>
                <w:szCs w:val="20"/>
                <w:color w:val="auto"/>
              </w:rPr>
            </w:pPr>
            <w:r>
              <w:rPr>
                <w:rFonts w:ascii="Arial" w:cs="Arial" w:eastAsia="Arial" w:hAnsi="Arial"/>
                <w:sz w:val="14"/>
                <w:szCs w:val="14"/>
                <w:color w:val="auto"/>
              </w:rPr>
              <w:t>3,634</w:t>
            </w:r>
          </w:p>
        </w:tc>
      </w:tr>
      <w:tr>
        <w:trPr>
          <w:trHeight w:val="162"/>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350 Willowbrook Office Park,</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02/27/14</w:t>
            </w:r>
          </w:p>
        </w:tc>
        <w:tc>
          <w:tcPr>
            <w:tcW w:w="1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Media</w:t>
            </w:r>
          </w:p>
        </w:tc>
        <w:tc>
          <w:tcPr>
            <w:tcW w:w="9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L+175</w:t>
            </w: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109</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109</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62"/>
        </w:trPr>
        <w:tc>
          <w:tcPr>
            <w:tcW w:w="5960" w:type="dxa"/>
            <w:vAlign w:val="bottom"/>
          </w:tcPr>
          <w:p>
            <w:pPr>
              <w:ind w:left="440"/>
              <w:spacing w:after="0"/>
              <w:rPr>
                <w:sz w:val="20"/>
                <w:szCs w:val="20"/>
                <w:color w:val="auto"/>
              </w:rPr>
            </w:pPr>
            <w:r>
              <w:rPr>
                <w:rFonts w:ascii="Arial" w:cs="Arial" w:eastAsia="Arial" w:hAnsi="Arial"/>
                <w:sz w:val="14"/>
                <w:szCs w:val="14"/>
                <w:color w:val="auto"/>
              </w:rPr>
              <w:t>Fairport, NY 14450</w:t>
            </w:r>
          </w:p>
        </w:tc>
        <w:tc>
          <w:tcPr>
            <w:tcW w:w="1420" w:type="dxa"/>
            <w:vAlign w:val="bottom"/>
          </w:tcPr>
          <w:p>
            <w:pPr>
              <w:jc w:val="right"/>
              <w:spacing w:after="0"/>
              <w:rPr>
                <w:sz w:val="20"/>
                <w:szCs w:val="20"/>
                <w:color w:val="auto"/>
              </w:rPr>
            </w:pPr>
            <w:r>
              <w:rPr>
                <w:rFonts w:ascii="Arial" w:cs="Arial" w:eastAsia="Arial" w:hAnsi="Arial"/>
                <w:sz w:val="14"/>
                <w:szCs w:val="14"/>
                <w:color w:val="auto"/>
              </w:rPr>
              <w:t>02/27/14</w:t>
            </w:r>
          </w:p>
        </w:tc>
        <w:tc>
          <w:tcPr>
            <w:tcW w:w="1380" w:type="dxa"/>
            <w:vAlign w:val="bottom"/>
          </w:tcPr>
          <w:p>
            <w:pPr>
              <w:ind w:left="60"/>
              <w:spacing w:after="0"/>
              <w:rPr>
                <w:sz w:val="20"/>
                <w:szCs w:val="20"/>
                <w:color w:val="auto"/>
              </w:rPr>
            </w:pPr>
            <w:r>
              <w:rPr>
                <w:rFonts w:ascii="Arial" w:cs="Arial" w:eastAsia="Arial" w:hAnsi="Arial"/>
                <w:sz w:val="14"/>
                <w:szCs w:val="14"/>
                <w:color w:val="auto"/>
              </w:rPr>
              <w:t>Media</w:t>
            </w:r>
          </w:p>
        </w:tc>
        <w:tc>
          <w:tcPr>
            <w:tcW w:w="900" w:type="dxa"/>
            <w:vAlign w:val="bottom"/>
          </w:tcPr>
          <w:p>
            <w:pPr>
              <w:ind w:left="4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1,250**</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1,250</w:t>
            </w:r>
          </w:p>
        </w:tc>
        <w:tc>
          <w:tcPr>
            <w:tcW w:w="480" w:type="dxa"/>
            <w:vAlign w:val="bottom"/>
          </w:tcPr>
          <w:p>
            <w:pPr>
              <w:jc w:val="right"/>
              <w:spacing w:after="0"/>
              <w:rPr>
                <w:sz w:val="20"/>
                <w:szCs w:val="20"/>
                <w:color w:val="auto"/>
              </w:rPr>
            </w:pPr>
            <w:r>
              <w:rPr>
                <w:rFonts w:ascii="Arial" w:cs="Arial" w:eastAsia="Arial" w:hAnsi="Arial"/>
                <w:sz w:val="14"/>
                <w:szCs w:val="14"/>
                <w:color w:val="auto"/>
              </w:rPr>
              <w:t>1,248</w:t>
            </w:r>
          </w:p>
        </w:tc>
      </w:tr>
      <w:tr>
        <w:trPr>
          <w:trHeight w:val="149"/>
        </w:trPr>
        <w:tc>
          <w:tcPr>
            <w:tcW w:w="59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02/27/14</w:t>
            </w:r>
          </w:p>
        </w:tc>
        <w:tc>
          <w:tcPr>
            <w:tcW w:w="13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Media</w:t>
            </w:r>
          </w:p>
        </w:tc>
        <w:tc>
          <w:tcPr>
            <w:tcW w:w="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L+175</w:t>
            </w:r>
          </w:p>
        </w:tc>
        <w:tc>
          <w:tcPr>
            <w:tcW w:w="7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1,456</w:t>
            </w: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1,456</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1,454</w:t>
            </w:r>
          </w:p>
        </w:tc>
      </w:tr>
      <w:tr>
        <w:trPr>
          <w:trHeight w:val="149"/>
        </w:trPr>
        <w:tc>
          <w:tcPr>
            <w:tcW w:w="596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02/27/14</w:t>
            </w:r>
          </w:p>
        </w:tc>
        <w:tc>
          <w:tcPr>
            <w:tcW w:w="1380" w:type="dxa"/>
            <w:vAlign w:val="bottom"/>
          </w:tcPr>
          <w:p>
            <w:pPr>
              <w:ind w:left="60"/>
              <w:spacing w:after="0" w:line="149" w:lineRule="exact"/>
              <w:rPr>
                <w:sz w:val="20"/>
                <w:szCs w:val="20"/>
                <w:color w:val="auto"/>
              </w:rPr>
            </w:pPr>
            <w:r>
              <w:rPr>
                <w:rFonts w:ascii="Arial" w:cs="Arial" w:eastAsia="Arial" w:hAnsi="Arial"/>
                <w:sz w:val="14"/>
                <w:szCs w:val="14"/>
                <w:color w:val="auto"/>
              </w:rPr>
              <w:t>Media</w:t>
            </w:r>
          </w:p>
        </w:tc>
        <w:tc>
          <w:tcPr>
            <w:tcW w:w="90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544**</w:t>
            </w: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543</w:t>
            </w: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03/16/12</w:t>
            </w:r>
          </w:p>
        </w:tc>
        <w:tc>
          <w:tcPr>
            <w:tcW w:w="13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Retail</w:t>
            </w:r>
          </w:p>
        </w:tc>
        <w:tc>
          <w:tcPr>
            <w:tcW w:w="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L+225</w:t>
            </w:r>
          </w:p>
        </w:tc>
        <w:tc>
          <w:tcPr>
            <w:tcW w:w="7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3,000</w:t>
            </w: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3,000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r>
      <w:tr>
        <w:trPr>
          <w:trHeight w:val="149"/>
        </w:trPr>
        <w:tc>
          <w:tcPr>
            <w:tcW w:w="5960" w:type="dxa"/>
            <w:vAlign w:val="bottom"/>
          </w:tcPr>
          <w:p>
            <w:pPr>
              <w:ind w:left="440"/>
              <w:spacing w:after="0" w:line="149" w:lineRule="exact"/>
              <w:rPr>
                <w:sz w:val="20"/>
                <w:szCs w:val="20"/>
                <w:color w:val="auto"/>
              </w:rPr>
            </w:pPr>
            <w:r>
              <w:rPr>
                <w:rFonts w:ascii="Arial" w:cs="Arial" w:eastAsia="Arial" w:hAnsi="Arial"/>
                <w:sz w:val="14"/>
                <w:szCs w:val="14"/>
                <w:color w:val="auto"/>
              </w:rPr>
              <w:t>300 Sixth Avenue, Pittsburgh, PA 15222</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09/16/13</w:t>
            </w:r>
          </w:p>
        </w:tc>
        <w:tc>
          <w:tcPr>
            <w:tcW w:w="1380" w:type="dxa"/>
            <w:vAlign w:val="bottom"/>
          </w:tcPr>
          <w:p>
            <w:pPr>
              <w:ind w:left="60"/>
              <w:spacing w:after="0" w:line="149" w:lineRule="exact"/>
              <w:rPr>
                <w:sz w:val="20"/>
                <w:szCs w:val="20"/>
                <w:color w:val="auto"/>
              </w:rPr>
            </w:pPr>
            <w:r>
              <w:rPr>
                <w:rFonts w:ascii="Arial" w:cs="Arial" w:eastAsia="Arial" w:hAnsi="Arial"/>
                <w:sz w:val="14"/>
                <w:szCs w:val="14"/>
                <w:color w:val="auto"/>
              </w:rPr>
              <w:t>Retail</w:t>
            </w:r>
          </w:p>
        </w:tc>
        <w:tc>
          <w:tcPr>
            <w:tcW w:w="900" w:type="dxa"/>
            <w:vAlign w:val="bottom"/>
          </w:tcPr>
          <w:p>
            <w:pPr>
              <w:ind w:left="320"/>
              <w:spacing w:after="0" w:line="149" w:lineRule="exact"/>
              <w:rPr>
                <w:sz w:val="20"/>
                <w:szCs w:val="20"/>
                <w:color w:val="auto"/>
              </w:rPr>
            </w:pPr>
            <w:r>
              <w:rPr>
                <w:rFonts w:ascii="Arial" w:cs="Arial" w:eastAsia="Arial" w:hAnsi="Arial"/>
                <w:sz w:val="14"/>
                <w:szCs w:val="14"/>
                <w:color w:val="auto"/>
              </w:rPr>
              <w:t>L+225</w:t>
            </w: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3,500</w:t>
            </w: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3,504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3,500</w:t>
            </w:r>
          </w:p>
        </w:tc>
      </w:tr>
      <w:tr>
        <w:trPr>
          <w:trHeight w:val="138"/>
        </w:trPr>
        <w:tc>
          <w:tcPr>
            <w:tcW w:w="5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Giant Industries, Inc. (Western Refining)*</w:t>
            </w:r>
          </w:p>
        </w:tc>
        <w:tc>
          <w:tcPr>
            <w:tcW w:w="14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06/25/10</w:t>
            </w:r>
          </w:p>
        </w:tc>
        <w:tc>
          <w:tcPr>
            <w:tcW w:w="13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Energy</w:t>
            </w:r>
          </w:p>
        </w:tc>
        <w:tc>
          <w:tcPr>
            <w:tcW w:w="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L+175</w:t>
            </w:r>
          </w:p>
        </w:tc>
        <w:tc>
          <w:tcPr>
            <w:tcW w:w="70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12,000</w:t>
            </w:r>
          </w:p>
        </w:tc>
        <w:tc>
          <w:tcPr>
            <w:tcW w:w="58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12,000</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12,030</w:t>
            </w:r>
          </w:p>
        </w:tc>
      </w:tr>
      <w:tr>
        <w:trPr>
          <w:trHeight w:val="149"/>
        </w:trPr>
        <w:tc>
          <w:tcPr>
            <w:tcW w:w="5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23733 North Scottsdale Rd.,</w:t>
            </w:r>
          </w:p>
        </w:tc>
        <w:tc>
          <w:tcPr>
            <w:tcW w:w="1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Scottsdale, AZ 85255</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38"/>
        </w:trPr>
        <w:tc>
          <w:tcPr>
            <w:tcW w:w="5960" w:type="dxa"/>
            <w:vAlign w:val="bottom"/>
          </w:tcPr>
          <w:p>
            <w:pPr>
              <w:spacing w:after="0" w:line="138" w:lineRule="exact"/>
              <w:rPr>
                <w:sz w:val="20"/>
                <w:szCs w:val="20"/>
                <w:color w:val="auto"/>
              </w:rPr>
            </w:pPr>
            <w:r>
              <w:rPr>
                <w:rFonts w:ascii="Arial" w:cs="Arial" w:eastAsia="Arial" w:hAnsi="Arial"/>
                <w:sz w:val="14"/>
                <w:szCs w:val="14"/>
                <w:color w:val="auto"/>
              </w:rPr>
              <w:t>Greatwide Logistics Services, Inc.</w:t>
            </w:r>
          </w:p>
        </w:tc>
        <w:tc>
          <w:tcPr>
            <w:tcW w:w="1420" w:type="dxa"/>
            <w:vAlign w:val="bottom"/>
          </w:tcPr>
          <w:p>
            <w:pPr>
              <w:jc w:val="right"/>
              <w:spacing w:after="0" w:line="138" w:lineRule="exact"/>
              <w:rPr>
                <w:sz w:val="20"/>
                <w:szCs w:val="20"/>
                <w:color w:val="auto"/>
              </w:rPr>
            </w:pPr>
            <w:r>
              <w:rPr>
                <w:rFonts w:ascii="Arial" w:cs="Arial" w:eastAsia="Arial" w:hAnsi="Arial"/>
                <w:sz w:val="14"/>
                <w:szCs w:val="14"/>
                <w:color w:val="auto"/>
              </w:rPr>
              <w:t>12/19/13</w:t>
            </w:r>
          </w:p>
        </w:tc>
        <w:tc>
          <w:tcPr>
            <w:tcW w:w="1380" w:type="dxa"/>
            <w:vAlign w:val="bottom"/>
          </w:tcPr>
          <w:p>
            <w:pPr>
              <w:ind w:left="60"/>
              <w:spacing w:after="0" w:line="138" w:lineRule="exact"/>
              <w:rPr>
                <w:sz w:val="20"/>
                <w:szCs w:val="20"/>
                <w:color w:val="auto"/>
              </w:rPr>
            </w:pPr>
            <w:r>
              <w:rPr>
                <w:rFonts w:ascii="Arial" w:cs="Arial" w:eastAsia="Arial" w:hAnsi="Arial"/>
                <w:sz w:val="14"/>
                <w:szCs w:val="14"/>
                <w:color w:val="auto"/>
              </w:rPr>
              <w:t>Logistics</w:t>
            </w:r>
          </w:p>
        </w:tc>
        <w:tc>
          <w:tcPr>
            <w:tcW w:w="900" w:type="dxa"/>
            <w:vAlign w:val="bottom"/>
          </w:tcPr>
          <w:p>
            <w:pPr>
              <w:ind w:left="320"/>
              <w:spacing w:after="0" w:line="138" w:lineRule="exact"/>
              <w:rPr>
                <w:sz w:val="20"/>
                <w:szCs w:val="20"/>
                <w:color w:val="auto"/>
              </w:rPr>
            </w:pPr>
            <w:r>
              <w:rPr>
                <w:rFonts w:ascii="Arial" w:cs="Arial" w:eastAsia="Arial" w:hAnsi="Arial"/>
                <w:sz w:val="14"/>
                <w:szCs w:val="14"/>
                <w:color w:val="auto"/>
              </w:rPr>
              <w:t>L+350</w:t>
            </w:r>
          </w:p>
        </w:tc>
        <w:tc>
          <w:tcPr>
            <w:tcW w:w="7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7,000</w:t>
            </w:r>
          </w:p>
        </w:tc>
        <w:tc>
          <w:tcPr>
            <w:tcW w:w="5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7,000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7,021</w:t>
            </w:r>
          </w:p>
        </w:tc>
      </w:tr>
      <w:tr>
        <w:trPr>
          <w:trHeight w:val="172"/>
        </w:trPr>
        <w:tc>
          <w:tcPr>
            <w:tcW w:w="5960" w:type="dxa"/>
            <w:vAlign w:val="bottom"/>
          </w:tcPr>
          <w:p>
            <w:pPr>
              <w:ind w:left="440"/>
              <w:spacing w:after="0"/>
              <w:rPr>
                <w:sz w:val="20"/>
                <w:szCs w:val="20"/>
                <w:color w:val="auto"/>
              </w:rPr>
            </w:pPr>
            <w:r>
              <w:rPr>
                <w:rFonts w:ascii="Arial" w:cs="Arial" w:eastAsia="Arial" w:hAnsi="Arial"/>
                <w:sz w:val="14"/>
                <w:szCs w:val="14"/>
                <w:color w:val="auto"/>
              </w:rPr>
              <w:t>12404 Park Central Dr., Suite 300S, Dallas, TX 75251</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38"/>
        </w:trPr>
        <w:tc>
          <w:tcPr>
            <w:tcW w:w="5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Green Valley Ranch Gaming, LLC</w:t>
            </w:r>
          </w:p>
        </w:tc>
        <w:tc>
          <w:tcPr>
            <w:tcW w:w="14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02/08/14</w:t>
            </w:r>
          </w:p>
        </w:tc>
        <w:tc>
          <w:tcPr>
            <w:tcW w:w="13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Gaming</w:t>
            </w:r>
          </w:p>
        </w:tc>
        <w:tc>
          <w:tcPr>
            <w:tcW w:w="90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L+200</w:t>
            </w:r>
          </w:p>
        </w:tc>
        <w:tc>
          <w:tcPr>
            <w:tcW w:w="7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4,818</w:t>
            </w:r>
          </w:p>
        </w:tc>
        <w:tc>
          <w:tcPr>
            <w:tcW w:w="58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4,818</w:t>
            </w:r>
          </w:p>
        </w:tc>
        <w:tc>
          <w:tcPr>
            <w:tcW w:w="4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4,836</w:t>
            </w: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 Station Casinos, Inc., 2411 W. Sahara Ave., Las Vegas, NV, 89102</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4"/>
                <w:szCs w:val="14"/>
                <w:color w:val="auto"/>
              </w:rPr>
              <w:t>Hanley-Wood, LLC*</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03/08/14</w:t>
            </w:r>
          </w:p>
        </w:tc>
        <w:tc>
          <w:tcPr>
            <w:tcW w:w="1380" w:type="dxa"/>
            <w:vAlign w:val="bottom"/>
          </w:tcPr>
          <w:p>
            <w:pPr>
              <w:ind w:left="60"/>
              <w:spacing w:after="0" w:line="149" w:lineRule="exact"/>
              <w:rPr>
                <w:sz w:val="20"/>
                <w:szCs w:val="20"/>
                <w:color w:val="auto"/>
              </w:rPr>
            </w:pPr>
            <w:r>
              <w:rPr>
                <w:rFonts w:ascii="Arial" w:cs="Arial" w:eastAsia="Arial" w:hAnsi="Arial"/>
                <w:sz w:val="14"/>
                <w:szCs w:val="14"/>
                <w:color w:val="auto"/>
              </w:rPr>
              <w:t>Media</w:t>
            </w:r>
          </w:p>
        </w:tc>
        <w:tc>
          <w:tcPr>
            <w:tcW w:w="900" w:type="dxa"/>
            <w:vAlign w:val="bottom"/>
          </w:tcPr>
          <w:p>
            <w:pPr>
              <w:ind w:left="320"/>
              <w:spacing w:after="0" w:line="149" w:lineRule="exact"/>
              <w:rPr>
                <w:sz w:val="20"/>
                <w:szCs w:val="20"/>
                <w:color w:val="auto"/>
              </w:rPr>
            </w:pPr>
            <w:r>
              <w:rPr>
                <w:rFonts w:ascii="Arial" w:cs="Arial" w:eastAsia="Arial" w:hAnsi="Arial"/>
                <w:sz w:val="14"/>
                <w:szCs w:val="14"/>
                <w:color w:val="auto"/>
              </w:rPr>
              <w:t>L+225</w:t>
            </w: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6,000</w:t>
            </w: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6,000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5,996</w:t>
            </w:r>
          </w:p>
        </w:tc>
      </w:tr>
      <w:tr>
        <w:trPr>
          <w:trHeight w:val="149"/>
        </w:trPr>
        <w:tc>
          <w:tcPr>
            <w:tcW w:w="5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One Thomas Circle, NW, Suite 600, Washington, DC 20005</w:t>
            </w: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03/08/13</w:t>
            </w:r>
          </w:p>
        </w:tc>
        <w:tc>
          <w:tcPr>
            <w:tcW w:w="13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Media</w:t>
            </w:r>
          </w:p>
        </w:tc>
        <w:tc>
          <w:tcPr>
            <w:tcW w:w="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L+225</w:t>
            </w:r>
          </w:p>
        </w:tc>
        <w:tc>
          <w:tcPr>
            <w:tcW w:w="7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3,000</w:t>
            </w: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3,000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2,998</w:t>
            </w:r>
          </w:p>
        </w:tc>
      </w:tr>
      <w:tr>
        <w:trPr>
          <w:trHeight w:val="138"/>
        </w:trPr>
        <w:tc>
          <w:tcPr>
            <w:tcW w:w="5960" w:type="dxa"/>
            <w:vAlign w:val="bottom"/>
          </w:tcPr>
          <w:p>
            <w:pPr>
              <w:spacing w:after="0" w:line="138" w:lineRule="exact"/>
              <w:rPr>
                <w:sz w:val="20"/>
                <w:szCs w:val="20"/>
                <w:color w:val="auto"/>
              </w:rPr>
            </w:pPr>
            <w:r>
              <w:rPr>
                <w:rFonts w:ascii="Arial" w:cs="Arial" w:eastAsia="Arial" w:hAnsi="Arial"/>
                <w:sz w:val="14"/>
                <w:szCs w:val="14"/>
                <w:color w:val="auto"/>
              </w:rPr>
              <w:t>Health Management Associates, Inc.</w:t>
            </w:r>
          </w:p>
        </w:tc>
        <w:tc>
          <w:tcPr>
            <w:tcW w:w="1420" w:type="dxa"/>
            <w:vAlign w:val="bottom"/>
          </w:tcPr>
          <w:p>
            <w:pPr>
              <w:jc w:val="right"/>
              <w:spacing w:after="0" w:line="138" w:lineRule="exact"/>
              <w:rPr>
                <w:sz w:val="20"/>
                <w:szCs w:val="20"/>
                <w:color w:val="auto"/>
              </w:rPr>
            </w:pPr>
            <w:r>
              <w:rPr>
                <w:rFonts w:ascii="Arial" w:cs="Arial" w:eastAsia="Arial" w:hAnsi="Arial"/>
                <w:sz w:val="14"/>
                <w:szCs w:val="14"/>
                <w:color w:val="auto"/>
              </w:rPr>
              <w:t>02/28/14</w:t>
            </w:r>
          </w:p>
        </w:tc>
        <w:tc>
          <w:tcPr>
            <w:tcW w:w="1380" w:type="dxa"/>
            <w:vAlign w:val="bottom"/>
          </w:tcPr>
          <w:p>
            <w:pPr>
              <w:ind w:left="60"/>
              <w:spacing w:after="0" w:line="138" w:lineRule="exact"/>
              <w:rPr>
                <w:sz w:val="20"/>
                <w:szCs w:val="20"/>
                <w:color w:val="auto"/>
              </w:rPr>
            </w:pPr>
            <w:r>
              <w:rPr>
                <w:rFonts w:ascii="Arial" w:cs="Arial" w:eastAsia="Arial" w:hAnsi="Arial"/>
                <w:sz w:val="14"/>
                <w:szCs w:val="14"/>
                <w:color w:val="auto"/>
              </w:rPr>
              <w:t>Healthcare</w:t>
            </w:r>
          </w:p>
        </w:tc>
        <w:tc>
          <w:tcPr>
            <w:tcW w:w="900" w:type="dxa"/>
            <w:vAlign w:val="bottom"/>
          </w:tcPr>
          <w:p>
            <w:pPr>
              <w:ind w:left="320"/>
              <w:spacing w:after="0" w:line="138" w:lineRule="exact"/>
              <w:rPr>
                <w:sz w:val="20"/>
                <w:szCs w:val="20"/>
                <w:color w:val="auto"/>
              </w:rPr>
            </w:pPr>
            <w:r>
              <w:rPr>
                <w:rFonts w:ascii="Arial" w:cs="Arial" w:eastAsia="Arial" w:hAnsi="Arial"/>
                <w:sz w:val="14"/>
                <w:szCs w:val="14"/>
                <w:color w:val="auto"/>
              </w:rPr>
              <w:t>L+175</w:t>
            </w:r>
          </w:p>
        </w:tc>
        <w:tc>
          <w:tcPr>
            <w:tcW w:w="7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15,000</w:t>
            </w:r>
          </w:p>
        </w:tc>
        <w:tc>
          <w:tcPr>
            <w:tcW w:w="5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15,000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15,056</w:t>
            </w:r>
          </w:p>
        </w:tc>
      </w:tr>
      <w:tr>
        <w:trPr>
          <w:trHeight w:val="172"/>
        </w:trPr>
        <w:tc>
          <w:tcPr>
            <w:tcW w:w="5960" w:type="dxa"/>
            <w:vAlign w:val="bottom"/>
          </w:tcPr>
          <w:p>
            <w:pPr>
              <w:ind w:left="440"/>
              <w:spacing w:after="0"/>
              <w:rPr>
                <w:sz w:val="20"/>
                <w:szCs w:val="20"/>
                <w:color w:val="auto"/>
              </w:rPr>
            </w:pPr>
            <w:r>
              <w:rPr>
                <w:rFonts w:ascii="Arial" w:cs="Arial" w:eastAsia="Arial" w:hAnsi="Arial"/>
                <w:sz w:val="14"/>
                <w:szCs w:val="14"/>
                <w:color w:val="auto"/>
              </w:rPr>
              <w:t>5811 Pelican Bay Blvd., Suite 500, Naples, FL 34108</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38"/>
        </w:trPr>
        <w:tc>
          <w:tcPr>
            <w:tcW w:w="5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Hughes Network Systems, LLC</w:t>
            </w:r>
          </w:p>
        </w:tc>
        <w:tc>
          <w:tcPr>
            <w:tcW w:w="14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04/15/14</w:t>
            </w:r>
          </w:p>
        </w:tc>
        <w:tc>
          <w:tcPr>
            <w:tcW w:w="13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Telecom</w:t>
            </w:r>
          </w:p>
        </w:tc>
        <w:tc>
          <w:tcPr>
            <w:tcW w:w="90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L+250</w:t>
            </w:r>
          </w:p>
        </w:tc>
        <w:tc>
          <w:tcPr>
            <w:tcW w:w="7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5,000</w:t>
            </w:r>
          </w:p>
        </w:tc>
        <w:tc>
          <w:tcPr>
            <w:tcW w:w="58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5,000</w:t>
            </w:r>
          </w:p>
        </w:tc>
        <w:tc>
          <w:tcPr>
            <w:tcW w:w="4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5,000</w:t>
            </w:r>
          </w:p>
        </w:tc>
      </w:tr>
      <w:tr>
        <w:trPr>
          <w:trHeight w:val="149"/>
        </w:trPr>
        <w:tc>
          <w:tcPr>
            <w:tcW w:w="5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11717 Exploration Ln., Germantown,</w:t>
            </w:r>
          </w:p>
        </w:tc>
        <w:tc>
          <w:tcPr>
            <w:tcW w:w="1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MD 20876</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62"/>
        </w:trPr>
        <w:tc>
          <w:tcPr>
            <w:tcW w:w="5960" w:type="dxa"/>
            <w:vAlign w:val="bottom"/>
          </w:tcPr>
          <w:p>
            <w:pPr>
              <w:spacing w:after="0"/>
              <w:rPr>
                <w:sz w:val="20"/>
                <w:szCs w:val="20"/>
                <w:color w:val="auto"/>
              </w:rPr>
            </w:pPr>
            <w:r>
              <w:rPr>
                <w:rFonts w:ascii="Arial" w:cs="Arial" w:eastAsia="Arial" w:hAnsi="Arial"/>
                <w:sz w:val="14"/>
                <w:szCs w:val="14"/>
                <w:color w:val="auto"/>
              </w:rPr>
              <w:t>Jacuzzi Brands Corp.</w:t>
            </w:r>
          </w:p>
        </w:tc>
        <w:tc>
          <w:tcPr>
            <w:tcW w:w="1420" w:type="dxa"/>
            <w:vAlign w:val="bottom"/>
          </w:tcPr>
          <w:p>
            <w:pPr>
              <w:jc w:val="right"/>
              <w:spacing w:after="0"/>
              <w:rPr>
                <w:sz w:val="20"/>
                <w:szCs w:val="20"/>
                <w:color w:val="auto"/>
              </w:rPr>
            </w:pPr>
            <w:r>
              <w:rPr>
                <w:rFonts w:ascii="Arial" w:cs="Arial" w:eastAsia="Arial" w:hAnsi="Arial"/>
                <w:sz w:val="14"/>
                <w:szCs w:val="14"/>
                <w:color w:val="auto"/>
              </w:rPr>
              <w:t>02/27/14</w:t>
            </w:r>
          </w:p>
        </w:tc>
        <w:tc>
          <w:tcPr>
            <w:tcW w:w="1380" w:type="dxa"/>
            <w:vAlign w:val="bottom"/>
          </w:tcPr>
          <w:p>
            <w:pPr>
              <w:ind w:left="60"/>
              <w:spacing w:after="0"/>
              <w:rPr>
                <w:sz w:val="20"/>
                <w:szCs w:val="20"/>
                <w:color w:val="auto"/>
              </w:rPr>
            </w:pPr>
            <w:r>
              <w:rPr>
                <w:rFonts w:ascii="Arial" w:cs="Arial" w:eastAsia="Arial" w:hAnsi="Arial"/>
                <w:sz w:val="14"/>
                <w:szCs w:val="14"/>
                <w:color w:val="auto"/>
              </w:rPr>
              <w:t>Consumer</w:t>
            </w:r>
          </w:p>
        </w:tc>
        <w:tc>
          <w:tcPr>
            <w:tcW w:w="900" w:type="dxa"/>
            <w:vAlign w:val="bottom"/>
          </w:tcPr>
          <w:p>
            <w:pPr>
              <w:ind w:left="320"/>
              <w:spacing w:after="0"/>
              <w:rPr>
                <w:sz w:val="20"/>
                <w:szCs w:val="20"/>
                <w:color w:val="auto"/>
              </w:rPr>
            </w:pPr>
            <w:r>
              <w:rPr>
                <w:rFonts w:ascii="Arial" w:cs="Arial" w:eastAsia="Arial" w:hAnsi="Arial"/>
                <w:sz w:val="14"/>
                <w:szCs w:val="14"/>
                <w:color w:val="auto"/>
              </w:rPr>
              <w:t>L+225</w:t>
            </w:r>
          </w:p>
        </w:tc>
        <w:tc>
          <w:tcPr>
            <w:tcW w:w="700" w:type="dxa"/>
            <w:vAlign w:val="bottom"/>
          </w:tcPr>
          <w:p>
            <w:pPr>
              <w:jc w:val="right"/>
              <w:ind w:right="152"/>
              <w:spacing w:after="0"/>
              <w:rPr>
                <w:sz w:val="20"/>
                <w:szCs w:val="20"/>
                <w:color w:val="auto"/>
              </w:rPr>
            </w:pPr>
            <w:r>
              <w:rPr>
                <w:rFonts w:ascii="Arial" w:cs="Arial" w:eastAsia="Arial" w:hAnsi="Arial"/>
                <w:sz w:val="14"/>
                <w:szCs w:val="14"/>
                <w:color w:val="auto"/>
              </w:rPr>
              <w:t>9,189</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9,189</w:t>
            </w:r>
          </w:p>
        </w:tc>
        <w:tc>
          <w:tcPr>
            <w:tcW w:w="480" w:type="dxa"/>
            <w:vAlign w:val="bottom"/>
          </w:tcPr>
          <w:p>
            <w:pPr>
              <w:jc w:val="right"/>
              <w:spacing w:after="0"/>
              <w:rPr>
                <w:sz w:val="20"/>
                <w:szCs w:val="20"/>
                <w:color w:val="auto"/>
              </w:rPr>
            </w:pPr>
            <w:r>
              <w:rPr>
                <w:rFonts w:ascii="Arial" w:cs="Arial" w:eastAsia="Arial" w:hAnsi="Arial"/>
                <w:sz w:val="14"/>
                <w:szCs w:val="14"/>
                <w:color w:val="auto"/>
              </w:rPr>
              <w:t>9,206</w:t>
            </w:r>
          </w:p>
        </w:tc>
      </w:tr>
      <w:tr>
        <w:trPr>
          <w:trHeight w:val="149"/>
        </w:trPr>
        <w:tc>
          <w:tcPr>
            <w:tcW w:w="5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 JUSI Holdings, Inc., Phillips Pointe-West Tower,</w:t>
            </w: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02/14/14</w:t>
            </w:r>
          </w:p>
        </w:tc>
        <w:tc>
          <w:tcPr>
            <w:tcW w:w="13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Consumer</w:t>
            </w:r>
          </w:p>
        </w:tc>
        <w:tc>
          <w:tcPr>
            <w:tcW w:w="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L+225</w:t>
            </w:r>
          </w:p>
        </w:tc>
        <w:tc>
          <w:tcPr>
            <w:tcW w:w="7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811</w:t>
            </w: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811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w:t>
            </w:r>
          </w:p>
        </w:tc>
      </w:tr>
      <w:tr>
        <w:trPr>
          <w:trHeight w:val="149"/>
        </w:trPr>
        <w:tc>
          <w:tcPr>
            <w:tcW w:w="5960" w:type="dxa"/>
            <w:vAlign w:val="bottom"/>
          </w:tcPr>
          <w:p>
            <w:pPr>
              <w:ind w:left="440"/>
              <w:spacing w:after="0" w:line="149" w:lineRule="exact"/>
              <w:rPr>
                <w:sz w:val="20"/>
                <w:szCs w:val="20"/>
                <w:color w:val="auto"/>
              </w:rPr>
            </w:pPr>
            <w:r>
              <w:rPr>
                <w:rFonts w:ascii="Arial" w:cs="Arial" w:eastAsia="Arial" w:hAnsi="Arial"/>
                <w:sz w:val="14"/>
                <w:szCs w:val="14"/>
                <w:color w:val="auto"/>
              </w:rPr>
              <w:t>777 S. Flagler Dr., Suite 1100, West Palm Beach,</w:t>
            </w:r>
          </w:p>
        </w:tc>
        <w:tc>
          <w:tcPr>
            <w:tcW w:w="1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5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FL 33401</w:t>
            </w:r>
          </w:p>
        </w:tc>
        <w:tc>
          <w:tcPr>
            <w:tcW w:w="1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38"/>
        </w:trPr>
        <w:tc>
          <w:tcPr>
            <w:tcW w:w="5960" w:type="dxa"/>
            <w:vAlign w:val="bottom"/>
          </w:tcPr>
          <w:p>
            <w:pPr>
              <w:spacing w:after="0" w:line="138" w:lineRule="exact"/>
              <w:rPr>
                <w:sz w:val="20"/>
                <w:szCs w:val="20"/>
                <w:color w:val="auto"/>
              </w:rPr>
            </w:pPr>
            <w:r>
              <w:rPr>
                <w:rFonts w:ascii="Arial" w:cs="Arial" w:eastAsia="Arial" w:hAnsi="Arial"/>
                <w:sz w:val="14"/>
                <w:szCs w:val="14"/>
                <w:color w:val="auto"/>
              </w:rPr>
              <w:t>Journal Register Company*</w:t>
            </w:r>
          </w:p>
        </w:tc>
        <w:tc>
          <w:tcPr>
            <w:tcW w:w="1420" w:type="dxa"/>
            <w:vAlign w:val="bottom"/>
          </w:tcPr>
          <w:p>
            <w:pPr>
              <w:jc w:val="right"/>
              <w:spacing w:after="0" w:line="138" w:lineRule="exact"/>
              <w:rPr>
                <w:sz w:val="20"/>
                <w:szCs w:val="20"/>
                <w:color w:val="auto"/>
              </w:rPr>
            </w:pPr>
            <w:r>
              <w:rPr>
                <w:rFonts w:ascii="Arial" w:cs="Arial" w:eastAsia="Arial" w:hAnsi="Arial"/>
                <w:sz w:val="14"/>
                <w:szCs w:val="14"/>
                <w:color w:val="auto"/>
              </w:rPr>
              <w:t>08/12/12</w:t>
            </w:r>
          </w:p>
        </w:tc>
        <w:tc>
          <w:tcPr>
            <w:tcW w:w="1380" w:type="dxa"/>
            <w:vAlign w:val="bottom"/>
          </w:tcPr>
          <w:p>
            <w:pPr>
              <w:ind w:left="60"/>
              <w:spacing w:after="0" w:line="138" w:lineRule="exact"/>
              <w:rPr>
                <w:sz w:val="20"/>
                <w:szCs w:val="20"/>
                <w:color w:val="auto"/>
              </w:rPr>
            </w:pPr>
            <w:r>
              <w:rPr>
                <w:rFonts w:ascii="Arial" w:cs="Arial" w:eastAsia="Arial" w:hAnsi="Arial"/>
                <w:sz w:val="14"/>
                <w:szCs w:val="14"/>
                <w:color w:val="auto"/>
              </w:rPr>
              <w:t>Media</w:t>
            </w:r>
          </w:p>
        </w:tc>
        <w:tc>
          <w:tcPr>
            <w:tcW w:w="900" w:type="dxa"/>
            <w:vAlign w:val="bottom"/>
          </w:tcPr>
          <w:p>
            <w:pPr>
              <w:ind w:left="320"/>
              <w:spacing w:after="0" w:line="138" w:lineRule="exact"/>
              <w:rPr>
                <w:sz w:val="20"/>
                <w:szCs w:val="20"/>
                <w:color w:val="auto"/>
              </w:rPr>
            </w:pPr>
            <w:r>
              <w:rPr>
                <w:rFonts w:ascii="Arial" w:cs="Arial" w:eastAsia="Arial" w:hAnsi="Arial"/>
                <w:sz w:val="14"/>
                <w:szCs w:val="14"/>
                <w:color w:val="auto"/>
              </w:rPr>
              <w:t>L+125</w:t>
            </w:r>
          </w:p>
        </w:tc>
        <w:tc>
          <w:tcPr>
            <w:tcW w:w="7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5,000</w:t>
            </w:r>
          </w:p>
        </w:tc>
        <w:tc>
          <w:tcPr>
            <w:tcW w:w="5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4,913</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4,869</w:t>
            </w:r>
          </w:p>
        </w:tc>
      </w:tr>
      <w:tr>
        <w:trPr>
          <w:trHeight w:val="172"/>
        </w:trPr>
        <w:tc>
          <w:tcPr>
            <w:tcW w:w="5960" w:type="dxa"/>
            <w:vAlign w:val="bottom"/>
          </w:tcPr>
          <w:p>
            <w:pPr>
              <w:ind w:left="440"/>
              <w:spacing w:after="0"/>
              <w:rPr>
                <w:sz w:val="20"/>
                <w:szCs w:val="20"/>
                <w:color w:val="auto"/>
              </w:rPr>
            </w:pPr>
            <w:r>
              <w:rPr>
                <w:rFonts w:ascii="Arial" w:cs="Arial" w:eastAsia="Arial" w:hAnsi="Arial"/>
                <w:sz w:val="14"/>
                <w:szCs w:val="14"/>
                <w:color w:val="auto"/>
              </w:rPr>
              <w:t>50 West State St., 12th Fl., Trenton, NJ 08608</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38"/>
        </w:trPr>
        <w:tc>
          <w:tcPr>
            <w:tcW w:w="5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Knology Inc.*</w:t>
            </w:r>
          </w:p>
        </w:tc>
        <w:tc>
          <w:tcPr>
            <w:tcW w:w="14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06/30/12</w:t>
            </w:r>
          </w:p>
        </w:tc>
        <w:tc>
          <w:tcPr>
            <w:tcW w:w="13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Cable TV</w:t>
            </w:r>
          </w:p>
        </w:tc>
        <w:tc>
          <w:tcPr>
            <w:tcW w:w="90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L+225</w:t>
            </w:r>
          </w:p>
        </w:tc>
        <w:tc>
          <w:tcPr>
            <w:tcW w:w="7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3,500</w:t>
            </w:r>
          </w:p>
        </w:tc>
        <w:tc>
          <w:tcPr>
            <w:tcW w:w="58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3,506</w:t>
            </w:r>
          </w:p>
        </w:tc>
        <w:tc>
          <w:tcPr>
            <w:tcW w:w="4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3,513</w:t>
            </w:r>
          </w:p>
        </w:tc>
      </w:tr>
      <w:tr>
        <w:trPr>
          <w:trHeight w:val="149"/>
        </w:trPr>
        <w:tc>
          <w:tcPr>
            <w:tcW w:w="5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1241 O.G. Skinner Dr., West Point,</w:t>
            </w:r>
          </w:p>
        </w:tc>
        <w:tc>
          <w:tcPr>
            <w:tcW w:w="1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GA 31833</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Basis Point</w:t>
            </w: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Par</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Spread</w:t>
            </w:r>
          </w:p>
        </w:tc>
        <w:tc>
          <w:tcPr>
            <w:tcW w:w="82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Above</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Amount</w:t>
            </w:r>
          </w:p>
        </w:tc>
        <w:tc>
          <w:tcPr>
            <w:tcW w:w="7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Cost</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Value(2)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58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Issuer Name</w:t>
            </w:r>
          </w:p>
        </w:tc>
        <w:tc>
          <w:tcPr>
            <w:tcW w:w="100" w:type="dxa"/>
            <w:vAlign w:val="bottom"/>
          </w:tcPr>
          <w:p>
            <w:pPr>
              <w:spacing w:after="0"/>
              <w:rPr>
                <w:sz w:val="14"/>
                <w:szCs w:val="14"/>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9"/>
              </w:rPr>
              <w:t>Maturity</w:t>
            </w:r>
          </w:p>
        </w:tc>
        <w:tc>
          <w:tcPr>
            <w:tcW w:w="100" w:type="dxa"/>
            <w:vAlign w:val="bottom"/>
          </w:tcPr>
          <w:p>
            <w:pPr>
              <w:spacing w:after="0"/>
              <w:rPr>
                <w:sz w:val="14"/>
                <w:szCs w:val="14"/>
                <w:color w:val="auto"/>
              </w:rPr>
            </w:pPr>
          </w:p>
        </w:tc>
        <w:tc>
          <w:tcPr>
            <w:tcW w:w="17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Index (1)</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w:t>
            </w:r>
          </w:p>
        </w:tc>
        <w:tc>
          <w:tcPr>
            <w:tcW w:w="240" w:type="dxa"/>
            <w:vAlign w:val="bottom"/>
          </w:tcPr>
          <w:p>
            <w:pPr>
              <w:spacing w:after="0"/>
              <w:rPr>
                <w:sz w:val="14"/>
                <w:szCs w:val="14"/>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Level 3 Financing, Inc.*</w:t>
            </w:r>
          </w:p>
        </w:tc>
        <w:tc>
          <w:tcPr>
            <w:tcW w:w="8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03/13/14</w:t>
            </w:r>
          </w:p>
        </w:tc>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Telecom</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2,000</w:t>
            </w:r>
          </w:p>
        </w:tc>
        <w:tc>
          <w:tcPr>
            <w:tcW w:w="7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2,000</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c/o Level 3 Communications, Inc., 1025 Eldarado Blvd., Broomfield, CO 80021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80" w:type="dxa"/>
            <w:vAlign w:val="bottom"/>
          </w:tcPr>
          <w:p>
            <w:pPr>
              <w:spacing w:after="0" w:line="138" w:lineRule="exact"/>
              <w:rPr>
                <w:sz w:val="20"/>
                <w:szCs w:val="20"/>
                <w:color w:val="auto"/>
              </w:rPr>
            </w:pPr>
            <w:r>
              <w:rPr>
                <w:rFonts w:ascii="Arial" w:cs="Arial" w:eastAsia="Arial" w:hAnsi="Arial"/>
                <w:sz w:val="14"/>
                <w:szCs w:val="14"/>
                <w:color w:val="auto"/>
              </w:rPr>
              <w:t>Levlad, LLC (Natural Products)*</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03/08/14</w:t>
            </w:r>
          </w:p>
        </w:tc>
        <w:tc>
          <w:tcPr>
            <w:tcW w:w="1720" w:type="dxa"/>
            <w:vAlign w:val="bottom"/>
          </w:tcPr>
          <w:p>
            <w:pPr>
              <w:spacing w:after="0" w:line="138"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1"/>
                <w:szCs w:val="11"/>
                <w:color w:val="auto"/>
              </w:rPr>
            </w:pPr>
          </w:p>
        </w:tc>
        <w:tc>
          <w:tcPr>
            <w:tcW w:w="10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5,000</w:t>
            </w:r>
          </w:p>
        </w:tc>
        <w:tc>
          <w:tcPr>
            <w:tcW w:w="7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5,000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5,019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80" w:type="dxa"/>
            <w:vAlign w:val="bottom"/>
          </w:tcPr>
          <w:p>
            <w:pPr>
              <w:ind w:left="420"/>
              <w:spacing w:after="0"/>
              <w:rPr>
                <w:sz w:val="20"/>
                <w:szCs w:val="20"/>
                <w:color w:val="auto"/>
              </w:rPr>
            </w:pPr>
            <w:r>
              <w:rPr>
                <w:rFonts w:ascii="Arial" w:cs="Arial" w:eastAsia="Arial" w:hAnsi="Arial"/>
                <w:sz w:val="14"/>
                <w:szCs w:val="14"/>
                <w:color w:val="auto"/>
              </w:rPr>
              <w:t>c/o Harvest Partners, Inc., 280 Park Ave., New York, NY 10017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Longview Power, LLC</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02/28/14</w:t>
            </w: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2,333**</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2,333</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ind w:left="420"/>
              <w:spacing w:after="0"/>
              <w:rPr>
                <w:sz w:val="20"/>
                <w:szCs w:val="20"/>
                <w:color w:val="auto"/>
              </w:rPr>
            </w:pPr>
            <w:r>
              <w:rPr>
                <w:rFonts w:ascii="Arial" w:cs="Arial" w:eastAsia="Arial" w:hAnsi="Arial"/>
                <w:sz w:val="14"/>
                <w:szCs w:val="14"/>
                <w:color w:val="auto"/>
              </w:rPr>
              <w:t>1040 Great Plain Ave., Needham,</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03/13/14</w:t>
            </w:r>
          </w:p>
        </w:tc>
        <w:tc>
          <w:tcPr>
            <w:tcW w:w="1720" w:type="dxa"/>
            <w:vAlign w:val="bottom"/>
          </w:tcPr>
          <w:p>
            <w:pPr>
              <w:spacing w:after="0"/>
              <w:rPr>
                <w:sz w:val="20"/>
                <w:szCs w:val="20"/>
                <w:color w:val="auto"/>
              </w:rPr>
            </w:pPr>
            <w:r>
              <w:rPr>
                <w:rFonts w:ascii="Arial" w:cs="Arial" w:eastAsia="Arial" w:hAnsi="Arial"/>
                <w:sz w:val="14"/>
                <w:szCs w:val="14"/>
                <w:color w:val="auto"/>
              </w:rPr>
              <w:t>Energy</w:t>
            </w:r>
          </w:p>
        </w:tc>
        <w:tc>
          <w:tcPr>
            <w:tcW w:w="1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L+225</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667</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667</w:t>
            </w:r>
          </w:p>
        </w:tc>
        <w:tc>
          <w:tcPr>
            <w:tcW w:w="600" w:type="dxa"/>
            <w:vAlign w:val="bottom"/>
          </w:tcPr>
          <w:p>
            <w:pPr>
              <w:jc w:val="right"/>
              <w:spacing w:after="0"/>
              <w:rPr>
                <w:sz w:val="20"/>
                <w:szCs w:val="20"/>
                <w:color w:val="auto"/>
              </w:rPr>
            </w:pPr>
            <w:r>
              <w:rPr>
                <w:rFonts w:ascii="Arial" w:cs="Arial" w:eastAsia="Arial" w:hAnsi="Arial"/>
                <w:sz w:val="14"/>
                <w:szCs w:val="14"/>
                <w:color w:val="auto"/>
              </w:rPr>
              <w:t>671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 02492</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03/13/14</w:t>
            </w: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L+125</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2,000</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4"/>
                <w:szCs w:val="14"/>
                <w:color w:val="auto"/>
              </w:rPr>
              <w:t>MachGen, LLC*</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02/22/13</w:t>
            </w:r>
          </w:p>
        </w:tc>
        <w:tc>
          <w:tcPr>
            <w:tcW w:w="1720" w:type="dxa"/>
            <w:vAlign w:val="bottom"/>
          </w:tcPr>
          <w:p>
            <w:pPr>
              <w:spacing w:after="0"/>
              <w:rPr>
                <w:sz w:val="20"/>
                <w:szCs w:val="20"/>
                <w:color w:val="auto"/>
              </w:rPr>
            </w:pPr>
            <w:r>
              <w:rPr>
                <w:rFonts w:ascii="Arial" w:cs="Arial" w:eastAsia="Arial" w:hAnsi="Arial"/>
                <w:sz w:val="14"/>
                <w:szCs w:val="14"/>
                <w:color w:val="auto"/>
              </w:rPr>
              <w:t>Energy</w:t>
            </w:r>
          </w:p>
        </w:tc>
        <w:tc>
          <w:tcPr>
            <w:tcW w:w="1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L+200</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94</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94</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9300 US Highway 9W, Athens, NY 12015</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02/22/14</w:t>
            </w: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906</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02/22/14</w:t>
            </w: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Energy</w:t>
            </w:r>
          </w:p>
        </w:tc>
        <w:tc>
          <w:tcPr>
            <w:tcW w:w="10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2,000</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02/22/14</w:t>
            </w: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5600" w:type="dxa"/>
            <w:vAlign w:val="bottom"/>
            <w:gridSpan w:val="2"/>
          </w:tcPr>
          <w:p>
            <w:pPr>
              <w:spacing w:after="0"/>
              <w:rPr>
                <w:sz w:val="20"/>
                <w:szCs w:val="20"/>
                <w:color w:val="auto"/>
              </w:rPr>
            </w:pPr>
            <w:r>
              <w:rPr>
                <w:rFonts w:ascii="Arial" w:cs="Arial" w:eastAsia="Arial" w:hAnsi="Arial"/>
                <w:sz w:val="14"/>
                <w:szCs w:val="14"/>
                <w:color w:val="auto"/>
              </w:rPr>
              <w:t>Mattress Holding Corp</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01/18/14</w:t>
            </w:r>
          </w:p>
        </w:tc>
        <w:tc>
          <w:tcPr>
            <w:tcW w:w="1720" w:type="dxa"/>
            <w:vAlign w:val="bottom"/>
          </w:tcPr>
          <w:p>
            <w:pPr>
              <w:spacing w:after="0"/>
              <w:rPr>
                <w:sz w:val="20"/>
                <w:szCs w:val="20"/>
                <w:color w:val="auto"/>
              </w:rPr>
            </w:pPr>
            <w:r>
              <w:rPr>
                <w:rFonts w:ascii="Arial" w:cs="Arial" w:eastAsia="Arial" w:hAnsi="Arial"/>
                <w:sz w:val="14"/>
                <w:szCs w:val="14"/>
                <w:color w:val="auto"/>
              </w:rPr>
              <w:t>Retail</w:t>
            </w:r>
          </w:p>
        </w:tc>
        <w:tc>
          <w:tcPr>
            <w:tcW w:w="1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L+225</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4,000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4,000</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80" w:type="dxa"/>
            <w:vAlign w:val="bottom"/>
          </w:tcPr>
          <w:p>
            <w:pPr>
              <w:ind w:left="420"/>
              <w:spacing w:after="0"/>
              <w:rPr>
                <w:sz w:val="20"/>
                <w:szCs w:val="20"/>
                <w:color w:val="auto"/>
              </w:rPr>
            </w:pPr>
            <w:r>
              <w:rPr>
                <w:rFonts w:ascii="Arial" w:cs="Arial" w:eastAsia="Arial" w:hAnsi="Arial"/>
                <w:sz w:val="14"/>
                <w:szCs w:val="14"/>
                <w:color w:val="auto"/>
              </w:rPr>
              <w:t>5815 Gulf Freeway, Houston, TX 77023</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McJunkin Corporation</w:t>
            </w:r>
          </w:p>
        </w:tc>
        <w:tc>
          <w:tcPr>
            <w:tcW w:w="800" w:type="dxa"/>
            <w:vAlign w:val="bottom"/>
            <w:gridSpan w:val="3"/>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01/31/14</w:t>
            </w:r>
          </w:p>
        </w:tc>
        <w:tc>
          <w:tcPr>
            <w:tcW w:w="17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Industrial Distribution</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L+225</w:t>
            </w:r>
          </w:p>
        </w:tc>
        <w:tc>
          <w:tcPr>
            <w:tcW w:w="82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3,000</w:t>
            </w:r>
          </w:p>
        </w:tc>
        <w:tc>
          <w:tcPr>
            <w:tcW w:w="7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3,000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8365 Hillcrest Dr., Charleston, WV 25311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80" w:type="dxa"/>
            <w:vAlign w:val="bottom"/>
          </w:tcPr>
          <w:p>
            <w:pPr>
              <w:spacing w:after="0" w:line="138" w:lineRule="exact"/>
              <w:rPr>
                <w:sz w:val="20"/>
                <w:szCs w:val="20"/>
                <w:color w:val="auto"/>
              </w:rPr>
            </w:pPr>
            <w:r>
              <w:rPr>
                <w:rFonts w:ascii="Arial" w:cs="Arial" w:eastAsia="Arial" w:hAnsi="Arial"/>
                <w:sz w:val="14"/>
                <w:szCs w:val="14"/>
                <w:color w:val="auto"/>
              </w:rPr>
              <w:t>MediaNews Group, Inc.*</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12/30/10</w:t>
            </w:r>
          </w:p>
        </w:tc>
        <w:tc>
          <w:tcPr>
            <w:tcW w:w="1720" w:type="dxa"/>
            <w:vAlign w:val="bottom"/>
          </w:tcPr>
          <w:p>
            <w:pPr>
              <w:spacing w:after="0" w:line="138" w:lineRule="exact"/>
              <w:rPr>
                <w:sz w:val="20"/>
                <w:szCs w:val="20"/>
                <w:color w:val="auto"/>
              </w:rPr>
            </w:pPr>
            <w:r>
              <w:rPr>
                <w:rFonts w:ascii="Arial" w:cs="Arial" w:eastAsia="Arial" w:hAnsi="Arial"/>
                <w:sz w:val="14"/>
                <w:szCs w:val="14"/>
                <w:color w:val="auto"/>
              </w:rPr>
              <w:t>Media</w:t>
            </w:r>
          </w:p>
        </w:tc>
        <w:tc>
          <w:tcPr>
            <w:tcW w:w="100" w:type="dxa"/>
            <w:vAlign w:val="bottom"/>
          </w:tcPr>
          <w:p>
            <w:pPr>
              <w:spacing w:after="0"/>
              <w:rPr>
                <w:sz w:val="11"/>
                <w:szCs w:val="11"/>
                <w:color w:val="auto"/>
              </w:rPr>
            </w:pPr>
          </w:p>
        </w:tc>
        <w:tc>
          <w:tcPr>
            <w:tcW w:w="10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L+125</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4,845</w:t>
            </w:r>
          </w:p>
        </w:tc>
        <w:tc>
          <w:tcPr>
            <w:tcW w:w="7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4,825</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4,820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ind w:left="420"/>
              <w:spacing w:after="0" w:line="149" w:lineRule="exact"/>
              <w:rPr>
                <w:sz w:val="20"/>
                <w:szCs w:val="20"/>
                <w:color w:val="auto"/>
              </w:rPr>
            </w:pPr>
            <w:r>
              <w:rPr>
                <w:rFonts w:ascii="Arial" w:cs="Arial" w:eastAsia="Arial" w:hAnsi="Arial"/>
                <w:sz w:val="14"/>
                <w:szCs w:val="14"/>
                <w:color w:val="auto"/>
              </w:rPr>
              <w:t>101 W. Colfax Ave., Suite 1100, Denver,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80" w:type="dxa"/>
            <w:vAlign w:val="bottom"/>
          </w:tcPr>
          <w:p>
            <w:pPr>
              <w:ind w:left="420"/>
              <w:spacing w:after="0"/>
              <w:rPr>
                <w:sz w:val="20"/>
                <w:szCs w:val="20"/>
                <w:color w:val="auto"/>
              </w:rPr>
            </w:pPr>
            <w:r>
              <w:rPr>
                <w:rFonts w:ascii="Arial" w:cs="Arial" w:eastAsia="Arial" w:hAnsi="Arial"/>
                <w:sz w:val="14"/>
                <w:szCs w:val="14"/>
                <w:color w:val="auto"/>
              </w:rPr>
              <w:t>CO 80202</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Mitchell International, Inc.*</w:t>
            </w:r>
          </w:p>
        </w:tc>
        <w:tc>
          <w:tcPr>
            <w:tcW w:w="800" w:type="dxa"/>
            <w:vAlign w:val="bottom"/>
            <w:gridSpan w:val="3"/>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06/30/14</w:t>
            </w:r>
          </w:p>
        </w:tc>
        <w:tc>
          <w:tcPr>
            <w:tcW w:w="17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Software</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L+200</w:t>
            </w:r>
          </w:p>
        </w:tc>
        <w:tc>
          <w:tcPr>
            <w:tcW w:w="82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4,000</w:t>
            </w:r>
          </w:p>
        </w:tc>
        <w:tc>
          <w:tcPr>
            <w:tcW w:w="7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4,000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9889 Willow Creek Rd., San Diego,</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CA 92131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80" w:type="dxa"/>
            <w:vAlign w:val="bottom"/>
          </w:tcPr>
          <w:p>
            <w:pPr>
              <w:spacing w:after="0" w:line="138" w:lineRule="exact"/>
              <w:rPr>
                <w:sz w:val="20"/>
                <w:szCs w:val="20"/>
                <w:color w:val="auto"/>
              </w:rPr>
            </w:pPr>
            <w:r>
              <w:rPr>
                <w:rFonts w:ascii="Arial" w:cs="Arial" w:eastAsia="Arial" w:hAnsi="Arial"/>
                <w:sz w:val="14"/>
                <w:szCs w:val="14"/>
                <w:color w:val="auto"/>
              </w:rPr>
              <w:t>National Bedding Company L.L.C.*</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08/31/11</w:t>
            </w:r>
          </w:p>
        </w:tc>
        <w:tc>
          <w:tcPr>
            <w:tcW w:w="1720" w:type="dxa"/>
            <w:vAlign w:val="bottom"/>
          </w:tcPr>
          <w:p>
            <w:pPr>
              <w:spacing w:after="0" w:line="138"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1"/>
                <w:szCs w:val="11"/>
                <w:color w:val="auto"/>
              </w:rPr>
            </w:pPr>
          </w:p>
        </w:tc>
        <w:tc>
          <w:tcPr>
            <w:tcW w:w="10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L+200</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7,000</w:t>
            </w:r>
          </w:p>
        </w:tc>
        <w:tc>
          <w:tcPr>
            <w:tcW w:w="7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7,008</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7,013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80" w:type="dxa"/>
            <w:vAlign w:val="bottom"/>
          </w:tcPr>
          <w:p>
            <w:pPr>
              <w:ind w:left="420"/>
              <w:spacing w:after="0"/>
              <w:rPr>
                <w:sz w:val="20"/>
                <w:szCs w:val="20"/>
                <w:color w:val="auto"/>
              </w:rPr>
            </w:pPr>
            <w:r>
              <w:rPr>
                <w:rFonts w:ascii="Arial" w:cs="Arial" w:eastAsia="Arial" w:hAnsi="Arial"/>
                <w:sz w:val="14"/>
                <w:szCs w:val="14"/>
                <w:color w:val="auto"/>
              </w:rPr>
              <w:t>5401 Trillium Blvd., Suite 250, Hoffman Estates, IL 60692</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National CineMedia, LLC</w:t>
            </w:r>
          </w:p>
        </w:tc>
        <w:tc>
          <w:tcPr>
            <w:tcW w:w="800" w:type="dxa"/>
            <w:vAlign w:val="bottom"/>
            <w:gridSpan w:val="3"/>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02/17/15</w:t>
            </w:r>
          </w:p>
        </w:tc>
        <w:tc>
          <w:tcPr>
            <w:tcW w:w="17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Advertising</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L+175</w:t>
            </w:r>
          </w:p>
        </w:tc>
        <w:tc>
          <w:tcPr>
            <w:tcW w:w="82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3,000</w:t>
            </w:r>
          </w:p>
        </w:tc>
        <w:tc>
          <w:tcPr>
            <w:tcW w:w="7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3,000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9110 East Nichols Ave., Suite 200, Centennial, CO 80112</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80" w:type="dxa"/>
            <w:vAlign w:val="bottom"/>
          </w:tcPr>
          <w:p>
            <w:pPr>
              <w:spacing w:after="0" w:line="138" w:lineRule="exact"/>
              <w:rPr>
                <w:sz w:val="20"/>
                <w:szCs w:val="20"/>
                <w:color w:val="auto"/>
              </w:rPr>
            </w:pPr>
            <w:r>
              <w:rPr>
                <w:rFonts w:ascii="Arial" w:cs="Arial" w:eastAsia="Arial" w:hAnsi="Arial"/>
                <w:sz w:val="14"/>
                <w:szCs w:val="14"/>
                <w:color w:val="auto"/>
              </w:rPr>
              <w:t>Penton Media, Inc.</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01/31/14</w:t>
            </w:r>
          </w:p>
        </w:tc>
        <w:tc>
          <w:tcPr>
            <w:tcW w:w="1720" w:type="dxa"/>
            <w:vAlign w:val="bottom"/>
          </w:tcPr>
          <w:p>
            <w:pPr>
              <w:spacing w:after="0" w:line="138" w:lineRule="exact"/>
              <w:rPr>
                <w:sz w:val="20"/>
                <w:szCs w:val="20"/>
                <w:color w:val="auto"/>
              </w:rPr>
            </w:pPr>
            <w:r>
              <w:rPr>
                <w:rFonts w:ascii="Arial" w:cs="Arial" w:eastAsia="Arial" w:hAnsi="Arial"/>
                <w:sz w:val="14"/>
                <w:szCs w:val="14"/>
                <w:color w:val="auto"/>
              </w:rPr>
              <w:t>Media</w:t>
            </w:r>
          </w:p>
        </w:tc>
        <w:tc>
          <w:tcPr>
            <w:tcW w:w="100" w:type="dxa"/>
            <w:vAlign w:val="bottom"/>
          </w:tcPr>
          <w:p>
            <w:pPr>
              <w:spacing w:after="0"/>
              <w:rPr>
                <w:sz w:val="11"/>
                <w:szCs w:val="11"/>
                <w:color w:val="auto"/>
              </w:rPr>
            </w:pPr>
          </w:p>
        </w:tc>
        <w:tc>
          <w:tcPr>
            <w:tcW w:w="10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5,000</w:t>
            </w:r>
          </w:p>
        </w:tc>
        <w:tc>
          <w:tcPr>
            <w:tcW w:w="7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5,000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5,013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ind w:left="420"/>
              <w:spacing w:after="0" w:line="149" w:lineRule="exact"/>
              <w:rPr>
                <w:sz w:val="20"/>
                <w:szCs w:val="20"/>
                <w:color w:val="auto"/>
              </w:rPr>
            </w:pPr>
            <w:r>
              <w:rPr>
                <w:rFonts w:ascii="Arial" w:cs="Arial" w:eastAsia="Arial" w:hAnsi="Arial"/>
                <w:sz w:val="14"/>
                <w:szCs w:val="14"/>
                <w:color w:val="auto"/>
              </w:rPr>
              <w:t>249 W. 17th St., Fourth Floor, New York,</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80" w:type="dxa"/>
            <w:vAlign w:val="bottom"/>
          </w:tcPr>
          <w:p>
            <w:pPr>
              <w:ind w:left="420"/>
              <w:spacing w:after="0"/>
              <w:rPr>
                <w:sz w:val="20"/>
                <w:szCs w:val="20"/>
                <w:color w:val="auto"/>
              </w:rPr>
            </w:pPr>
            <w:r>
              <w:rPr>
                <w:rFonts w:ascii="Arial" w:cs="Arial" w:eastAsia="Arial" w:hAnsi="Arial"/>
                <w:sz w:val="14"/>
                <w:szCs w:val="14"/>
                <w:color w:val="auto"/>
              </w:rPr>
              <w:t>NY 10011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Philosophy Inc.*</w:t>
            </w:r>
          </w:p>
        </w:tc>
        <w:tc>
          <w:tcPr>
            <w:tcW w:w="800" w:type="dxa"/>
            <w:vAlign w:val="bottom"/>
            <w:gridSpan w:val="3"/>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03/23/14</w:t>
            </w:r>
          </w:p>
        </w:tc>
        <w:tc>
          <w:tcPr>
            <w:tcW w:w="17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Consumer</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L+200</w:t>
            </w:r>
          </w:p>
        </w:tc>
        <w:tc>
          <w:tcPr>
            <w:tcW w:w="82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1,500</w:t>
            </w:r>
          </w:p>
        </w:tc>
        <w:tc>
          <w:tcPr>
            <w:tcW w:w="7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1,500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1,502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3809 East Watkins St., Phoenix, AZ 85034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80" w:type="dxa"/>
            <w:vAlign w:val="bottom"/>
          </w:tcPr>
          <w:p>
            <w:pPr>
              <w:spacing w:after="0" w:line="138" w:lineRule="exact"/>
              <w:rPr>
                <w:sz w:val="20"/>
                <w:szCs w:val="20"/>
                <w:color w:val="auto"/>
              </w:rPr>
            </w:pPr>
            <w:r>
              <w:rPr>
                <w:rFonts w:ascii="Arial" w:cs="Arial" w:eastAsia="Arial" w:hAnsi="Arial"/>
                <w:sz w:val="14"/>
                <w:szCs w:val="14"/>
                <w:color w:val="auto"/>
              </w:rPr>
              <w:t>ProQuest-CSA LLC</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02/09/14</w:t>
            </w:r>
          </w:p>
        </w:tc>
        <w:tc>
          <w:tcPr>
            <w:tcW w:w="1720" w:type="dxa"/>
            <w:vAlign w:val="bottom"/>
          </w:tcPr>
          <w:p>
            <w:pPr>
              <w:spacing w:after="0" w:line="138" w:lineRule="exact"/>
              <w:rPr>
                <w:sz w:val="20"/>
                <w:szCs w:val="20"/>
                <w:color w:val="auto"/>
              </w:rPr>
            </w:pPr>
            <w:r>
              <w:rPr>
                <w:rFonts w:ascii="Arial" w:cs="Arial" w:eastAsia="Arial" w:hAnsi="Arial"/>
                <w:sz w:val="14"/>
                <w:szCs w:val="14"/>
                <w:color w:val="auto"/>
              </w:rPr>
              <w:t>Education</w:t>
            </w:r>
          </w:p>
        </w:tc>
        <w:tc>
          <w:tcPr>
            <w:tcW w:w="100" w:type="dxa"/>
            <w:vAlign w:val="bottom"/>
          </w:tcPr>
          <w:p>
            <w:pPr>
              <w:spacing w:after="0"/>
              <w:rPr>
                <w:sz w:val="11"/>
                <w:szCs w:val="11"/>
                <w:color w:val="auto"/>
              </w:rPr>
            </w:pPr>
          </w:p>
        </w:tc>
        <w:tc>
          <w:tcPr>
            <w:tcW w:w="10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L+300</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1,000</w:t>
            </w:r>
          </w:p>
        </w:tc>
        <w:tc>
          <w:tcPr>
            <w:tcW w:w="7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1,000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1,003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80" w:type="dxa"/>
            <w:vAlign w:val="bottom"/>
          </w:tcPr>
          <w:p>
            <w:pPr>
              <w:ind w:left="420"/>
              <w:spacing w:after="0"/>
              <w:rPr>
                <w:sz w:val="20"/>
                <w:szCs w:val="20"/>
                <w:color w:val="auto"/>
              </w:rPr>
            </w:pPr>
            <w:r>
              <w:rPr>
                <w:rFonts w:ascii="Arial" w:cs="Arial" w:eastAsia="Arial" w:hAnsi="Arial"/>
                <w:sz w:val="14"/>
                <w:szCs w:val="14"/>
                <w:color w:val="auto"/>
              </w:rPr>
              <w:t>7200 Wisconsin Ave., Suite 601, Bethesda, MD 20814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Rexnord Corporation</w:t>
            </w:r>
          </w:p>
        </w:tc>
        <w:tc>
          <w:tcPr>
            <w:tcW w:w="800" w:type="dxa"/>
            <w:vAlign w:val="bottom"/>
            <w:gridSpan w:val="3"/>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02/09/14</w:t>
            </w:r>
          </w:p>
        </w:tc>
        <w:tc>
          <w:tcPr>
            <w:tcW w:w="17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Industrial</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L+225</w:t>
            </w:r>
          </w:p>
        </w:tc>
        <w:tc>
          <w:tcPr>
            <w:tcW w:w="82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5,000</w:t>
            </w:r>
          </w:p>
        </w:tc>
        <w:tc>
          <w:tcPr>
            <w:tcW w:w="7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5,000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5,028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4701 W. Greenfield Ave., Milwaukee,</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WI 53214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80" w:type="dxa"/>
            <w:vAlign w:val="bottom"/>
          </w:tcPr>
          <w:p>
            <w:pPr>
              <w:spacing w:after="0" w:line="138" w:lineRule="exact"/>
              <w:rPr>
                <w:sz w:val="20"/>
                <w:szCs w:val="20"/>
                <w:color w:val="auto"/>
              </w:rPr>
            </w:pPr>
            <w:r>
              <w:rPr>
                <w:rFonts w:ascii="Arial" w:cs="Arial" w:eastAsia="Arial" w:hAnsi="Arial"/>
                <w:sz w:val="14"/>
                <w:szCs w:val="14"/>
                <w:color w:val="auto"/>
              </w:rPr>
              <w:t>Seminole Tribe of Florida*</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03/15/14</w:t>
            </w:r>
          </w:p>
        </w:tc>
        <w:tc>
          <w:tcPr>
            <w:tcW w:w="1720" w:type="dxa"/>
            <w:vAlign w:val="bottom"/>
          </w:tcPr>
          <w:p>
            <w:pPr>
              <w:spacing w:after="0" w:line="138" w:lineRule="exact"/>
              <w:rPr>
                <w:sz w:val="20"/>
                <w:szCs w:val="20"/>
                <w:color w:val="auto"/>
              </w:rPr>
            </w:pPr>
            <w:r>
              <w:rPr>
                <w:rFonts w:ascii="Arial" w:cs="Arial" w:eastAsia="Arial" w:hAnsi="Arial"/>
                <w:sz w:val="14"/>
                <w:szCs w:val="14"/>
                <w:color w:val="auto"/>
              </w:rPr>
              <w:t>Gaming</w:t>
            </w:r>
          </w:p>
        </w:tc>
        <w:tc>
          <w:tcPr>
            <w:tcW w:w="100" w:type="dxa"/>
            <w:vAlign w:val="bottom"/>
          </w:tcPr>
          <w:p>
            <w:pPr>
              <w:spacing w:after="0"/>
              <w:rPr>
                <w:sz w:val="11"/>
                <w:szCs w:val="11"/>
                <w:color w:val="auto"/>
              </w:rPr>
            </w:pPr>
          </w:p>
        </w:tc>
        <w:tc>
          <w:tcPr>
            <w:tcW w:w="1060" w:type="dxa"/>
            <w:vAlign w:val="bottom"/>
            <w:gridSpan w:val="2"/>
          </w:tcPr>
          <w:p>
            <w:pPr>
              <w:ind w:left="5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7,000**</w:t>
            </w:r>
          </w:p>
        </w:tc>
        <w:tc>
          <w:tcPr>
            <w:tcW w:w="7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7,000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7,026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80" w:type="dxa"/>
            <w:vAlign w:val="bottom"/>
          </w:tcPr>
          <w:p>
            <w:pPr>
              <w:ind w:left="420"/>
              <w:spacing w:after="0"/>
              <w:rPr>
                <w:sz w:val="20"/>
                <w:szCs w:val="20"/>
                <w:color w:val="auto"/>
              </w:rPr>
            </w:pPr>
            <w:r>
              <w:rPr>
                <w:rFonts w:ascii="Arial" w:cs="Arial" w:eastAsia="Arial" w:hAnsi="Arial"/>
                <w:sz w:val="14"/>
                <w:szCs w:val="14"/>
                <w:color w:val="auto"/>
              </w:rPr>
              <w:t>6300 Stirling Rd., Hollywood, FL 33024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Sitel, LLC (Clientlogic)</w:t>
            </w:r>
          </w:p>
        </w:tc>
        <w:tc>
          <w:tcPr>
            <w:tcW w:w="800" w:type="dxa"/>
            <w:vAlign w:val="bottom"/>
            <w:gridSpan w:val="3"/>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01/30/14</w:t>
            </w:r>
          </w:p>
        </w:tc>
        <w:tc>
          <w:tcPr>
            <w:tcW w:w="17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Business Services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P+150 - L+250</w:t>
            </w:r>
          </w:p>
        </w:tc>
        <w:tc>
          <w:tcPr>
            <w:tcW w:w="82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5,000</w:t>
            </w:r>
          </w:p>
        </w:tc>
        <w:tc>
          <w:tcPr>
            <w:tcW w:w="7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5,000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Two American Center, 3102 West End Ave., Suite 1000, Nashville, TN 37203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80" w:type="dxa"/>
            <w:vAlign w:val="bottom"/>
          </w:tcPr>
          <w:p>
            <w:pPr>
              <w:spacing w:after="0" w:line="138" w:lineRule="exact"/>
              <w:rPr>
                <w:sz w:val="20"/>
                <w:szCs w:val="20"/>
                <w:color w:val="auto"/>
              </w:rPr>
            </w:pPr>
            <w:r>
              <w:rPr>
                <w:rFonts w:ascii="Arial" w:cs="Arial" w:eastAsia="Arial" w:hAnsi="Arial"/>
                <w:sz w:val="14"/>
                <w:szCs w:val="14"/>
                <w:color w:val="auto"/>
              </w:rPr>
              <w:t>The Reader’s Digest Association, Inc.</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02/23/14</w:t>
            </w:r>
          </w:p>
        </w:tc>
        <w:tc>
          <w:tcPr>
            <w:tcW w:w="1720" w:type="dxa"/>
            <w:vAlign w:val="bottom"/>
          </w:tcPr>
          <w:p>
            <w:pPr>
              <w:spacing w:after="0" w:line="138" w:lineRule="exact"/>
              <w:rPr>
                <w:sz w:val="20"/>
                <w:szCs w:val="20"/>
                <w:color w:val="auto"/>
              </w:rPr>
            </w:pPr>
            <w:r>
              <w:rPr>
                <w:rFonts w:ascii="Arial" w:cs="Arial" w:eastAsia="Arial" w:hAnsi="Arial"/>
                <w:sz w:val="14"/>
                <w:szCs w:val="14"/>
                <w:color w:val="auto"/>
              </w:rPr>
              <w:t>Media</w:t>
            </w:r>
          </w:p>
        </w:tc>
        <w:tc>
          <w:tcPr>
            <w:tcW w:w="100" w:type="dxa"/>
            <w:vAlign w:val="bottom"/>
          </w:tcPr>
          <w:p>
            <w:pPr>
              <w:spacing w:after="0"/>
              <w:rPr>
                <w:sz w:val="11"/>
                <w:szCs w:val="11"/>
                <w:color w:val="auto"/>
              </w:rPr>
            </w:pPr>
          </w:p>
        </w:tc>
        <w:tc>
          <w:tcPr>
            <w:tcW w:w="10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L+200</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1,000</w:t>
            </w:r>
          </w:p>
        </w:tc>
        <w:tc>
          <w:tcPr>
            <w:tcW w:w="7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1,000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1,003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ind w:left="420"/>
              <w:spacing w:after="0" w:line="149" w:lineRule="exact"/>
              <w:rPr>
                <w:sz w:val="20"/>
                <w:szCs w:val="20"/>
                <w:color w:val="auto"/>
              </w:rPr>
            </w:pPr>
            <w:r>
              <w:rPr>
                <w:rFonts w:ascii="Arial" w:cs="Arial" w:eastAsia="Arial" w:hAnsi="Arial"/>
                <w:sz w:val="14"/>
                <w:szCs w:val="14"/>
                <w:color w:val="auto"/>
              </w:rPr>
              <w:t>Reader’s Digest Rd., Pleasantville,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80" w:type="dxa"/>
            <w:vAlign w:val="bottom"/>
          </w:tcPr>
          <w:p>
            <w:pPr>
              <w:ind w:left="420"/>
              <w:spacing w:after="0"/>
              <w:rPr>
                <w:sz w:val="20"/>
                <w:szCs w:val="20"/>
                <w:color w:val="auto"/>
              </w:rPr>
            </w:pPr>
            <w:r>
              <w:rPr>
                <w:rFonts w:ascii="Arial" w:cs="Arial" w:eastAsia="Arial" w:hAnsi="Arial"/>
                <w:sz w:val="14"/>
                <w:szCs w:val="14"/>
                <w:color w:val="auto"/>
              </w:rPr>
              <w:t>NY 10570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Univision Communications Inc.*</w:t>
            </w:r>
          </w:p>
        </w:tc>
        <w:tc>
          <w:tcPr>
            <w:tcW w:w="800" w:type="dxa"/>
            <w:vAlign w:val="bottom"/>
            <w:gridSpan w:val="3"/>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03/24/14</w:t>
            </w:r>
          </w:p>
        </w:tc>
        <w:tc>
          <w:tcPr>
            <w:tcW w:w="17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Media</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L+225</w:t>
            </w:r>
          </w:p>
        </w:tc>
        <w:tc>
          <w:tcPr>
            <w:tcW w:w="8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15,000**</w:t>
            </w:r>
          </w:p>
        </w:tc>
        <w:tc>
          <w:tcPr>
            <w:tcW w:w="7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15,000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15,028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500 Frank W. Burr Blvd., Sixth Floor, Teaneck, NJ 07666</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Arial" w:cs="Arial" w:eastAsia="Arial" w:hAnsi="Arial"/>
                <w:sz w:val="14"/>
                <w:szCs w:val="14"/>
                <w:color w:val="auto"/>
              </w:rPr>
              <w:t>Valassis Communications, Inc.</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02/02/14</w:t>
            </w: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2"/>
                <w:szCs w:val="12"/>
                <w:color w:val="auto"/>
              </w:rPr>
            </w:pPr>
          </w:p>
        </w:tc>
        <w:tc>
          <w:tcPr>
            <w:tcW w:w="10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2,987**</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2,987</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19975 Victor Parkway, Livonia, MI 48152</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03/02/14</w:t>
            </w: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L+175</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11,013</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11,013</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5600" w:type="dxa"/>
            <w:vAlign w:val="bottom"/>
            <w:gridSpan w:val="2"/>
          </w:tcPr>
          <w:p>
            <w:pPr>
              <w:spacing w:after="0"/>
              <w:rPr>
                <w:sz w:val="20"/>
                <w:szCs w:val="20"/>
                <w:color w:val="auto"/>
              </w:rPr>
            </w:pPr>
            <w:r>
              <w:rPr>
                <w:rFonts w:ascii="Arial" w:cs="Arial" w:eastAsia="Arial" w:hAnsi="Arial"/>
                <w:sz w:val="14"/>
                <w:szCs w:val="14"/>
                <w:color w:val="auto"/>
              </w:rPr>
              <w:t>Yankee Candle Company, Inc.</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02/06/14</w:t>
            </w:r>
          </w:p>
        </w:tc>
        <w:tc>
          <w:tcPr>
            <w:tcW w:w="1720" w:type="dxa"/>
            <w:vAlign w:val="bottom"/>
          </w:tcPr>
          <w:p>
            <w:pPr>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L+200</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1,000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1,000</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bl>
    <w:p>
      <w:pPr>
        <w:ind w:left="440"/>
        <w:spacing w:after="0" w:line="221" w:lineRule="auto"/>
        <w:rPr>
          <w:sz w:val="20"/>
          <w:szCs w:val="20"/>
          <w:color w:val="auto"/>
        </w:rPr>
      </w:pPr>
      <w:r>
        <w:rPr>
          <w:rFonts w:ascii="Arial" w:cs="Arial" w:eastAsia="Arial" w:hAnsi="Arial"/>
          <w:sz w:val="14"/>
          <w:szCs w:val="14"/>
          <w:color w:val="auto"/>
        </w:rPr>
        <w:t>16 Yankee Candle Way, South Deerfield,</w:t>
      </w:r>
    </w:p>
    <w:p>
      <w:pPr>
        <w:ind w:left="440"/>
        <w:spacing w:after="0"/>
        <w:rPr>
          <w:sz w:val="20"/>
          <w:szCs w:val="20"/>
          <w:color w:val="auto"/>
        </w:rPr>
      </w:pPr>
      <w:r>
        <w:rPr>
          <w:rFonts w:ascii="Arial" w:cs="Arial" w:eastAsia="Arial" w:hAnsi="Arial"/>
          <w:sz w:val="14"/>
          <w:szCs w:val="14"/>
          <w:color w:val="auto"/>
        </w:rPr>
        <w:t>MA 01373</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1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928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Senior Secured Debt</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$ 234,138</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4"/>
                <w:szCs w:val="14"/>
                <w:color w:val="auto"/>
                <w:w w:val="90"/>
              </w:rPr>
              <w:t>234,053</w:t>
            </w:r>
          </w:p>
        </w:tc>
        <w:tc>
          <w:tcPr>
            <w:tcW w:w="1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0"/>
              </w:rPr>
              <w:t>234,276</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w:t>
            </w: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80" w:type="dxa"/>
            <w:vAlign w:val="bottom"/>
            <w:gridSpan w:val="2"/>
            <w:vMerge w:val="continue"/>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$ 234,138</w:t>
            </w:r>
          </w:p>
        </w:tc>
        <w:tc>
          <w:tcPr>
            <w:tcW w:w="24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0"/>
              </w:rPr>
              <w:t>234,053</w:t>
            </w:r>
          </w:p>
        </w:tc>
        <w:tc>
          <w:tcPr>
            <w:tcW w:w="1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234,276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80" w:type="dxa"/>
            <w:vAlign w:val="bottom"/>
            <w:tcBorders>
              <w:bottom w:val="single" w:sz="8" w:color="auto"/>
            </w:tcBorders>
          </w:tcPr>
          <w:p>
            <w:pPr>
              <w:spacing w:after="0"/>
              <w:rPr>
                <w:sz w:val="8"/>
                <w:szCs w:val="8"/>
                <w:color w:val="auto"/>
              </w:rPr>
            </w:pPr>
          </w:p>
        </w:tc>
        <w:tc>
          <w:tcPr>
            <w:tcW w:w="8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(London Interbank Offer Rate) (“L”) or Prime Rate (“P”).</w:t>
      </w:r>
    </w:p>
    <w:p>
      <w:pPr>
        <w:spacing w:after="0" w:line="2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dealer quotations as of March 21, 2007.</w:t>
      </w:r>
    </w:p>
    <w:p>
      <w:pPr>
        <w:ind w:left="340" w:hanging="332"/>
        <w:spacing w:after="0" w:line="22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Purchase of debt partially or fully unsettled.</w:t>
      </w:r>
    </w:p>
    <w:p>
      <w:pPr>
        <w:spacing w:after="0" w:line="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Credit facilities with partially or fully delayed draws. The aggregate amount of these delayed draws totals $15.27 million. These delayed draws do not have a basis point spread above index.</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board of directors intends to use its standard procedures to determine the fair value of investments in senior secured loans or debt obligations held by us. These are described under “Business—Investment selection—Ongoing relationships with portfolio companies—Valuation process.” Under the terms of the Credit Facility, we will be advanced 100% of the lesser of (1) the par value or (2) current market value of any senior secured loan or debt obligation to be acquired. Our board of directors will consider a number of factors when it reviews the purchase of the senior secured loans and other debt obligations. See “Business—Investments.”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Portfolio Companies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a description of those investments that represent 5% or more of our total portfolio as of March 21, 2007.</w:t>
      </w:r>
    </w:p>
    <w:p>
      <w:pPr>
        <w:spacing w:after="0" w:line="14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Charter Communications Operating, LLC </w:t>
      </w:r>
      <w:r>
        <w:rPr>
          <w:rFonts w:ascii="Arial" w:cs="Arial" w:eastAsia="Arial" w:hAnsi="Arial"/>
          <w:sz w:val="16"/>
          <w:szCs w:val="16"/>
          <w:color w:val="auto"/>
        </w:rPr>
        <w:t>is a broadband communications company operating in the United States. The company provides traditional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cable video programming services (both analog and digital video), high speed internet and, in some cases, advanced broadband services such as high-definition television, video on demand and telephony services. The company also sells local advertising on satellite-delivered networks.</w:t>
      </w:r>
    </w:p>
    <w:p>
      <w:pPr>
        <w:spacing w:after="0" w:line="8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Giant Industries, Inc. </w:t>
      </w:r>
      <w:r>
        <w:rPr>
          <w:rFonts w:ascii="Arial" w:cs="Arial" w:eastAsia="Arial" w:hAnsi="Arial"/>
          <w:sz w:val="16"/>
          <w:szCs w:val="16"/>
          <w:color w:val="auto"/>
        </w:rPr>
        <w:t>(Western Refining) is primarily a refiner and marketer of petroleum products. Giant Industries owns and operates three crude oil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refineries in the United States; of which one is in Virginia and two are in New Mexico. This company also owns a crude oil gathering pipeline system based in Farmington, New Mexico, which services its New Mexico refineries. In addition, Giant Industries distributes commercial wholesale finished petroleum products. The company owns distribution terminals in Albuquerque, New Mexico, and Flagstaff, Arizona, as well as a fleet of crude oil and finished product truck transports and a chain of retail service stations in New Mexico, Colorado and Arizona. Giant Industries is the parent company of Phoenix Fuel Co., Dial Oil Co. and Empire Oil Co., all of which are wholesale petroleum products distributors.</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Health Management Associates, Inc. </w:t>
      </w:r>
      <w:r>
        <w:rPr>
          <w:rFonts w:ascii="Arial" w:cs="Arial" w:eastAsia="Arial" w:hAnsi="Arial"/>
          <w:sz w:val="18"/>
          <w:szCs w:val="18"/>
          <w:color w:val="auto"/>
        </w:rPr>
        <w:t>operates acute care hospitals primarily outside of major urban areas in the southeastern and southwestern regions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United States. When it adds an additional hospital by acquisition, this company seeks to upgrade the quality of healthcare delivery, expand offered medical services, upgrade the technology used by acquired hospitals and to introduce proven hospital management practices to encourage community residents not to commute to major urban centers for specialty medical care.</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Univision Communications, Inc.</w:t>
      </w:r>
      <w:r>
        <w:rPr>
          <w:rFonts w:ascii="Arial" w:cs="Arial" w:eastAsia="Arial" w:hAnsi="Arial"/>
          <w:sz w:val="16"/>
          <w:szCs w:val="16"/>
          <w:color w:val="auto"/>
        </w:rPr>
        <w:t>, through its wholly owned subsidiaries, operates as a Spanish-language media company in the United States. Univision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services through television, radio, music and internet segments. The company’s television segment primarily operates the Univision, TeleFutura and Galavision television networks, as well as certain broadcast television stations in Utah, Massachusetts, Florida, Colorado, New Mexico and Washington, D.C. This segment also owns two stations, WLII and WSUR, in Puerto Rico. The radio segment owns and operates sixty-nine radio stations in sixteen of the twenty-five leading U.S. Hispanic markets and four radio stations in Puerto Rico. The music segment owns and operates under Univision.com, which provides Spanish-language content directed at Hispanics in the United States, Mexico and Latin America.</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Valassis Communications, Inc. </w:t>
      </w:r>
      <w:r>
        <w:rPr>
          <w:rFonts w:ascii="Arial" w:cs="Arial" w:eastAsia="Arial" w:hAnsi="Arial"/>
          <w:sz w:val="18"/>
          <w:szCs w:val="18"/>
          <w:color w:val="auto"/>
        </w:rPr>
        <w:t>is a media products company which provides a wide range of marketing products and services to numerous manufacturers,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 marketers, retailers, telecommunications companies, franchisees and other advertisers. Valassis provides a combination of home-delivered media products and services at the market, neighborhood and household-targeted levels. It can also integrate all three levels marketing services to provide a single-source marketing solution.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5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as defined in Section 2(a)(19) of the 1940 Act. We refer to these individuals as our independent directors. Our board of directors elects our officers, who will serve at the discretion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our charter, our directors will be divided into three classes. Each class of directors will hold office for a three-year term. However, the initial members of the three classes have initial terms of one,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will hold office for the term to which he or she is elected and until his or her successor is duly elected and qualifies.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Position</w:t>
            </w:r>
          </w:p>
        </w:tc>
        <w:tc>
          <w:tcPr>
            <w:tcW w:w="34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Director</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55"/>
        </w:trPr>
        <w:tc>
          <w:tcPr>
            <w:tcW w:w="39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w w:val="75"/>
              </w:rPr>
              <w:t>Age</w:t>
            </w:r>
          </w:p>
        </w:tc>
        <w:tc>
          <w:tcPr>
            <w:tcW w:w="160" w:type="dxa"/>
            <w:vAlign w:val="bottom"/>
          </w:tcPr>
          <w:p>
            <w:pPr>
              <w:spacing w:after="0"/>
              <w:rPr>
                <w:sz w:val="13"/>
                <w:szCs w:val="13"/>
                <w:color w:val="auto"/>
              </w:rPr>
            </w:pPr>
          </w:p>
        </w:tc>
        <w:tc>
          <w:tcPr>
            <w:tcW w:w="47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Since</w:t>
            </w:r>
          </w:p>
        </w:tc>
        <w:tc>
          <w:tcPr>
            <w:tcW w:w="6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Interested Directors</w:t>
            </w: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98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43</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Chief Executive Officer and Chairman of Board</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9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43</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Jeffrey Flug</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44</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Samuel L. Katz</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director is 445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 or by telephone at (212) 307-3280.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our executive officers who are not directors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21"/>
                <w:szCs w:val="21"/>
                <w:color w:val="auto"/>
              </w:rPr>
            </w:pPr>
          </w:p>
        </w:tc>
        <w:tc>
          <w:tcPr>
            <w:tcW w:w="3420" w:type="dxa"/>
            <w:vAlign w:val="bottom"/>
          </w:tcPr>
          <w:p>
            <w:pPr>
              <w:ind w:left="1420"/>
              <w:spacing w:after="0"/>
              <w:rPr>
                <w:sz w:val="20"/>
                <w:szCs w:val="20"/>
                <w:color w:val="auto"/>
              </w:rPr>
            </w:pPr>
            <w:r>
              <w:rPr>
                <w:rFonts w:ascii="Arial" w:cs="Arial" w:eastAsia="Arial" w:hAnsi="Arial"/>
                <w:sz w:val="14"/>
                <w:szCs w:val="14"/>
                <w:b w:val="1"/>
                <w:bCs w:val="1"/>
                <w:color w:val="auto"/>
              </w:rPr>
              <w:t>Position</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Aviv Efrat</w:t>
            </w:r>
          </w:p>
        </w:tc>
        <w:tc>
          <w:tcPr>
            <w:tcW w:w="22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42   Chief Financial Officer, Treasurer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20" w:hanging="332"/>
        <w:spacing w:after="0" w:line="239"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expect to retain a chief compliance officer as soon as practicable after completion of this offering. Mr. Penn will serve as our interim Chief Compliance Officer until our board of directors has approved a permanent chief compliance officer.</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executive officer is 445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 by telephone at (212) 307-3280.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Directors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Director</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Arthur H. Penn </w:t>
      </w:r>
      <w:r>
        <w:rPr>
          <w:rFonts w:ascii="Arial" w:cs="Arial" w:eastAsia="Arial" w:hAnsi="Arial"/>
          <w:sz w:val="16"/>
          <w:szCs w:val="16"/>
          <w:color w:val="auto"/>
        </w:rPr>
        <w:t>(43) Founder, Chief Executive Officer and Chairman of the Board of Directors. Mr. Penn became the chief executive officer and a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of PennantPark at its inception in January 2007. He also founded and became Managing Member of PennantPark Investment Advisers in January 2007. Mr. Penn co-founded Apollo Investment Management in February 2004, where he was a Managing Partner through November 2006. He also served as Chief Operating Officer of Apollo Investment Corporation from its inception in February 2004 through February 2006 and served as President and Chief Operating Officer of that company from February 2006 through November 2006. Mr. Penn was formerly a Managing Partner of Apollo Value Fund L.P. (formerly Apollo Distressed Investment Fund, L.P.) from 2003 through November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90" w:lineRule="exact"/>
        <w:rPr>
          <w:sz w:val="20"/>
          <w:szCs w:val="20"/>
          <w:color w:val="auto"/>
        </w:rPr>
      </w:pPr>
    </w:p>
    <w:p>
      <w:pPr>
        <w:jc w:val="both"/>
        <w:ind w:right="180" w:firstLine="456"/>
        <w:spacing w:after="0" w:line="287" w:lineRule="auto"/>
        <w:rPr>
          <w:sz w:val="20"/>
          <w:szCs w:val="20"/>
          <w:color w:val="auto"/>
        </w:rPr>
      </w:pPr>
      <w:r>
        <w:rPr>
          <w:rFonts w:ascii="Arial" w:cs="Arial" w:eastAsia="Arial" w:hAnsi="Arial"/>
          <w:sz w:val="16"/>
          <w:szCs w:val="16"/>
          <w:b w:val="1"/>
          <w:bCs w:val="1"/>
          <w:color w:val="auto"/>
        </w:rPr>
        <w:t xml:space="preserve">Adam K. Bernstein </w:t>
      </w:r>
      <w:r>
        <w:rPr>
          <w:rFonts w:ascii="Arial" w:cs="Arial" w:eastAsia="Arial" w:hAnsi="Arial"/>
          <w:sz w:val="16"/>
          <w:szCs w:val="16"/>
          <w:color w:val="auto"/>
        </w:rPr>
        <w:t>(43), Director. Mr. Bernstein became a director of PennantPark Investment in February 2007. Mr. Bernstein is currently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Bernstein Companies, a Washington, D.C.-based real estate firm which he founded in 1985. Mr. Bernstein also serves as the President and Chief Executive Officer of Consortium Atlantic Realty Trust, Inc., a private real estate investment trust operating in the mid-Atlantic region since its formation in 2000.</w:t>
      </w:r>
    </w:p>
    <w:p>
      <w:pPr>
        <w:spacing w:after="0" w:line="1"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Mr. Bernstein is on the Greater Washington Advisory Board of SunTrust Bank, N.A. and is the President of the Mid-Atlantic Regional Advisory Board of the University of Pennsylvania. An affiliate of SunTrust Bank, N.A. is acting as an underwriter in connection with this offering.</w:t>
      </w:r>
    </w:p>
    <w:p>
      <w:pPr>
        <w:spacing w:after="0" w:line="141"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Marshall Brozost </w:t>
      </w:r>
      <w:r>
        <w:rPr>
          <w:rFonts w:ascii="Arial" w:cs="Arial" w:eastAsia="Arial" w:hAnsi="Arial"/>
          <w:sz w:val="16"/>
          <w:szCs w:val="16"/>
          <w:color w:val="auto"/>
        </w:rPr>
        <w:t>(39), Director. Mr. Brozost became a director of PennantPark Investment in February 2007. Since January 1, 2007, Mr. Brozost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Partner at the international law firm of Dewey Ballantine LLP, where he practices in the real estate and private equity groups. Prior to his tenure at Dewey Ballantine which began in June 2005, Mr. Brozost practiced law at O’Melveny &amp; Myers LLP from April 2001 through October 2004 and Solomon &amp; Weinberg LLP from October 2004 through June 2005. Mr. Brozost also served as a vice president of Nomura Asset Capital Corporation from 1997 through 2000.</w:t>
      </w:r>
    </w:p>
    <w:p>
      <w:pPr>
        <w:spacing w:after="0" w:line="157"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b w:val="1"/>
          <w:bCs w:val="1"/>
          <w:color w:val="auto"/>
        </w:rPr>
        <w:t xml:space="preserve">Jeffrey Flug </w:t>
      </w:r>
      <w:r>
        <w:rPr>
          <w:rFonts w:ascii="Arial" w:cs="Arial" w:eastAsia="Arial" w:hAnsi="Arial"/>
          <w:sz w:val="16"/>
          <w:szCs w:val="16"/>
          <w:color w:val="auto"/>
        </w:rPr>
        <w:t>(44), Director. Mr. Flug became a director of PennantPark Investment in February 2007. Mr. Flug has been the Chief Executive Officer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Director of Millennium Promise Alliance, Inc. since April 2006. Millennium Promise is a non-profit organization whose mission is to eradicate extreme global poverty. Prior to joining Millennium Promise, Mr. Flug was Managing Director and Head of North American Institutional Sales at JP Morgan’s Investment Bank from May 2000 to April 2006. From 1988 to 2000, Mr. Flug was Managing Director for Goldman Sachs &amp; Co. in its Fixed Income Division.</w:t>
      </w:r>
    </w:p>
    <w:p>
      <w:pPr>
        <w:spacing w:after="0" w:line="15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Samuel L. Katz </w:t>
      </w:r>
      <w:r>
        <w:rPr>
          <w:rFonts w:ascii="Arial" w:cs="Arial" w:eastAsia="Arial" w:hAnsi="Arial"/>
          <w:sz w:val="18"/>
          <w:szCs w:val="18"/>
          <w:color w:val="auto"/>
        </w:rPr>
        <w:t>(41), Director. Mr. Katz became a director of PennantPark Investment in February 2007. Mr. Katz is Chairman and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TZP Group LLC, a private equity fund. He served as Chief Executive Officer of MacAndrews &amp; Forbes Acquisition Holdings, Inc. from January 2006 through January 2007. From 1996 until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Aviv Efrat </w:t>
      </w:r>
      <w:r>
        <w:rPr>
          <w:rFonts w:ascii="Arial" w:cs="Arial" w:eastAsia="Arial" w:hAnsi="Arial"/>
          <w:sz w:val="16"/>
          <w:szCs w:val="16"/>
          <w:color w:val="auto"/>
        </w:rPr>
        <w:t>(42), Chief Financial Officer and Treasurer. Mr. Efrat joined PennantPark in February 2007 as its Chief Financial Officer and Treasurer.</w:t>
      </w:r>
    </w:p>
    <w:p>
      <w:pPr>
        <w:spacing w:after="0" w:line="4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Mr. Efrat is also a Managing Director of PennantPark Investment Administration, LLC. Prior to joining the firm, he was a Director at BlackRock, LLC, where he was responsible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a variety of administrative and financial aspects of closed-end and open-end registered investment companies. He joined BlackRock in 1997. From 1994 to 1997, Mr. Efrat was in the Investment Companies Business Unit at Deloitte &amp; Touche LLP. He is a member of the American Institute of Certified Public Accountants and the New York State Society of Certified Public Accountants.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MANAGEMENT</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Each of the individuals listed below, in addition to Mr. Penn, is a member of our investment committee and has primary responsibility for the day-to-day management of PennantPark’s portfolio, and each reports to Mr. Penn who has the final determination as to investment decisions. All of the portfolio managers are partners of our investment adviser.</w:t>
      </w:r>
    </w:p>
    <w:p>
      <w:pPr>
        <w:spacing w:after="0" w:line="107"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Geoffrey S. Chang </w:t>
      </w:r>
      <w:r>
        <w:rPr>
          <w:rFonts w:ascii="Arial" w:cs="Arial" w:eastAsia="Arial" w:hAnsi="Arial"/>
          <w:sz w:val="18"/>
          <w:szCs w:val="18"/>
          <w:color w:val="auto"/>
        </w:rPr>
        <w:t>(33), Partner of PennantPark Investment Advisers. Mr. Chang became Partner of PennantPark Investment Advisers in February 2007.</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Mr. Chang was a founding member of Audax Mezzanine where he worked from 2000 until 2007, most recently as a Principal. Prior to Audax Mezzanine, Mr. Chang was a Director in the Leveraged Finance Group at CIBC World Markets Corp. and a Financial Analyst with its predecessor firm, The Argosy Group L.P., from 1995 to 2000.</w:t>
      </w:r>
    </w:p>
    <w:p>
      <w:pPr>
        <w:spacing w:after="0" w:line="10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Salvatore Giannetti III </w:t>
      </w:r>
      <w:r>
        <w:rPr>
          <w:rFonts w:ascii="Arial" w:cs="Arial" w:eastAsia="Arial" w:hAnsi="Arial"/>
          <w:sz w:val="18"/>
          <w:szCs w:val="18"/>
          <w:color w:val="auto"/>
        </w:rPr>
        <w:t>(42), Partner of PennantPark Investment Advisers. Mr. Giannetti became Partner of PennantPark Investment Advisers in February</w:t>
      </w:r>
      <w:r>
        <w:rPr>
          <w:rFonts w:ascii="Arial" w:cs="Arial" w:eastAsia="Arial" w:hAnsi="Arial"/>
          <w:sz w:val="18"/>
          <w:szCs w:val="18"/>
          <w:b w:val="1"/>
          <w:bCs w:val="1"/>
          <w:color w:val="auto"/>
        </w:rPr>
        <w:t xml:space="preserve"> </w:t>
      </w:r>
      <w:r>
        <w:rPr>
          <w:rFonts w:ascii="Arial" w:cs="Arial" w:eastAsia="Arial" w:hAnsi="Arial"/>
          <w:sz w:val="18"/>
          <w:szCs w:val="18"/>
          <w:color w:val="auto"/>
        </w:rPr>
        <w:t>2007. Mr. Giannetti was most recently Partner in the private equity firm Wilton Ivy Partners from 2004. He was a Managing Director at UBS Warburg LLC (now UBS Investment Bank LLC) in the Leveraged Finance and Financial Sponsors Groups during 2000 and 2001. From 1997 through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12" w:lineRule="exact"/>
        <w:rPr>
          <w:sz w:val="20"/>
          <w:szCs w:val="20"/>
          <w:color w:val="auto"/>
        </w:rPr>
      </w:pPr>
    </w:p>
    <w:p>
      <w:pPr>
        <w:ind w:right="380" w:firstLine="456"/>
        <w:spacing w:after="0" w:line="289" w:lineRule="auto"/>
        <w:rPr>
          <w:sz w:val="20"/>
          <w:szCs w:val="20"/>
          <w:color w:val="auto"/>
        </w:rPr>
      </w:pPr>
      <w:r>
        <w:rPr>
          <w:rFonts w:ascii="Arial" w:cs="Arial" w:eastAsia="Arial" w:hAnsi="Arial"/>
          <w:sz w:val="16"/>
          <w:szCs w:val="16"/>
          <w:b w:val="1"/>
          <w:bCs w:val="1"/>
          <w:color w:val="auto"/>
        </w:rPr>
        <w:t xml:space="preserve">P. Whitridge Williams, Jr. </w:t>
      </w:r>
      <w:r>
        <w:rPr>
          <w:rFonts w:ascii="Arial" w:cs="Arial" w:eastAsia="Arial" w:hAnsi="Arial"/>
          <w:sz w:val="16"/>
          <w:szCs w:val="16"/>
          <w:color w:val="auto"/>
        </w:rPr>
        <w:t>(35), Partner of PennantPark Investment Advisers. Whit Williams became Partner of PennantPark Investment Advisers in</w:t>
      </w:r>
      <w:r>
        <w:rPr>
          <w:rFonts w:ascii="Arial" w:cs="Arial" w:eastAsia="Arial" w:hAnsi="Arial"/>
          <w:sz w:val="16"/>
          <w:szCs w:val="16"/>
          <w:b w:val="1"/>
          <w:bCs w:val="1"/>
          <w:color w:val="auto"/>
        </w:rPr>
        <w:t xml:space="preserve"> </w:t>
      </w:r>
      <w:r>
        <w:rPr>
          <w:rFonts w:ascii="Arial" w:cs="Arial" w:eastAsia="Arial" w:hAnsi="Arial"/>
          <w:sz w:val="16"/>
          <w:szCs w:val="16"/>
          <w:color w:val="auto"/>
        </w:rPr>
        <w:t>March of 2007. Mr. Williams was most recently a Managing Director in the Financial Sponsors and Leveraged Finance Group at UBS Investment Bank.</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Williams worked at UBS and predecessor firms, including Dillon Read and Co. Inc. from 1996 to March 2007. During Mr. Williams’ tenure at UBS, he spent four years as a senior member of the Telecom, Media and Technology Group.</w:t>
      </w:r>
    </w:p>
    <w:p>
      <w:pPr>
        <w:spacing w:after="0" w:line="11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our investment adviser adds senior investment professionals subsequent to this offering, our investment adviser may add them to its investment committee. The members of our investment committee will receive no compensation from us. These members will be employees or partners of our investment adviser and will receive compensation and/or profit distributions from our investment adviser.</w:t>
      </w:r>
    </w:p>
    <w:p>
      <w:pPr>
        <w:spacing w:after="0" w:line="11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portfolio managers who are primarily responsible for the day-to-day management of PennantPark do not manage any other registered investment companies, pooled investment vehicles or other accounts. The table below shows the dollar range of shares of common stock to be beneficially owned by each manager of the investment adviser and each of our officers after giving effect to the private placement of 320,000 shares of common stock to our directors and officers, our investment adviser and the management of our investment adviser immediately prior to this offering.</w:t>
      </w:r>
    </w:p>
    <w:p>
      <w:pPr>
        <w:spacing w:after="0" w:line="7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60" w:type="dxa"/>
            <w:vAlign w:val="bottom"/>
          </w:tcPr>
          <w:p>
            <w:pPr>
              <w:ind w:left="580"/>
              <w:spacing w:after="0"/>
              <w:rPr>
                <w:sz w:val="20"/>
                <w:szCs w:val="20"/>
                <w:color w:val="auto"/>
              </w:rPr>
            </w:pPr>
            <w:r>
              <w:rPr>
                <w:rFonts w:ascii="Arial" w:cs="Arial" w:eastAsia="Arial" w:hAnsi="Arial"/>
                <w:sz w:val="14"/>
                <w:szCs w:val="14"/>
                <w:b w:val="1"/>
                <w:bCs w:val="1"/>
                <w:color w:val="auto"/>
              </w:rPr>
              <w:t>Dollar Range of</w:t>
            </w:r>
          </w:p>
        </w:tc>
      </w:tr>
      <w:tr>
        <w:trPr>
          <w:trHeight w:val="187"/>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Managers of PennantPark Investment Advisers</w:t>
            </w:r>
          </w:p>
        </w:tc>
        <w:tc>
          <w:tcPr>
            <w:tcW w:w="1360" w:type="dxa"/>
            <w:vAlign w:val="bottom"/>
          </w:tcPr>
          <w:p>
            <w:pPr>
              <w:spacing w:after="0"/>
              <w:rPr>
                <w:sz w:val="16"/>
                <w:szCs w:val="16"/>
                <w:color w:val="auto"/>
              </w:rPr>
            </w:pPr>
          </w:p>
        </w:tc>
        <w:tc>
          <w:tcPr>
            <w:tcW w:w="2060" w:type="dxa"/>
            <w:vAlign w:val="bottom"/>
            <w:tcBorders>
              <w:bottom w:val="single" w:sz="8" w:color="auto"/>
            </w:tcBorders>
          </w:tcPr>
          <w:p>
            <w:pPr>
              <w:spacing w:after="0" w:line="180" w:lineRule="exact"/>
              <w:rPr>
                <w:sz w:val="20"/>
                <w:szCs w:val="20"/>
                <w:color w:val="auto"/>
              </w:rPr>
            </w:pPr>
            <w:r>
              <w:rPr>
                <w:rFonts w:ascii="Arial" w:cs="Arial" w:eastAsia="Arial" w:hAnsi="Arial"/>
                <w:sz w:val="13"/>
                <w:szCs w:val="13"/>
                <w:b w:val="1"/>
                <w:bCs w:val="1"/>
                <w:color w:val="auto"/>
                <w:w w:val="92"/>
              </w:rPr>
              <w:t>Equity Securities in PennantPark</w:t>
            </w:r>
            <w:r>
              <w:rPr>
                <w:rFonts w:ascii="Arial" w:cs="Arial" w:eastAsia="Arial" w:hAnsi="Arial"/>
                <w:sz w:val="20"/>
                <w:szCs w:val="20"/>
                <w:b w:val="1"/>
                <w:bCs w:val="1"/>
                <w:color w:val="auto"/>
                <w:w w:val="92"/>
                <w:vertAlign w:val="superscript"/>
              </w:rPr>
              <w:t>(1)</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Arthur H. Penn</w:t>
            </w:r>
          </w:p>
        </w:tc>
        <w:tc>
          <w:tcPr>
            <w:tcW w:w="13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Over $1,000,000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Geoffrey S. Chang</w:t>
            </w:r>
          </w:p>
        </w:tc>
        <w:tc>
          <w:tcPr>
            <w:tcW w:w="3420" w:type="dxa"/>
            <w:vAlign w:val="bottom"/>
            <w:gridSpan w:val="2"/>
          </w:tcPr>
          <w:p>
            <w:pPr>
              <w:ind w:left="1360"/>
              <w:spacing w:after="0"/>
              <w:rPr>
                <w:sz w:val="20"/>
                <w:szCs w:val="20"/>
                <w:color w:val="auto"/>
              </w:rPr>
            </w:pPr>
            <w:r>
              <w:rPr>
                <w:rFonts w:ascii="Arial" w:cs="Arial" w:eastAsia="Arial" w:hAnsi="Arial"/>
                <w:sz w:val="18"/>
                <w:szCs w:val="18"/>
                <w:color w:val="auto"/>
              </w:rPr>
              <w:t>$100,001 - $500,000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Salvatore Giannetti III</w:t>
            </w:r>
          </w:p>
        </w:tc>
        <w:tc>
          <w:tcPr>
            <w:tcW w:w="34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$100,001 - $500,000</w:t>
            </w:r>
          </w:p>
        </w:tc>
      </w:tr>
      <w:tr>
        <w:trPr>
          <w:trHeight w:val="228"/>
        </w:trPr>
        <w:tc>
          <w:tcPr>
            <w:tcW w:w="5120" w:type="dxa"/>
            <w:vAlign w:val="bottom"/>
          </w:tcPr>
          <w:p>
            <w:pPr>
              <w:spacing w:after="0"/>
              <w:rPr>
                <w:sz w:val="20"/>
                <w:szCs w:val="20"/>
                <w:color w:val="auto"/>
              </w:rPr>
            </w:pPr>
            <w:r>
              <w:rPr>
                <w:rFonts w:ascii="Arial" w:cs="Arial" w:eastAsia="Arial" w:hAnsi="Arial"/>
                <w:sz w:val="18"/>
                <w:szCs w:val="18"/>
                <w:color w:val="auto"/>
              </w:rPr>
              <w:t>P. Whitridge Williams, Jr.</w:t>
            </w:r>
          </w:p>
        </w:tc>
        <w:tc>
          <w:tcPr>
            <w:tcW w:w="3420" w:type="dxa"/>
            <w:vAlign w:val="bottom"/>
            <w:gridSpan w:val="2"/>
          </w:tcPr>
          <w:p>
            <w:pPr>
              <w:ind w:left="1360"/>
              <w:spacing w:after="0"/>
              <w:rPr>
                <w:sz w:val="20"/>
                <w:szCs w:val="20"/>
                <w:color w:val="auto"/>
              </w:rPr>
            </w:pPr>
            <w:r>
              <w:rPr>
                <w:rFonts w:ascii="Arial" w:cs="Arial" w:eastAsia="Arial" w:hAnsi="Arial"/>
                <w:sz w:val="18"/>
                <w:szCs w:val="18"/>
                <w:color w:val="auto"/>
              </w:rPr>
              <w:t>$100,001 - $500,000</w:t>
            </w:r>
          </w:p>
        </w:tc>
      </w:tr>
      <w:tr>
        <w:trPr>
          <w:trHeight w:val="347"/>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Officers of PennantPark</w:t>
            </w:r>
          </w:p>
        </w:tc>
        <w:tc>
          <w:tcPr>
            <w:tcW w:w="1360" w:type="dxa"/>
            <w:vAlign w:val="bottom"/>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Arthur H. Penn</w:t>
            </w:r>
          </w:p>
        </w:tc>
        <w:tc>
          <w:tcPr>
            <w:tcW w:w="13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Over $1,000,000</w:t>
            </w: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Aviv Efrat</w:t>
            </w:r>
          </w:p>
        </w:tc>
        <w:tc>
          <w:tcPr>
            <w:tcW w:w="3420" w:type="dxa"/>
            <w:vAlign w:val="bottom"/>
            <w:gridSpan w:val="2"/>
          </w:tcPr>
          <w:p>
            <w:pPr>
              <w:ind w:left="1360"/>
              <w:spacing w:after="0"/>
              <w:rPr>
                <w:sz w:val="20"/>
                <w:szCs w:val="20"/>
                <w:color w:val="auto"/>
              </w:rPr>
            </w:pPr>
            <w:r>
              <w:rPr>
                <w:rFonts w:ascii="Arial" w:cs="Arial" w:eastAsia="Arial" w:hAnsi="Arial"/>
                <w:sz w:val="18"/>
                <w:szCs w:val="18"/>
                <w:color w:val="auto"/>
              </w:rPr>
              <w:t>$100,001 - $500,000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$100,001 - $500,000; $500,001 - $1,000,000 or Over $1,000,000.</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Global Market corporate governance regulations. Mr. Flug serves as chairman of the audit committee. The audit committee is responsible for approving our independent accountants, reviewing with our independent accountants the plans and results of the audit engagement, approving professional services provided by our independent accountants, reviewing the independence of our independent accountants and reviewing the adequacy of our internal accounting controls. The audit committee is also responsible for aiding our board of directors in fair value pricing debt and equity securities that are not publicly traded or for which current market values are not readily available. The board of directors and audit committee will use the services of nationally recognized independent valuation firms to help them determine the fair value of these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members of the nominating and corporate governance committee are Messrs. Bernstein, Brozost, Flug and Katz, each of whom is independent for purposes of the 1940 Act and the corporate governance regulations of The Nasdaq Global Market.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have a compensation committee because our executive officers will not receive any direct compensation from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Beginning in 2007, the independent directors each will receive an annual fee of $75,000. They will also receive $2,500 plus reimbursement of reasonable out-of-pocket expenses incurred in connection with attending each board meeting and will receive $1,000 plus reimbursement of reasonable out-of-pocket expenses incurred in connection with attending each committee meeting. In addition, the Chairman of the Audit Committee will receive an annual fee of $7,500 and each chairman of any other committee will receive an annual fee of $2,500 for their additional services in these capacities. In addition, we have purchased directors’ and officers’ liability insurance on behalf of our directors and officers. Independent directors will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CHIEF EXECUTIVE OFFICER AND OTHER EXECUTIVE OFFICERS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None of our officers will receive direct compensation from PennantPark. We expect to retain a chief compliance officer promptly after completion of this offering. Mr. Penn will serve as our interim Chief Compliance Officer until our Board of Directors has approved a permanent chief compliance officer. The compensation of our chief financial officer and our permanent chief compliance officer, once retained, will be paid by PennantPark Administration, subject to reimbursement by us of an allocable portion of such compensation for services rendered by him to PennantPark. To the extent that our administrator outsources any of its functions we will pay the fees associated with such functions on a direct basis without profit to the administrators. Mr. Penn will receive no incremental compensation for his service as interim Chief Compliance Officer.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Services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and PennantPark Investment Advisers have entered into an Interim Management Agreement whereby PennantPark Investment Advisers will provide investment management services to us prior to consummation of this offering. Under the Interim Management Agreement, PennantPark Investment Advisers will be reimbursed for expenses and will not receive a management or incentive fee under this agreement. Prior to the closing of this offering, PennantPark Investment Advisers will register with the SEC as an investment adviser, and we and PennantPark Investment Advisers will enter into the Investment Management Agreement in accordance with the 1940 Act at the time we elect to be treated as a business development company, which we expect to occur shortly before consummation of this offering. PennantPark Investment Advisers will serve as our investment adviser subsequent to consummation of this offering in accordance with the terms of the Investment Management Agreement. Subject to the overall supervision of our board of directors, the investment adviser will manage the day-to-day operations of, and provide investment management services to, PennantPark. Under the terms of the Interim Investment Management Agreement and the Investment Management Agreement, PennantPark Investment Advisers will:</w:t>
      </w:r>
    </w:p>
    <w:p>
      <w:pPr>
        <w:spacing w:after="0" w:line="39"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determine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82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identify, evaluate and negotiate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close and monitor the investments we make.</w:t>
      </w:r>
    </w:p>
    <w:p>
      <w:pPr>
        <w:spacing w:after="0" w:line="14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PennantPark Investment Advisers’ services under the Interim Management Agreement and the Investment Management Agreement are not exclusive, and it is free to furnish similar services to other entities so long as its services to us are not impaired.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Fee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Investment Management Agreement in effect subsequent to completion of this offering, we will pay PennantPark Investment Advisers a fee for investment management services consisting of two components—a base management fee and an incentive fee.</w:t>
      </w:r>
    </w:p>
    <w:p>
      <w:pPr>
        <w:spacing w:after="0" w:line="105"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The base management fee will be calculated at an annual rate of 2.00 percent of our gross assets. Although the base management fee will be 2.00 percent of our gross assets, the investment adviser has agreed to waive a portion of the base management fee such that the base management fee will equal 1.50 percent from the consummation of this offering through September 30, 2007, 1.75 percent from October 1, 2007 through March 31, 2008, and 2.00 percent thereafter.</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 services rendered under the investment advisory and management agreement during the period commencing from the closing of this offering through and including the first six months of operations, the base management fee will be payable monthly in arrears. For services rendered under the investment advisory and management agreement after that time, the base management fee will be payable quarterly in arrears. For the first quarter of our operations, the base management fee will be calculated based on the initial value of our gross assets. Subsequently, the base management fee will be calculated based on the average value of our gross assets at the end of the two most recently completed calendar quarters, and appropriately adjusted for any share issuances or repurchases during the current calendar quarter. Base investment advisory fees for any partial month or quarter will be appropriately pro rated.</w:t>
      </w:r>
    </w:p>
    <w:p>
      <w:pPr>
        <w:spacing w:after="0" w:line="91" w:lineRule="exact"/>
        <w:rPr>
          <w:sz w:val="20"/>
          <w:szCs w:val="20"/>
          <w:color w:val="auto"/>
        </w:rPr>
      </w:pPr>
    </w:p>
    <w:p>
      <w:pPr>
        <w:ind w:right="520" w:firstLine="456"/>
        <w:spacing w:after="0" w:line="255" w:lineRule="auto"/>
        <w:rPr>
          <w:sz w:val="20"/>
          <w:szCs w:val="20"/>
          <w:color w:val="auto"/>
        </w:rPr>
      </w:pPr>
      <w:r>
        <w:rPr>
          <w:rFonts w:ascii="Arial" w:cs="Arial" w:eastAsia="Arial" w:hAnsi="Arial"/>
          <w:sz w:val="18"/>
          <w:szCs w:val="18"/>
          <w:color w:val="auto"/>
        </w:rPr>
        <w:t>The incentive fee will have two parts, as follows: One part will be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management fee, expenses payable under the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will be compared to a Hurdle of 1.75% per quarter (7.00% annualized). Our net investment income used to calculate this part of the incentive fee is also included in the amount of our gross assets used to calculate the 2.00% base management fee. We will pay PennantPark Investment Advisers an incentive fee with respect to our Pre-Incentive Fee Net Investment Income in each calendar quarter as follows:</w:t>
      </w:r>
    </w:p>
    <w:p>
      <w:pPr>
        <w:spacing w:after="0" w:line="37"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of 1.75%;</w:t>
      </w:r>
    </w:p>
    <w:p>
      <w:pPr>
        <w:spacing w:after="0" w:line="113"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w:t>
      </w:r>
    </w:p>
    <w:p>
      <w:pPr>
        <w:spacing w:after="0" w:line="61" w:lineRule="exact"/>
        <w:rPr>
          <w:rFonts w:ascii="Arial" w:cs="Arial" w:eastAsia="Arial" w:hAnsi="Arial"/>
          <w:sz w:val="18"/>
          <w:szCs w:val="18"/>
          <w:color w:val="auto"/>
        </w:rPr>
      </w:pPr>
    </w:p>
    <w:p>
      <w:pPr>
        <w:ind w:left="900" w:right="36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These calculations will be appropriately pro rated for any period of less than three months and adjusted for any share issuances or repurchases during the current quarter.</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second part of the incentive fee will be determined and payable in arrears as of the end of each calendar year (or upon termination of the investment advisory and management agreement, as of the termination date), commencing on December 31, 2007, and will equal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2007 will be calculated for a period of shorter than twelve calendar months to take into account any realized capital gains computed net of all realized capital losses and unrealized capital depreciation from inception.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Example 1: Income Related Portion of Incentive Fee </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 1.75%</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 0.50%</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 0.20%</w:t>
      </w: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1" w:lineRule="exact"/>
        <w:rPr>
          <w:sz w:val="20"/>
          <w:szCs w:val="20"/>
          <w:color w:val="auto"/>
        </w:rPr>
      </w:pPr>
    </w:p>
    <w:p>
      <w:pPr>
        <w:ind w:left="20" w:right="4620" w:firstLine="890"/>
        <w:spacing w:after="0" w:line="427" w:lineRule="auto"/>
        <w:rPr>
          <w:sz w:val="20"/>
          <w:szCs w:val="20"/>
          <w:color w:val="auto"/>
        </w:rPr>
      </w:pPr>
      <w:r>
        <w:rPr>
          <w:rFonts w:ascii="Arial" w:cs="Arial" w:eastAsia="Arial" w:hAnsi="Arial"/>
          <w:sz w:val="16"/>
          <w:szCs w:val="16"/>
          <w:color w:val="auto"/>
        </w:rPr>
        <w:t>(investment income - (base management fee + other expenses)) = 0.55% Pre-incentive net investment income does not exceed Hurdle, therefore there is no incentive fee.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 1.75%</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 0.50%</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 0.20%</w:t>
      </w: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1" w:lineRule="exact"/>
        <w:rPr>
          <w:sz w:val="20"/>
          <w:szCs w:val="20"/>
          <w:color w:val="auto"/>
        </w:rPr>
      </w:pPr>
    </w:p>
    <w:p>
      <w:pPr>
        <w:ind w:left="460" w:right="4820" w:firstLine="443"/>
        <w:spacing w:after="0" w:line="281" w:lineRule="auto"/>
        <w:rPr>
          <w:sz w:val="20"/>
          <w:szCs w:val="20"/>
          <w:color w:val="auto"/>
        </w:rPr>
      </w:pPr>
      <w:r>
        <w:rPr>
          <w:rFonts w:ascii="Arial" w:cs="Arial" w:eastAsia="Arial" w:hAnsi="Arial"/>
          <w:sz w:val="16"/>
          <w:szCs w:val="16"/>
          <w:color w:val="auto"/>
        </w:rPr>
        <w:t>(investment income - (base management fee + other expenses)) = 2.00% Incentive fee = 20% x Pre-Incentive Fee Net Investment Income, subject to “catch-up”</w:t>
      </w:r>
    </w:p>
    <w:p>
      <w:pPr>
        <w:spacing w:after="0" w:line="1" w:lineRule="exact"/>
        <w:rPr>
          <w:sz w:val="20"/>
          <w:szCs w:val="20"/>
          <w:color w:val="auto"/>
        </w:rPr>
      </w:pPr>
    </w:p>
    <w:p>
      <w:pPr>
        <w:ind w:left="1480" w:hanging="139"/>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1480" w:hanging="139"/>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1480" w:hanging="139"/>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1480" w:hanging="139"/>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0.25%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 1.75%</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 0.50%</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 0.20%</w:t>
      </w: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1" w:lineRule="exact"/>
        <w:rPr>
          <w:sz w:val="20"/>
          <w:szCs w:val="20"/>
          <w:color w:val="auto"/>
        </w:rPr>
      </w:pPr>
    </w:p>
    <w:p>
      <w:pPr>
        <w:ind w:left="460" w:right="4820" w:firstLine="443"/>
        <w:spacing w:after="0" w:line="281" w:lineRule="auto"/>
        <w:rPr>
          <w:sz w:val="20"/>
          <w:szCs w:val="20"/>
          <w:color w:val="auto"/>
        </w:rPr>
      </w:pPr>
      <w:r>
        <w:rPr>
          <w:rFonts w:ascii="Arial" w:cs="Arial" w:eastAsia="Arial" w:hAnsi="Arial"/>
          <w:sz w:val="16"/>
          <w:szCs w:val="16"/>
          <w:color w:val="auto"/>
        </w:rPr>
        <w:t>(investment income - (base management fee + other expenses)) = 2.30% Incentive fee = 20% x Pre-Incentive Fee Net Investment Income, subject to “catch-up”</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Catch-up = 2.1875% - 1.75%</w:t>
      </w:r>
    </w:p>
    <w:p>
      <w:pPr>
        <w:spacing w:after="0" w:line="15" w:lineRule="exact"/>
        <w:rPr>
          <w:sz w:val="20"/>
          <w:szCs w:val="20"/>
          <w:color w:val="auto"/>
        </w:rPr>
      </w:pPr>
    </w:p>
    <w:p>
      <w:pPr>
        <w:ind w:left="600" w:hanging="140"/>
        <w:spacing w:after="0"/>
        <w:tabs>
          <w:tab w:leader="none" w:pos="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0.4375%</w:t>
      </w:r>
    </w:p>
    <w:p>
      <w:pPr>
        <w:spacing w:after="0" w:line="9" w:lineRule="exact"/>
        <w:rPr>
          <w:rFonts w:ascii="Arial" w:cs="Arial" w:eastAsia="Arial" w:hAnsi="Arial"/>
          <w:sz w:val="18"/>
          <w:szCs w:val="18"/>
          <w:color w:val="auto"/>
        </w:rPr>
      </w:pPr>
    </w:p>
    <w:p>
      <w:pPr>
        <w:ind w:left="460" w:right="7380"/>
        <w:spacing w:after="0" w:line="250" w:lineRule="auto"/>
        <w:tabs>
          <w:tab w:leader="none" w:pos="603" w:val="left"/>
        </w:tabs>
        <w:numPr>
          <w:ilvl w:val="1"/>
          <w:numId w:val="37"/>
        </w:numPr>
        <w:rPr>
          <w:rFonts w:ascii="Arial" w:cs="Arial" w:eastAsia="Arial" w:hAnsi="Arial"/>
          <w:sz w:val="18"/>
          <w:szCs w:val="18"/>
          <w:color w:val="auto"/>
        </w:rPr>
      </w:pPr>
      <w:r>
        <w:rPr>
          <w:rFonts w:ascii="Arial" w:cs="Arial" w:eastAsia="Arial" w:hAnsi="Arial"/>
          <w:sz w:val="18"/>
          <w:szCs w:val="18"/>
          <w:color w:val="auto"/>
        </w:rPr>
        <w:t>(100% x 0.4375%) + (20% x (2.3% - 2.1875%)) =0.4375% + (20% x 0.1125%)</w:t>
      </w:r>
    </w:p>
    <w:p>
      <w:pPr>
        <w:ind w:left="600" w:hanging="140"/>
        <w:spacing w:after="0"/>
        <w:tabs>
          <w:tab w:leader="none" w:pos="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 w:lineRule="exact"/>
        <w:rPr>
          <w:rFonts w:ascii="Arial" w:cs="Arial" w:eastAsia="Arial" w:hAnsi="Arial"/>
          <w:sz w:val="18"/>
          <w:szCs w:val="18"/>
          <w:color w:val="auto"/>
        </w:rPr>
      </w:pPr>
    </w:p>
    <w:p>
      <w:pPr>
        <w:ind w:left="600" w:hanging="140"/>
        <w:spacing w:after="0"/>
        <w:tabs>
          <w:tab w:leader="none" w:pos="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0.46%</w:t>
      </w:r>
    </w:p>
    <w:p>
      <w:pPr>
        <w:spacing w:after="0" w:line="22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7.0 percent annualized Hurdle.</w:t>
      </w:r>
    </w:p>
    <w:p>
      <w:pPr>
        <w:ind w:left="340" w:right="24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2.0 percent annualized base management fee. Although the management fee will be 2.00 percent of our gross assets, the investment adviser has agreed to waive a portion of the base management fee such that the base management fee will equal 1.50 percent from the consummation of this offering through September 30, 2007, 1.75 percent from October 1, 2007 through March 31, 2008, and 2.00 percent thereafter.</w:t>
      </w: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Excludes organizational and 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461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15"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6"/>
            <w:szCs w:val="16"/>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ectPr>
          <w:pgSz w:w="11900" w:h="16838" w:orient="portrait"/>
          <w:cols w:equalWidth="0" w:num="1">
            <w:col w:w="11300"/>
          </w:cols>
          <w:pgMar w:left="240" w:top="459" w:right="359" w:bottom="1440" w:gutter="0" w:footer="0" w:header="0"/>
        </w:sectPr>
      </w:pPr>
    </w:p>
    <w:p>
      <w:pPr>
        <w:spacing w:after="0" w:line="16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Year 1 incentive fee</w:t>
      </w:r>
    </w:p>
    <w:p>
      <w:pPr>
        <w:spacing w:after="0" w:line="200" w:lineRule="exact"/>
        <w:rPr>
          <w:sz w:val="20"/>
          <w:szCs w:val="20"/>
          <w:color w:val="auto"/>
        </w:rPr>
      </w:pPr>
    </w:p>
    <w:p>
      <w:pPr>
        <w:spacing w:after="0" w:line="27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Year 2 incentive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461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20% x (0)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no incentive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20% x (6% – 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20% x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1%</w:t>
      </w:r>
    </w:p>
    <w:p>
      <w:pPr>
        <w:spacing w:after="0" w:line="200" w:lineRule="exact"/>
        <w:rPr>
          <w:sz w:val="20"/>
          <w:szCs w:val="20"/>
          <w:color w:val="auto"/>
        </w:rPr>
      </w:pPr>
    </w:p>
    <w:p>
      <w:pPr>
        <w:sectPr>
          <w:pgSz w:w="11900" w:h="16838" w:orient="portrait"/>
          <w:cols w:equalWidth="0" w:num="2">
            <w:col w:w="5440" w:space="720"/>
            <w:col w:w="5140"/>
          </w:cols>
          <w:pgMar w:left="240" w:top="459" w:right="359" w:bottom="1440" w:gutter="0" w:footer="0" w:header="0"/>
          <w:type w:val="continuous"/>
        </w:sectPr>
      </w:pPr>
    </w:p>
    <w:p>
      <w:pPr>
        <w:spacing w:after="0" w:line="30"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All investment professionals of the investment adviser and their respective staffs when and to the extent engaged in providing investment advisory and management services, and the compensation and routine overhead expenses of such personnel allocable to such services, will be provided and paid for by PennantPark Administration. We will bear all other costs and expenses of our operations and transactions, including (without limitation):</w:t>
      </w:r>
    </w:p>
    <w:p>
      <w:pPr>
        <w:spacing w:after="0" w:line="26"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reviews of prospective investments and investment advisory fees;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446"/>
        <w:spacing w:after="0" w:line="298"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other expenses incurred by either PennantPark Administration or us in connection with organization and offering, administering our business, including payments under the Administration Agreement that will be based upon our allocable portion of overhead and other expenses incurred by PennantPark Administration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96"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The Investment Management Agreement was approved by our board of directors, including a majority of our directors who are not interested persons of PennantPark, on February 13, 2007 and is scheduled to be executed on the date of this prospectus. Unless terminated earlier as described below, the Investment</w:t>
      </w:r>
    </w:p>
    <w:p>
      <w:pPr>
        <w:spacing w:after="0" w:line="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00"/>
          </w:cols>
          <w:pgMar w:left="240" w:top="459" w:right="3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Management Agreement will continue in effect for a period of two years from its execution date.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 could be significantly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Each of the Interim Management Agreement and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of the Investment Adviser</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PennantPark Investment Advisers is a newly formed Delaware limited liability company that intends to register as an investment adviser under the Advisers Act prior to completion of this offering. The principal executive offices of PennantPark Investment Advisers are located at 445 Park Avenue, New York, NY 10022.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Approval of the Investment Management Agreement</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discussion regarding the basis for our board of director’s approval of our Investment Management Agreement will be included in our first quarterly report on Form 10-Q filed subsequent to completion of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the Administration Agreement, PennantPark Administration will furnish us with office facilities, equipment and clerical, bookkeeping and record keeping services at such facilities. Under the Administration Agreement, PennantPark Administration also will perform, or oversee the performance of, our required administrative services, which include, among other things, being responsible for the financial records which we are required to maintain and preparing reports to our stockholders and reports filed with the SEC. In addition, PennantPark Administration will assist us in determining and publishing our net asset value, oversee the preparation and filing of our tax returns and the printing and dissemination of reports to our stockholders, and generally oversee the payment of our expenses and the performance of administrative and professional services rendered to us by others. Payments under the Administration Agreement will be equal to an amount based upon our allocable portion of PennantPark Administration’s overhead in performing its obligations under the Administration Agreement, including rent and our allocable portion of the cost of our chief compliance officer and chief financial officer and their respective staffs. Under the Administration Agreement, PennantPark Administration will also provide on our behalf managerial assistance to those portfolio companies to which we are required to provide such assistance. The Administration Agreement may be terminated by either party without penalty upon 60 days’ written notice to the other party. To the extent that our administrator outsources any of its functions we will pay the fees associated with such functions on a direct basis without profit to the administrators.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PennantPark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Administration and its officers, manager,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Administration’s services under the Administration Agreement or otherwise as administrator for PennantPark.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agreed to grant us a non-exclusive, royalty-free license to use the name “PennantPark.” Under this agreement, we will have a right to use the PennantPark name, for so long as PennantPark Investment Advisers or one of its affiliates remains our investment adviser. Other than with respect to this limited license, we will have no legal right to the “PennantPark” name. The License Agreement will remain in effect for so long as the investment advisory and management agreement with our investment adviser is in effect.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w:t>
      </w:r>
    </w:p>
    <w:p>
      <w:pPr>
        <w:spacing w:after="0" w:line="15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entered into the Interim Investment Management Agreement and upon the closing of this offering, we will have entered into the Investment Management Agreement with PennantPark Investment Advisers, in which the Chairman of our Board of Directors and our Chief Executive Officer has ownership and financial interests. Our Chief Financial Officer and Treasurer, Aviv Efrat, and the chief compliance officer we expect to retain promptly after this offering, as well as Messrs. Chang, Giannetti and Williams and other investment professionals our investment adviser may retain after this offering, may also serve as principals of other investment managers affiliated with PennantPark Investment Advisers. Such entities may in the future manage investment funds with investment objectives similar to ours. In addition, our current executive officers and directors, the chief compliance officer we expect to retain after this offering and the senior investment professionals of our investment adviser, serve or may serve as officers, directors or principals of entities that operate or may operate in the same or related line of business as we do or of investment funds managed by our affiliates. Accordingly, we may not be given the opportunity to participate in certain investments made by investment funds managed by advisers affiliated with PennantPark Investment Advisers. However, our investment adviser intends to allocate investment opportunities in a fair and equitable manner consistent with our investment objectives and strategies so that we are not disadvantaged in relation to any other client of our investment adviser. See “Risk Factors—Risks relating to our business and structure—There are significant potential conflicts of interest which could impact our investment returns.”</w:t>
      </w:r>
    </w:p>
    <w:p>
      <w:pPr>
        <w:spacing w:after="0" w:line="9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agreed to grant us a non-exclusive, royalty-free license to use the name “PennantPark.”</w:t>
      </w:r>
    </w:p>
    <w:p>
      <w:pPr>
        <w:spacing w:after="0" w:line="105"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pursuant to the terms of the Administration Agreement, PennantPark Administration provides us with the office facilities and administrative services necessary to conduct our day-to-day operations. PennantPark Investment Advisers is the sole member of and controls PennantPark Administration.</w:t>
      </w:r>
    </w:p>
    <w:p>
      <w:pPr>
        <w:spacing w:after="0" w:line="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through our wholly owned subsidiary, Pennant SPV Company, LLC, have established a Credit Facility with the Lender, one of the underwriters for this offering, to use advances thereunder to acquire interests in certain senior secured loans that will comprise our initial investment portfolio upon the consummation of this offering. One or more of the underwriters of this offering may also have acted as an agent or broker in connection with loans we have purchased in the market. Neither we, nor Pennant SPV Company, LLC, has paid or will pay any commissions in connection with such purchases.</w:t>
      </w:r>
    </w:p>
    <w:p>
      <w:pPr>
        <w:spacing w:after="0" w:line="8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PennantPark Investment Advisers purchased 80,000 shares of common stock from PennantPark at $15.00 per share for a total of $1.2 million for the purpose of capitalizing Pennant SPV Company, LLC. Mr. Penn is the Managing Member of PennantPark Investment Advisers.</w:t>
      </w:r>
    </w:p>
    <w:p>
      <w:pPr>
        <w:spacing w:after="0" w:line="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Immediately prior to the closing of this offering, we expect to sell 320,000 shares of common stock to our directors and officers, our investment adviser and the managers of our investment advisor at a price of $15.00 per share in a private placement. We will receive the full proceeds of this private placement, and no underwriting discounts or commissions will be paid in respect of these shares. Under a registration rights agreement signed at the time of such private placement, the holders of these shares will receive registration rights that will entitle them to make up to two demands on us to register their shares under the Securities Act. Holders of a majority of these shares may elect to exercise their registration rights at any time after the date on which these shares of common stock are released from the lock-up arrangement agreed as part of this offering. In addition, these stockholders have certain “piggy-back” registration rights that entitle them to include their shares in certain registration statements that we file subsequent to the closing date of this offering. We will bear the expenses incurred in connection with the filing of any such registration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50"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Immediately prior to the completion of this offering and the private placement of 320,000 shares to our officers and directors, our investment adviser and the managers of our investment adviser, there will be 80,000 shares of common stock outstanding and one stockholder of record. At that time, we will have no other shares of capital stock outstanding. The following table sets forth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86"/>
              </w:rPr>
              <w:t>Percentage of common stock outstanding</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140" w:type="dxa"/>
            <w:vAlign w:val="bottom"/>
            <w:gridSpan w:val="4"/>
          </w:tcPr>
          <w:p>
            <w:pPr>
              <w:jc w:val="center"/>
              <w:ind w:right="600"/>
              <w:spacing w:after="0" w:line="125" w:lineRule="exact"/>
              <w:rPr>
                <w:sz w:val="20"/>
                <w:szCs w:val="20"/>
                <w:color w:val="auto"/>
              </w:rPr>
            </w:pPr>
            <w:r>
              <w:rPr>
                <w:rFonts w:ascii="Arial" w:cs="Arial" w:eastAsia="Arial" w:hAnsi="Arial"/>
                <w:sz w:val="14"/>
                <w:szCs w:val="14"/>
                <w:b w:val="1"/>
                <w:bCs w:val="1"/>
                <w:color w:val="auto"/>
                <w:w w:val="90"/>
              </w:rPr>
              <w:t>Immediately prior</w:t>
            </w:r>
          </w:p>
        </w:tc>
        <w:tc>
          <w:tcPr>
            <w:tcW w:w="16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1"/>
              </w:rPr>
              <w:t>Immediately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40" w:type="dxa"/>
            <w:vAlign w:val="bottom"/>
            <w:gridSpan w:val="4"/>
          </w:tcPr>
          <w:p>
            <w:pPr>
              <w:jc w:val="center"/>
              <w:ind w:right="600"/>
              <w:spacing w:after="0" w:line="181" w:lineRule="exact"/>
              <w:rPr>
                <w:sz w:val="20"/>
                <w:szCs w:val="20"/>
                <w:color w:val="auto"/>
              </w:rPr>
            </w:pPr>
            <w:r>
              <w:rPr>
                <w:rFonts w:ascii="Arial" w:cs="Arial" w:eastAsia="Arial" w:hAnsi="Arial"/>
                <w:sz w:val="13"/>
                <w:szCs w:val="13"/>
                <w:b w:val="1"/>
                <w:bCs w:val="1"/>
                <w:color w:val="auto"/>
                <w:w w:val="91"/>
              </w:rPr>
              <w:t>to this offering</w:t>
            </w:r>
            <w:r>
              <w:rPr>
                <w:rFonts w:ascii="Arial" w:cs="Arial" w:eastAsia="Arial" w:hAnsi="Arial"/>
                <w:sz w:val="20"/>
                <w:szCs w:val="20"/>
                <w:b w:val="1"/>
                <w:bCs w:val="1"/>
                <w:color w:val="auto"/>
                <w:w w:val="91"/>
                <w:vertAlign w:val="superscript"/>
              </w:rPr>
              <w:t>(1)</w:t>
            </w:r>
          </w:p>
        </w:tc>
        <w:tc>
          <w:tcPr>
            <w:tcW w:w="1660" w:type="dxa"/>
            <w:vAlign w:val="bottom"/>
            <w:gridSpan w:val="3"/>
          </w:tcPr>
          <w:p>
            <w:pPr>
              <w:jc w:val="center"/>
              <w:spacing w:after="0" w:line="181" w:lineRule="exact"/>
              <w:rPr>
                <w:sz w:val="20"/>
                <w:szCs w:val="20"/>
                <w:color w:val="auto"/>
              </w:rPr>
            </w:pPr>
            <w:r>
              <w:rPr>
                <w:rFonts w:ascii="Arial" w:cs="Arial" w:eastAsia="Arial" w:hAnsi="Arial"/>
                <w:sz w:val="13"/>
                <w:szCs w:val="13"/>
                <w:b w:val="1"/>
                <w:bCs w:val="1"/>
                <w:color w:val="auto"/>
                <w:w w:val="92"/>
              </w:rPr>
              <w:t>after this offering</w:t>
            </w:r>
            <w:r>
              <w:rPr>
                <w:rFonts w:ascii="Arial" w:cs="Arial" w:eastAsia="Arial" w:hAnsi="Arial"/>
                <w:sz w:val="20"/>
                <w:szCs w:val="20"/>
                <w:b w:val="1"/>
                <w:bCs w:val="1"/>
                <w:color w:val="auto"/>
                <w:w w:val="92"/>
                <w:vertAlign w:val="superscript"/>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40" w:type="dxa"/>
            <w:vAlign w:val="bottom"/>
            <w:gridSpan w:val="4"/>
          </w:tcPr>
          <w:p>
            <w:pPr>
              <w:jc w:val="center"/>
              <w:ind w:right="600"/>
              <w:spacing w:after="0" w:line="144" w:lineRule="exact"/>
              <w:rPr>
                <w:sz w:val="20"/>
                <w:szCs w:val="20"/>
                <w:color w:val="auto"/>
              </w:rPr>
            </w:pPr>
            <w:r>
              <w:rPr>
                <w:rFonts w:ascii="Arial" w:cs="Arial" w:eastAsia="Arial" w:hAnsi="Arial"/>
                <w:sz w:val="14"/>
                <w:szCs w:val="14"/>
                <w:b w:val="1"/>
                <w:bCs w:val="1"/>
                <w:color w:val="auto"/>
                <w:w w:val="88"/>
              </w:rPr>
              <w:t>and private</w:t>
            </w:r>
          </w:p>
        </w:tc>
        <w:tc>
          <w:tcPr>
            <w:tcW w:w="1660" w:type="dxa"/>
            <w:vAlign w:val="bottom"/>
            <w:gridSpan w:val="3"/>
          </w:tcPr>
          <w:p>
            <w:pPr>
              <w:jc w:val="center"/>
              <w:spacing w:after="0" w:line="144" w:lineRule="exact"/>
              <w:rPr>
                <w:sz w:val="20"/>
                <w:szCs w:val="20"/>
                <w:color w:val="auto"/>
              </w:rPr>
            </w:pPr>
            <w:r>
              <w:rPr>
                <w:rFonts w:ascii="Arial" w:cs="Arial" w:eastAsia="Arial" w:hAnsi="Arial"/>
                <w:sz w:val="14"/>
                <w:szCs w:val="14"/>
                <w:b w:val="1"/>
                <w:bCs w:val="1"/>
                <w:color w:val="auto"/>
                <w:w w:val="88"/>
              </w:rPr>
              <w:t>and private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40" w:type="dxa"/>
            <w:vAlign w:val="bottom"/>
            <w:gridSpan w:val="4"/>
          </w:tcPr>
          <w:p>
            <w:pPr>
              <w:jc w:val="center"/>
              <w:ind w:right="580"/>
              <w:spacing w:after="0" w:line="207" w:lineRule="exact"/>
              <w:rPr>
                <w:sz w:val="20"/>
                <w:szCs w:val="20"/>
                <w:color w:val="auto"/>
              </w:rPr>
            </w:pPr>
            <w:r>
              <w:rPr>
                <w:rFonts w:ascii="Arial" w:cs="Arial" w:eastAsia="Arial" w:hAnsi="Arial"/>
                <w:sz w:val="14"/>
                <w:szCs w:val="14"/>
                <w:b w:val="1"/>
                <w:bCs w:val="1"/>
                <w:color w:val="auto"/>
                <w:w w:val="82"/>
              </w:rPr>
              <w:t>placement</w:t>
            </w:r>
            <w:r>
              <w:rPr>
                <w:rFonts w:ascii="Arial" w:cs="Arial" w:eastAsia="Arial" w:hAnsi="Arial"/>
                <w:sz w:val="22"/>
                <w:szCs w:val="22"/>
                <w:b w:val="1"/>
                <w:bCs w:val="1"/>
                <w:color w:val="auto"/>
                <w:w w:val="82"/>
                <w:vertAlign w:val="superscript"/>
              </w:rPr>
              <w:t>(2)</w:t>
            </w:r>
          </w:p>
        </w:tc>
        <w:tc>
          <w:tcPr>
            <w:tcW w:w="1660" w:type="dxa"/>
            <w:vAlign w:val="bottom"/>
            <w:gridSpan w:val="3"/>
          </w:tcPr>
          <w:p>
            <w:pPr>
              <w:jc w:val="center"/>
              <w:spacing w:after="0" w:line="207" w:lineRule="exact"/>
              <w:rPr>
                <w:sz w:val="20"/>
                <w:szCs w:val="20"/>
                <w:color w:val="auto"/>
              </w:rPr>
            </w:pPr>
            <w:r>
              <w:rPr>
                <w:rFonts w:ascii="Arial" w:cs="Arial" w:eastAsia="Arial" w:hAnsi="Arial"/>
                <w:sz w:val="14"/>
                <w:szCs w:val="14"/>
                <w:b w:val="1"/>
                <w:bCs w:val="1"/>
                <w:color w:val="auto"/>
                <w:w w:val="84"/>
              </w:rPr>
              <w:t>placement</w:t>
            </w:r>
            <w:r>
              <w:rPr>
                <w:rFonts w:ascii="Arial" w:cs="Arial" w:eastAsia="Arial" w:hAnsi="Arial"/>
                <w:sz w:val="22"/>
                <w:szCs w:val="22"/>
                <w:b w:val="1"/>
                <w:bCs w:val="1"/>
                <w:color w:val="auto"/>
                <w:w w:val="84"/>
                <w:vertAlign w:val="superscript"/>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(3)</w:t>
            </w:r>
          </w:p>
        </w:tc>
        <w:tc>
          <w:tcPr>
            <w:tcW w:w="440" w:type="dxa"/>
            <w:vAlign w:val="bottom"/>
          </w:tcPr>
          <w:p>
            <w:pPr>
              <w:spacing w:after="0"/>
              <w:rPr>
                <w:sz w:val="11"/>
                <w:szCs w:val="11"/>
                <w:color w:val="auto"/>
              </w:rPr>
            </w:pPr>
          </w:p>
        </w:tc>
        <w:tc>
          <w:tcPr>
            <w:tcW w:w="116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4"/>
              </w:rPr>
              <w:t>Type of</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1"/>
              </w:rPr>
              <w:t>Shares</w:t>
            </w:r>
          </w:p>
        </w:tc>
        <w:tc>
          <w:tcPr>
            <w:tcW w:w="4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tcBorders>
              <w:bottom w:val="single" w:sz="8" w:color="auto"/>
            </w:tcBorders>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ownership</w:t>
            </w:r>
          </w:p>
        </w:tc>
        <w:tc>
          <w:tcPr>
            <w:tcW w:w="440" w:type="dxa"/>
            <w:vAlign w:val="bottom"/>
          </w:tcPr>
          <w:p>
            <w:pPr>
              <w:spacing w:after="0"/>
              <w:rPr>
                <w:sz w:val="13"/>
                <w:szCs w:val="13"/>
                <w:color w:val="auto"/>
              </w:rPr>
            </w:pPr>
          </w:p>
        </w:tc>
        <w:tc>
          <w:tcPr>
            <w:tcW w:w="4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owned</w:t>
            </w:r>
          </w:p>
        </w:tc>
        <w:tc>
          <w:tcPr>
            <w:tcW w:w="420" w:type="dxa"/>
            <w:vAlign w:val="bottom"/>
          </w:tcPr>
          <w:p>
            <w:pPr>
              <w:spacing w:after="0"/>
              <w:rPr>
                <w:sz w:val="13"/>
                <w:szCs w:val="13"/>
                <w:color w:val="auto"/>
              </w:rPr>
            </w:pPr>
          </w:p>
        </w:tc>
        <w:tc>
          <w:tcPr>
            <w:tcW w:w="66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4"/>
                <w:szCs w:val="14"/>
                <w:b w:val="1"/>
                <w:bCs w:val="1"/>
                <w:color w:val="auto"/>
                <w:w w:val="82"/>
              </w:rPr>
              <w:t>Percentage</w:t>
            </w:r>
          </w:p>
        </w:tc>
        <w:tc>
          <w:tcPr>
            <w:tcW w:w="580" w:type="dxa"/>
            <w:vAlign w:val="bottom"/>
          </w:tcPr>
          <w:p>
            <w:pPr>
              <w:spacing w:after="0"/>
              <w:rPr>
                <w:sz w:val="13"/>
                <w:szCs w:val="13"/>
                <w:color w:val="auto"/>
              </w:rPr>
            </w:pPr>
          </w:p>
        </w:tc>
        <w:tc>
          <w:tcPr>
            <w:tcW w:w="580" w:type="dxa"/>
            <w:vAlign w:val="bottom"/>
            <w:tcBorders>
              <w:bottom w:val="single" w:sz="8" w:color="auto"/>
            </w:tcBorders>
          </w:tcPr>
          <w:p>
            <w:pPr>
              <w:ind w:left="100"/>
              <w:spacing w:after="0" w:line="148" w:lineRule="exact"/>
              <w:rPr>
                <w:sz w:val="20"/>
                <w:szCs w:val="20"/>
                <w:color w:val="auto"/>
              </w:rPr>
            </w:pPr>
            <w:r>
              <w:rPr>
                <w:rFonts w:ascii="Arial" w:cs="Arial" w:eastAsia="Arial" w:hAnsi="Arial"/>
                <w:sz w:val="14"/>
                <w:szCs w:val="14"/>
                <w:b w:val="1"/>
                <w:bCs w:val="1"/>
                <w:color w:val="auto"/>
              </w:rPr>
              <w:t>owned</w:t>
            </w:r>
          </w:p>
        </w:tc>
        <w:tc>
          <w:tcPr>
            <w:tcW w:w="440" w:type="dxa"/>
            <w:vAlign w:val="bottom"/>
          </w:tcPr>
          <w:p>
            <w:pPr>
              <w:spacing w:after="0"/>
              <w:rPr>
                <w:sz w:val="13"/>
                <w:szCs w:val="13"/>
                <w:color w:val="auto"/>
              </w:rPr>
            </w:pPr>
          </w:p>
        </w:tc>
        <w:tc>
          <w:tcPr>
            <w:tcW w:w="6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PennantPark Investment Advisers, LLC</w:t>
            </w:r>
            <w:r>
              <w:rPr>
                <w:rFonts w:ascii="Arial" w:cs="Arial" w:eastAsia="Arial" w:hAnsi="Arial"/>
                <w:sz w:val="22"/>
                <w:szCs w:val="22"/>
                <w:color w:val="auto"/>
                <w:vertAlign w:val="superscript"/>
              </w:rPr>
              <w:t>(4)</w:t>
            </w:r>
          </w:p>
        </w:tc>
        <w:tc>
          <w:tcPr>
            <w:tcW w:w="1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Record</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80,000</w:t>
            </w:r>
          </w:p>
        </w:tc>
        <w:tc>
          <w:tcPr>
            <w:tcW w:w="16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208,333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line="217" w:lineRule="exact"/>
              <w:rPr>
                <w:sz w:val="20"/>
                <w:szCs w:val="20"/>
                <w:color w:val="auto"/>
              </w:rPr>
            </w:pPr>
            <w:r>
              <w:rPr>
                <w:rFonts w:ascii="Arial" w:cs="Arial" w:eastAsia="Arial" w:hAnsi="Arial"/>
                <w:sz w:val="18"/>
                <w:szCs w:val="18"/>
                <w:color w:val="auto"/>
              </w:rPr>
              <w:t>Arthur H. Penn</w:t>
            </w:r>
            <w:r>
              <w:rPr>
                <w:rFonts w:ascii="Arial" w:cs="Arial" w:eastAsia="Arial" w:hAnsi="Arial"/>
                <w:sz w:val="22"/>
                <w:szCs w:val="22"/>
                <w:color w:val="auto"/>
                <w:vertAlign w:val="superscript"/>
              </w:rPr>
              <w:t>(4)</w:t>
            </w:r>
          </w:p>
        </w:tc>
        <w:tc>
          <w:tcPr>
            <w:tcW w:w="1600" w:type="dxa"/>
            <w:vAlign w:val="bottom"/>
            <w:gridSpan w:val="3"/>
          </w:tcPr>
          <w:p>
            <w:pPr>
              <w:ind w:left="440"/>
              <w:spacing w:after="0"/>
              <w:rPr>
                <w:sz w:val="20"/>
                <w:szCs w:val="20"/>
                <w:color w:val="auto"/>
              </w:rPr>
            </w:pPr>
            <w:r>
              <w:rPr>
                <w:rFonts w:ascii="Arial" w:cs="Arial" w:eastAsia="Arial" w:hAnsi="Arial"/>
                <w:sz w:val="18"/>
                <w:szCs w:val="18"/>
                <w:color w:val="auto"/>
              </w:rPr>
              <w:t>Beneficial</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80,000</w:t>
            </w:r>
          </w:p>
        </w:tc>
        <w:tc>
          <w:tcPr>
            <w:tcW w:w="1660" w:type="dxa"/>
            <w:vAlign w:val="bottom"/>
            <w:gridSpan w:val="3"/>
          </w:tcPr>
          <w:p>
            <w:pPr>
              <w:ind w:left="82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208,333</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All officers and directors as a group (</w:t>
            </w:r>
            <w:r>
              <w:rPr>
                <w:rFonts w:ascii="Arial" w:cs="Arial" w:eastAsia="Arial" w:hAnsi="Arial"/>
                <w:sz w:val="18"/>
                <w:szCs w:val="18"/>
                <w:i w:val="1"/>
                <w:iCs w:val="1"/>
                <w:color w:val="auto"/>
              </w:rPr>
              <w:t>6 persons</w:t>
            </w:r>
            <w:r>
              <w:rPr>
                <w:rFonts w:ascii="Arial" w:cs="Arial" w:eastAsia="Arial" w:hAnsi="Arial"/>
                <w:sz w:val="18"/>
                <w:szCs w:val="18"/>
                <w:color w:val="auto"/>
              </w:rPr>
              <w:t>)</w:t>
            </w:r>
          </w:p>
        </w:tc>
        <w:tc>
          <w:tcPr>
            <w:tcW w:w="1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Beneficial</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80,000</w:t>
            </w:r>
          </w:p>
        </w:tc>
        <w:tc>
          <w:tcPr>
            <w:tcW w:w="16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268,333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600" w:type="dxa"/>
            <w:vAlign w:val="bottom"/>
            <w:gridSpan w:val="3"/>
          </w:tcPr>
          <w:p>
            <w:pPr>
              <w:ind w:left="440"/>
              <w:spacing w:after="0"/>
              <w:rPr>
                <w:sz w:val="20"/>
                <w:szCs w:val="20"/>
                <w:color w:val="auto"/>
              </w:rPr>
            </w:pPr>
            <w:r>
              <w:rPr>
                <w:rFonts w:ascii="Arial" w:cs="Arial" w:eastAsia="Arial" w:hAnsi="Arial"/>
                <w:sz w:val="18"/>
                <w:szCs w:val="18"/>
                <w:color w:val="auto"/>
              </w:rPr>
              <w:t>Record</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96,666</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2"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Assumes issuance of 20,000,000 shares offered by this prospectus. Does not reflect shares of common stock reserved for issuance upon exercise of the underwriters’ over-allotment option.</w:t>
      </w:r>
    </w:p>
    <w:p>
      <w:pPr>
        <w:spacing w:after="0" w:line="22" w:lineRule="exact"/>
        <w:rPr>
          <w:rFonts w:ascii="Arial" w:cs="Arial" w:eastAsia="Arial" w:hAnsi="Arial"/>
          <w:sz w:val="12"/>
          <w:szCs w:val="12"/>
          <w:color w:val="auto"/>
        </w:rPr>
      </w:pPr>
    </w:p>
    <w:p>
      <w:pPr>
        <w:ind w:left="340" w:right="260" w:hanging="332"/>
        <w:spacing w:after="0" w:line="258"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Immediately prior to the closing of this offering, we expect to sell 320,000 shares of common stock to our directors and officers, our investment adviser and the managers of our investment adviser at a price of $15.00 per share in a private placement. We will receive the full proceeds of this private placement, and no underwriting discounts or commissions will be paid in respect of these shares.</w:t>
      </w:r>
    </w:p>
    <w:p>
      <w:pPr>
        <w:ind w:left="340" w:hanging="332"/>
        <w:spacing w:after="0" w:line="187" w:lineRule="auto"/>
        <w:tabs>
          <w:tab w:leader="none" w:pos="340" w:val="left"/>
        </w:tabs>
        <w:numPr>
          <w:ilvl w:val="0"/>
          <w:numId w:val="40"/>
        </w:numPr>
        <w:rPr>
          <w:rFonts w:ascii="Arial" w:cs="Arial" w:eastAsia="Arial" w:hAnsi="Arial"/>
          <w:sz w:val="18"/>
          <w:szCs w:val="18"/>
          <w:color w:val="auto"/>
          <w:vertAlign w:val="superscript"/>
        </w:rPr>
      </w:pPr>
      <w:r>
        <w:rPr>
          <w:rFonts w:ascii="Arial" w:cs="Arial" w:eastAsia="Arial" w:hAnsi="Arial"/>
          <w:sz w:val="10"/>
          <w:szCs w:val="10"/>
          <w:color w:val="auto"/>
        </w:rPr>
        <w:t>The address for Pennant Investment Advisers, LLC and each executive officer and director is 445 Park Avenue, 10</w:t>
      </w:r>
      <w:r>
        <w:rPr>
          <w:rFonts w:ascii="Arial" w:cs="Arial" w:eastAsia="Arial" w:hAnsi="Arial"/>
          <w:sz w:val="15"/>
          <w:szCs w:val="15"/>
          <w:color w:val="auto"/>
          <w:vertAlign w:val="superscript"/>
        </w:rPr>
        <w:t>th</w:t>
      </w:r>
      <w:r>
        <w:rPr>
          <w:rFonts w:ascii="Arial" w:cs="Arial" w:eastAsia="Arial" w:hAnsi="Arial"/>
          <w:sz w:val="10"/>
          <w:szCs w:val="10"/>
          <w:color w:val="auto"/>
        </w:rPr>
        <w:t xml:space="preserve"> Floor, New York, New York 10022.</w:t>
      </w:r>
    </w:p>
    <w:p>
      <w:pPr>
        <w:ind w:left="340" w:hanging="332"/>
        <w:spacing w:after="0"/>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Mr. Penn is the Managing Member of PennantPark Investment Advisers, LLC, and may therefore be deemed to own beneficially the shares held by PennantPark Investment Advisers, LLC.</w:t>
      </w:r>
    </w:p>
    <w:p>
      <w:pPr>
        <w:spacing w:after="0" w:line="10" w:lineRule="exact"/>
        <w:rPr>
          <w:sz w:val="20"/>
          <w:szCs w:val="20"/>
          <w:color w:val="auto"/>
        </w:rPr>
      </w:pPr>
    </w:p>
    <w:p>
      <w:pPr>
        <w:ind w:left="340" w:hanging="298"/>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1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after giving effect to the private placement of 320,000 shares of common stock to our directors and officers, our investment adviser and the management of our investment adviser immediately prior to this offering in addition to 80,000 shares of common stock already outstanding. We are not part of a “family of investment companies,” as that term is defined in the 1940 Act.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Dollar Range of Equity</w:t>
            </w:r>
          </w:p>
        </w:tc>
      </w:tr>
      <w:tr>
        <w:trPr>
          <w:trHeight w:val="144"/>
        </w:trPr>
        <w:tc>
          <w:tcPr>
            <w:tcW w:w="5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3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6"/>
              </w:rPr>
              <w:t>Securities in</w:t>
            </w:r>
          </w:p>
        </w:tc>
      </w:tr>
      <w:tr>
        <w:trPr>
          <w:trHeight w:val="213"/>
        </w:trPr>
        <w:tc>
          <w:tcPr>
            <w:tcW w:w="582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Name of Director</w:t>
            </w:r>
          </w:p>
        </w:tc>
        <w:tc>
          <w:tcPr>
            <w:tcW w:w="240" w:type="dxa"/>
            <w:vAlign w:val="bottom"/>
          </w:tcPr>
          <w:p>
            <w:pPr>
              <w:spacing w:after="0"/>
              <w:rPr>
                <w:sz w:val="18"/>
                <w:szCs w:val="18"/>
                <w:color w:val="auto"/>
              </w:rPr>
            </w:pPr>
          </w:p>
        </w:tc>
        <w:tc>
          <w:tcPr>
            <w:tcW w:w="5360" w:type="dxa"/>
            <w:vAlign w:val="bottom"/>
            <w:tcBorders>
              <w:bottom w:val="single" w:sz="8" w:color="auto"/>
            </w:tcBorders>
            <w:gridSpan w:val="2"/>
          </w:tcPr>
          <w:p>
            <w:pPr>
              <w:jc w:val="center"/>
              <w:spacing w:after="0" w:line="193" w:lineRule="exact"/>
              <w:rPr>
                <w:sz w:val="20"/>
                <w:szCs w:val="20"/>
                <w:color w:val="auto"/>
              </w:rPr>
            </w:pPr>
            <w:r>
              <w:rPr>
                <w:rFonts w:ascii="Arial" w:cs="Arial" w:eastAsia="Arial" w:hAnsi="Arial"/>
                <w:sz w:val="14"/>
                <w:szCs w:val="14"/>
                <w:b w:val="1"/>
                <w:bCs w:val="1"/>
                <w:color w:val="auto"/>
                <w:w w:val="84"/>
              </w:rPr>
              <w:t>PennantPark</w:t>
            </w:r>
            <w:r>
              <w:rPr>
                <w:rFonts w:ascii="Arial" w:cs="Arial" w:eastAsia="Arial" w:hAnsi="Arial"/>
                <w:sz w:val="22"/>
                <w:szCs w:val="22"/>
                <w:b w:val="1"/>
                <w:bCs w:val="1"/>
                <w:color w:val="auto"/>
                <w:w w:val="84"/>
                <w:vertAlign w:val="superscript"/>
              </w:rPr>
              <w:t>(1)</w:t>
            </w:r>
          </w:p>
        </w:tc>
      </w:tr>
      <w:tr>
        <w:trPr>
          <w:trHeight w:val="195"/>
        </w:trPr>
        <w:tc>
          <w:tcPr>
            <w:tcW w:w="5820" w:type="dxa"/>
            <w:vAlign w:val="bottom"/>
          </w:tcPr>
          <w:p>
            <w:pPr>
              <w:spacing w:after="0" w:line="195"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Adam K. Bernstein</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$500,001</w:t>
            </w:r>
          </w:p>
        </w:tc>
        <w:tc>
          <w:tcPr>
            <w:tcW w:w="2800" w:type="dxa"/>
            <w:vAlign w:val="bottom"/>
          </w:tcPr>
          <w:p>
            <w:pPr>
              <w:ind w:left="20"/>
              <w:spacing w:after="0"/>
              <w:rPr>
                <w:sz w:val="20"/>
                <w:szCs w:val="20"/>
                <w:color w:val="auto"/>
              </w:rPr>
            </w:pPr>
            <w:r>
              <w:rPr>
                <w:rFonts w:ascii="Arial" w:cs="Arial" w:eastAsia="Arial" w:hAnsi="Arial"/>
                <w:sz w:val="18"/>
                <w:szCs w:val="18"/>
                <w:color w:val="auto"/>
              </w:rPr>
              <w:t>- $1,000,000</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Marshall Brozost</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$100,001</w:t>
            </w:r>
          </w:p>
        </w:tc>
        <w:tc>
          <w:tcPr>
            <w:tcW w:w="2800" w:type="dxa"/>
            <w:vAlign w:val="bottom"/>
          </w:tcPr>
          <w:p>
            <w:pPr>
              <w:ind w:left="20"/>
              <w:spacing w:after="0"/>
              <w:rPr>
                <w:sz w:val="20"/>
                <w:szCs w:val="20"/>
                <w:color w:val="auto"/>
              </w:rPr>
            </w:pPr>
            <w:r>
              <w:rPr>
                <w:rFonts w:ascii="Arial" w:cs="Arial" w:eastAsia="Arial" w:hAnsi="Arial"/>
                <w:sz w:val="18"/>
                <w:szCs w:val="18"/>
                <w:color w:val="auto"/>
              </w:rPr>
              <w:t>- $500,000</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Jeffrey Flug</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$500,001</w:t>
            </w:r>
          </w:p>
        </w:tc>
        <w:tc>
          <w:tcPr>
            <w:tcW w:w="2800" w:type="dxa"/>
            <w:vAlign w:val="bottom"/>
          </w:tcPr>
          <w:p>
            <w:pPr>
              <w:ind w:left="20"/>
              <w:spacing w:after="0"/>
              <w:rPr>
                <w:sz w:val="20"/>
                <w:szCs w:val="20"/>
                <w:color w:val="auto"/>
              </w:rPr>
            </w:pPr>
            <w:r>
              <w:rPr>
                <w:rFonts w:ascii="Arial" w:cs="Arial" w:eastAsia="Arial" w:hAnsi="Arial"/>
                <w:sz w:val="18"/>
                <w:szCs w:val="18"/>
                <w:color w:val="auto"/>
              </w:rPr>
              <w:t>- $1,000,000</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Samuel L. Katz</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$100,001</w:t>
            </w:r>
          </w:p>
        </w:tc>
        <w:tc>
          <w:tcPr>
            <w:tcW w:w="2800" w:type="dxa"/>
            <w:vAlign w:val="bottom"/>
          </w:tcPr>
          <w:p>
            <w:pPr>
              <w:ind w:left="20"/>
              <w:spacing w:after="0"/>
              <w:rPr>
                <w:sz w:val="20"/>
                <w:szCs w:val="20"/>
                <w:color w:val="auto"/>
              </w:rPr>
            </w:pPr>
            <w:r>
              <w:rPr>
                <w:rFonts w:ascii="Arial" w:cs="Arial" w:eastAsia="Arial" w:hAnsi="Arial"/>
                <w:sz w:val="18"/>
                <w:szCs w:val="18"/>
                <w:color w:val="auto"/>
              </w:rPr>
              <w:t>- $500,000</w:t>
            </w:r>
          </w:p>
        </w:tc>
      </w:tr>
      <w:tr>
        <w:trPr>
          <w:trHeight w:val="331"/>
        </w:trPr>
        <w:tc>
          <w:tcPr>
            <w:tcW w:w="5820" w:type="dxa"/>
            <w:vAlign w:val="bottom"/>
          </w:tcPr>
          <w:p>
            <w:pPr>
              <w:spacing w:after="0"/>
              <w:rPr>
                <w:sz w:val="20"/>
                <w:szCs w:val="20"/>
                <w:color w:val="auto"/>
              </w:rPr>
            </w:pPr>
            <w:r>
              <w:rPr>
                <w:rFonts w:ascii="Arial" w:cs="Arial" w:eastAsia="Arial" w:hAnsi="Arial"/>
                <w:sz w:val="18"/>
                <w:szCs w:val="18"/>
                <w:b w:val="1"/>
                <w:bCs w:val="1"/>
                <w:color w:val="auto"/>
              </w:rPr>
              <w:t>Interested Directors</w:t>
            </w:r>
          </w:p>
        </w:tc>
        <w:tc>
          <w:tcPr>
            <w:tcW w:w="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Arthur H. Penn</w:t>
            </w:r>
          </w:p>
        </w:tc>
        <w:tc>
          <w:tcPr>
            <w:tcW w:w="240" w:type="dxa"/>
            <w:vAlign w:val="bottom"/>
          </w:tcPr>
          <w:p>
            <w:pPr>
              <w:spacing w:after="0"/>
              <w:rPr>
                <w:sz w:val="19"/>
                <w:szCs w:val="19"/>
                <w:color w:val="auto"/>
              </w:rPr>
            </w:pPr>
          </w:p>
        </w:tc>
        <w:tc>
          <w:tcPr>
            <w:tcW w:w="5360" w:type="dxa"/>
            <w:vAlign w:val="bottom"/>
            <w:gridSpan w:val="2"/>
          </w:tcPr>
          <w:p>
            <w:pPr>
              <w:jc w:val="center"/>
              <w:spacing w:after="0"/>
              <w:rPr>
                <w:sz w:val="20"/>
                <w:szCs w:val="20"/>
                <w:color w:val="auto"/>
              </w:rPr>
            </w:pPr>
            <w:r>
              <w:rPr>
                <w:rFonts w:ascii="Arial" w:cs="Arial" w:eastAsia="Arial" w:hAnsi="Arial"/>
                <w:sz w:val="18"/>
                <w:szCs w:val="18"/>
                <w:color w:val="auto"/>
                <w:w w:val="89"/>
              </w:rPr>
              <w:t>Over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or $100,001- $500,000; $500,001 - $1,000,000; and Over $1,000,000.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5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will be determined quarterly by dividing the value of total assets minus liabilities by the total number of shares outstanding.</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calculating the value of our total assets, we will value investments for which market quotations are readily available at such market quotations. Debt and equity securities that are not publicly traded or whose market price is not readily available will be valued at fair value as determined in good faith by our board of directors. As a general rule, loans or debt securities will not be valued above cost, but loans and debt securities will be subject to fair value write-downs when the asset is considered impaired. With respect to private equity securities, each investment will be valued using comparisons of financial ratios of the portfolio companies that issued such private equity securities to peer companies that are public. The value will then be discounted to reflect the illiquid nature of the investment, as well as our minority, non-control position. When an external event such as a purchase transaction, public offering or subsequent equity sale occurs, we will use the pricing indicated by the external event to corroborate our private equity valuation. Because we expect that there will not be a readily available market value for most of the investments in our portfolio, we expect to value substantially all of our portfolio investments at fair value as determined in good faith by our board under a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ready market existed for such investments, and the differences could be material.</w:t>
      </w:r>
    </w:p>
    <w:p>
      <w:pPr>
        <w:spacing w:after="0" w:line="10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board of directors will discuss valuations and will determine the fair value of each investment in our portfolio in good faith based on the input of our investment adviser, nationally recognized independent valuation firms and audit committee.</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will undertake a multi-step valuation process each quarter, as described below:</w:t>
      </w:r>
    </w:p>
    <w:p>
      <w:pPr>
        <w:spacing w:after="0" w:line="51" w:lineRule="exact"/>
        <w:rPr>
          <w:sz w:val="20"/>
          <w:szCs w:val="20"/>
          <w:color w:val="auto"/>
        </w:rPr>
      </w:pPr>
    </w:p>
    <w:p>
      <w:pPr>
        <w:ind w:left="900" w:right="20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our investment adviser;</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Independent valuation firms engaged by our board of directors will conduct independent appraisals and review management’s preliminary valuations and their own independent assessment;</w:t>
      </w:r>
    </w:p>
    <w:p>
      <w:pPr>
        <w:spacing w:after="0" w:line="5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 of our investment adviser and that of the independent valuation firms and respond and supplement the valuation recommendation of the independent valuation firm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board of directors will discuss valuations and determine the fair value of each investment in our portfolio in good faith based on the input of our investment adviser, the respective independent valuation firms and the audit committee.</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types of factors that we may take into account in fair value pricing our investments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Determination of fair values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will be required to make the determination that we are not selling shares of our common stock at a price below the then current net asset value of our common stock at the time at which the sale is made. Our board of directors will consider the following factors, among others, in making such determination:</w:t>
      </w:r>
    </w:p>
    <w:p>
      <w:pPr>
        <w:spacing w:after="0" w:line="59"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900" w:right="280" w:hanging="446"/>
        <w:spacing w:after="0" w:line="306"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20" w:hanging="446"/>
        <w:spacing w:after="0" w:line="306"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magnitude of the difference between (1) the net asset value of our common stock disclosed in the most recent periodic report that we filed with the SEC and our management’s assessment of any material change in the net asset value of our common stock since the date of the most recently disclosed net asset value of our common stock, and (2) the offering price of the shares of our common stock in the proposed offering.</w:t>
      </w:r>
    </w:p>
    <w:p>
      <w:pPr>
        <w:spacing w:after="0" w:line="8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Importantly, this determination will not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w:t>
      </w:r>
    </w:p>
    <w:p>
      <w:pPr>
        <w:spacing w:after="0" w:line="8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To the extent that there is even a remote possibility that we may (1) issue shares of our common stock at a price below the then current net asset value of our common stock at the time at which the sale is made or (2) trigger the undertaking (which we provide in certain registration statements we file with the SEC) to suspend the offering of shares of our common stock pursuant to this prospectus if the net asset value of our common stock fluctuates by certain amounts in certain circumstances until the prospectus is amended, our board of directors will elect, in the case of clause (1) above, either to postpone the offering until such time that there is no longer the possibility of the occurrence of such event or to undertake to determine the net asset value of our common stock within two days prior to any such sale to ensure that such sale will not be below our then current net asset value, and, in the case of clause (2) above, to comply with such undertaking or to undertake to determine the net asset value of our common stock to ensure that such undertaking has not been triggered.</w:t>
      </w:r>
    </w:p>
    <w:p>
      <w:pPr>
        <w:spacing w:after="0" w:line="9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5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a registered stockholder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9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Market on the valuation date for such distribution. Market price per share on that date will be the closing price for such shares on The Nasdaq Global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91" w:lineRule="exact"/>
        <w:rPr>
          <w:sz w:val="20"/>
          <w:szCs w:val="20"/>
          <w:color w:val="auto"/>
        </w:rPr>
      </w:pPr>
    </w:p>
    <w:p>
      <w:pPr>
        <w:jc w:val="both"/>
        <w:ind w:right="520" w:firstLine="456"/>
        <w:spacing w:after="0" w:line="256" w:lineRule="auto"/>
        <w:rPr>
          <w:sz w:val="20"/>
          <w:szCs w:val="20"/>
          <w:color w:val="auto"/>
        </w:rPr>
      </w:pPr>
      <w:r>
        <w:rPr>
          <w:rFonts w:ascii="Arial" w:cs="Arial" w:eastAsia="Arial" w:hAnsi="Arial"/>
          <w:sz w:val="18"/>
          <w:szCs w:val="18"/>
          <w:color w:val="auto"/>
        </w:rPr>
        <w:t>There will be no brokerage charges or other charges to stockholders who participate in the plan.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$.10 per share brokerage commissions from the proceeds.</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by filling out the transaction request form located at bottom of their statement and sending it to the plan administrator.</w:t>
      </w:r>
    </w:p>
    <w:p>
      <w:pPr>
        <w:spacing w:after="0" w:line="10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5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44"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As a business development company, we intend to elect to be treated as a RIC under Subchapter M of the Code. We expect to comply with the requirements to be a RIC and to make a corresponding change in our tax year within one month of the completion of this offering. Until that time, we will be taxed as a regular corporation under Subchapter C of the Code and will be subject to corporate level taxes, including any taxes on the deemed recognition of any net unrealized gains at the effective date of the RIC election. We will also need to distribute any earnings for the period we are taxed as a regular corporation.</w:t>
      </w:r>
    </w:p>
    <w:p>
      <w:pPr>
        <w:spacing w:after="0" w:line="7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As a RIC, we generally will not have to pay corporate-level federal income taxes on any ordinary income or capital gains that we distribute to our stockholders as distributions. To qualify as a RIC, we must, among other things, meet certain source-of-income and asset diversification requirements (as described below). In addition, in order to obtain RIC tax benefits we must distribute to our stockholders, for each taxable year, at least 90% of our “investment company taxable income,” which is generally our ordinary income plus the excess of realized net short-term capital gains over realized net long-term capital losses (the “Annual Distribution Requirement”).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w:t>
      </w:r>
    </w:p>
    <w:p>
      <w:pPr>
        <w:spacing w:after="0" w:line="90"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will be subject to a 4% nondeductible federal excise tax on certain undistributed income of RICs unless we distribute in a timely manner an amount at least equal to the sum of (1) 98% of our ordinary income for each calendar year, (2) 98% of our capital gain net income for the one-year period ending October 31 in that calendar year and (3) any income realized, but not distributed or taxed, in preceding years (the “Excise Tax Avoidance Requirement”). We currently intend to make sufficient distributions each taxable year to satisfy the Excise Tax Avoidance Requirement.</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 among other things:</w:t>
      </w:r>
    </w:p>
    <w:p>
      <w:pPr>
        <w:spacing w:after="0" w:line="90"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qualify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60" w:right="380" w:hanging="547"/>
        <w:spacing w:after="0" w:line="259" w:lineRule="auto"/>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1460" w:right="20" w:hanging="547"/>
        <w:spacing w:after="0" w:line="306" w:lineRule="auto"/>
        <w:tabs>
          <w:tab w:leader="none" w:pos="14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8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9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05" w:lineRule="auto"/>
        <w:rPr>
          <w:sz w:val="20"/>
          <w:szCs w:val="20"/>
          <w:color w:val="auto"/>
        </w:rPr>
      </w:pPr>
      <w:r>
        <w:rPr>
          <w:rFonts w:ascii="Arial" w:cs="Arial" w:eastAsia="Arial" w:hAnsi="Arial"/>
          <w:sz w:val="15"/>
          <w:szCs w:val="15"/>
          <w:color w:val="auto"/>
        </w:rPr>
        <w:t>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w:t>
      </w:r>
    </w:p>
    <w:p>
      <w:pPr>
        <w:ind w:right="440" w:firstLine="8"/>
        <w:spacing w:after="0" w:line="361" w:lineRule="auto"/>
        <w:tabs>
          <w:tab w:leader="none" w:pos="249" w:val="left"/>
        </w:tabs>
        <w:numPr>
          <w:ilvl w:val="0"/>
          <w:numId w:val="48"/>
        </w:numPr>
        <w:rPr>
          <w:rFonts w:ascii="Arial" w:cs="Arial" w:eastAsia="Arial" w:hAnsi="Arial"/>
          <w:sz w:val="15"/>
          <w:szCs w:val="15"/>
          <w:color w:val="auto"/>
        </w:rPr>
      </w:pPr>
      <w:r>
        <w:rPr>
          <w:rFonts w:ascii="Arial" w:cs="Arial" w:eastAsia="Arial" w:hAnsi="Arial"/>
          <w:sz w:val="15"/>
          <w:szCs w:val="15"/>
          <w:color w:val="auto"/>
        </w:rPr>
        <w:t>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4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 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0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1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2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7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8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1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which generally would be free of withholding if paid to Non-U.S. stockholders directly) are expected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9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9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were unable to qualify for treatment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corporate distributees would be eligible for the distributions 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5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authorized capital stock consists of 100,000,000 shares of stock, par value $0.001 per share, all of which is initially designated as common stock. There is currently no market for our common stock, and we can offer no assurances that a market for our shares will develop in the future. We have applied to have our common stock quoted on The Nasdaq Global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March 21, 2007: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8"/>
              </w:rPr>
              <w:t>(4) Amount Outstanding</w:t>
            </w: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 Amount</w:t>
            </w:r>
          </w:p>
        </w:tc>
        <w:tc>
          <w:tcPr>
            <w:tcW w:w="24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(3) Amount Held by</w:t>
            </w:r>
          </w:p>
        </w:tc>
        <w:tc>
          <w:tcPr>
            <w:tcW w:w="220" w:type="dxa"/>
            <w:vAlign w:val="bottom"/>
          </w:tcPr>
          <w:p>
            <w:pPr>
              <w:spacing w:after="0"/>
              <w:rPr>
                <w:sz w:val="12"/>
                <w:szCs w:val="12"/>
                <w:color w:val="auto"/>
              </w:rPr>
            </w:pP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Exclusive of Amounts Shown</w:t>
            </w:r>
          </w:p>
        </w:tc>
      </w:tr>
      <w:tr>
        <w:trPr>
          <w:trHeight w:val="175"/>
        </w:trPr>
        <w:tc>
          <w:tcPr>
            <w:tcW w:w="298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(1) Title of Class</w:t>
            </w:r>
          </w:p>
        </w:tc>
        <w:tc>
          <w:tcPr>
            <w:tcW w:w="22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Authorized</w:t>
            </w:r>
          </w:p>
        </w:tc>
        <w:tc>
          <w:tcPr>
            <w:tcW w:w="24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Us or for Our Account</w:t>
            </w:r>
          </w:p>
        </w:tc>
        <w:tc>
          <w:tcPr>
            <w:tcW w:w="220" w:type="dxa"/>
            <w:vAlign w:val="bottom"/>
          </w:tcPr>
          <w:p>
            <w:pPr>
              <w:spacing w:after="0"/>
              <w:rPr>
                <w:sz w:val="15"/>
                <w:szCs w:val="15"/>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Under (3)</w:t>
            </w:r>
          </w:p>
        </w:tc>
      </w:tr>
      <w:tr>
        <w:trPr>
          <w:trHeight w:val="275"/>
        </w:trPr>
        <w:tc>
          <w:tcPr>
            <w:tcW w:w="2980" w:type="dxa"/>
            <w:vAlign w:val="bottom"/>
          </w:tcPr>
          <w:p>
            <w:pPr>
              <w:spacing w:after="0"/>
              <w:rPr>
                <w:sz w:val="20"/>
                <w:szCs w:val="20"/>
                <w:color w:val="auto"/>
              </w:rPr>
            </w:pPr>
            <w:r>
              <w:rPr>
                <w:rFonts w:ascii="Arial" w:cs="Arial" w:eastAsia="Arial" w:hAnsi="Arial"/>
                <w:sz w:val="18"/>
                <w:szCs w:val="18"/>
                <w:color w:val="auto"/>
              </w:rPr>
              <w:t>Common Stock</w:t>
            </w:r>
          </w:p>
        </w:tc>
        <w:tc>
          <w:tcPr>
            <w:tcW w:w="286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100,000,000</w:t>
            </w:r>
          </w:p>
        </w:tc>
        <w:tc>
          <w:tcPr>
            <w:tcW w:w="240" w:type="dxa"/>
            <w:vAlign w:val="bottom"/>
          </w:tcPr>
          <w:p>
            <w:pPr>
              <w:spacing w:after="0"/>
              <w:rPr>
                <w:sz w:val="23"/>
                <w:szCs w:val="23"/>
                <w:color w:val="auto"/>
              </w:rPr>
            </w:pPr>
          </w:p>
        </w:tc>
        <w:tc>
          <w:tcPr>
            <w:tcW w:w="2620" w:type="dxa"/>
            <w:vAlign w:val="bottom"/>
          </w:tcPr>
          <w:p>
            <w:pPr>
              <w:ind w:left="236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80,000</w:t>
            </w:r>
          </w:p>
        </w:tc>
      </w:tr>
    </w:tbl>
    <w:p>
      <w:pPr>
        <w:spacing w:after="0" w:line="129"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therefor.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with the requirements of the 1940 Act. The 1940 Act requires, among other things, that (1) immediately after issuance and before any distribution is made with respect to our common stock and before any purchase of common stock is made, such preferred stock together with all other senior securities must not exceed an amount equal to 50% of our total assets after deducting the amount of such distribution or purchase price, as the case may be,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8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charter authorizes us and 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9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initial terms of the first, second and third classes will expire in 2008, 2009 and 2010, respectively. Beginning in 2008,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vacancies; removal</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Our charter provides that, at such time as we have three independent directors and our common stock is registered under the Exchange Act, we elect to be subject to the provision of Subtitle 8 of Title 3 of the Maryland General Corporation Law regarding the filling of vacancies on the board of directors. Accordingly, at such time,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9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by stockholders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provisions for stockholder nominations and stockholder proposals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8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Calling of special meetings of stockholders</w:t>
      </w:r>
    </w:p>
    <w:p>
      <w:pPr>
        <w:spacing w:after="0" w:line="96"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extraordinary corporate action; amendment of charter and bylaws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0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9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35"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9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merger, consolidation, share exchange or, in circumstances specified in the statute, an asset transfer or issuance or reclassification of equity securities. An interested stockholder is defined as:</w:t>
      </w:r>
    </w:p>
    <w:p>
      <w:pPr>
        <w:spacing w:after="0" w:line="5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5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with 1940 Act</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a business development company under the 1940 Act and intend to elect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8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the publicly traded securities of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registered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None of these policies is fundamental and may be changed without stockholder approval.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900" w:right="460" w:hanging="446"/>
        <w:spacing w:after="0" w:line="25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80" w:hanging="567"/>
        <w:spacing w:after="0" w:line="332" w:lineRule="auto"/>
        <w:tabs>
          <w:tab w:leader="none" w:pos="14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 owned by the business development company) or a company that would be an investment company but for certain exclusions under the 1940 Act; and</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40" w:hanging="446"/>
        <w:spacing w:after="0" w:line="335"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 w:lineRule="exact"/>
        <w:rPr>
          <w:rFonts w:ascii="Arial" w:cs="Arial" w:eastAsia="Arial" w:hAnsi="Arial"/>
          <w:sz w:val="15"/>
          <w:szCs w:val="15"/>
          <w:color w:val="auto"/>
        </w:rPr>
      </w:pPr>
    </w:p>
    <w:p>
      <w:pPr>
        <w:ind w:left="900" w:right="16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a business development company must have been organized and have its principal place of business in the United States and must be operated for the purpose of making investments in the types of securities described in (1), (2) or (3) above. However, in order to count portfolio securities as qualifying assets for the purpose of the 70% test, the business development company must either control the issuer of the securities or must offer to make available to the issuer of the securities (other than small and solvent companies described above) significant managerial assistance; except that, where the business development company purchases such securities in conjunction with one or more other persons acting together, one of the other persons in the group may make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 —Regulations governing our operation as a business development company will affect our ability to, and the way in which we, raise additional capital.”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 code of ethics pursuant to Rule 17j-1 under the 1940 Act that establishes procedures for personal investments and restricts certain personal securities transactions. Personnel subject to each code may invest in securities for their personal investment accounts,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including securities that may be purchased or held by us, so long as such investments are made in accordance with the code’s requirements. You may read and copy the code of ethics at the SEC’s Public Reference Room in Washington, D.C. You may obtain information on the operation of the Public Reference Room by calling the SEC at (202) 551-8090. In addition, the code of ethics is attached as an exhibit to the registration statement of which this prospectus is a part, and is available on the EDGAR Database on the SEC’s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You may also obtain copies of the code of ethics, after paying a duplicating fee, by electronic request at the following Email address: publicinfo@sec.gov, or by writing the SEC’s Public Reference Section, 100 F Street, N.E., Washington, D.C. 20549.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shareholders.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100" w:firstLine="456"/>
        <w:spacing w:after="0" w:line="304"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445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Generally, we do not receive any non-public personal information relating to our stockholders, although certain non-public personal information of our stockholders may become available to us. We do not disclose 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non-public personal information about our stockholders or former stockholders to anyone, except as permitted by law or as is necessary in order to service stockholder accounts (for example, to a transfer agent or third party administrator).</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44"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We are required to provide and maintain a bond issued by a reputable fidelity insurance company to protect us against larceny and embezzlement. Furthermore, as a business development company, we are prohibited from protecting any director or officer against any liability to PennantPark or our stockholders arising from willful misfeasance, bad faith, gross negligence or reckless disregard of the duties involved in the conduct of such person’s office.</w:t>
      </w:r>
    </w:p>
    <w:p>
      <w:pPr>
        <w:spacing w:after="0" w:line="8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and PennantPark Investment Advisers will each be required to adopt and implement written policies and procedures reasonably designed to prevent violation of the federal securities laws, review these policies and procedures annually for their adequacy and the effectiveness of their implementation, and designate a chief compliance officer to be responsible for administering the policies and procedures.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Sarbanes-Oxley Act of 2002 imposes a wide variety of new regulatory requirements on publicly held companies and their insiders. Many of these requirements affect us. For example:</w:t>
      </w:r>
    </w:p>
    <w:p>
      <w:pPr>
        <w:spacing w:after="0" w:line="51" w:lineRule="exact"/>
        <w:rPr>
          <w:sz w:val="20"/>
          <w:szCs w:val="20"/>
          <w:color w:val="auto"/>
        </w:rPr>
      </w:pPr>
    </w:p>
    <w:p>
      <w:pPr>
        <w:ind w:left="900" w:right="36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100" w:hanging="446"/>
        <w:spacing w:after="0" w:line="306"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8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5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Upon completion of this offering and our private placement of 320,000 shares immediately prior to this offering, 20,400,000 shares of our common stock will be outstanding, based on the number of shares outstanding on March 21, 2007 and assuming no exercise of the underwriters’ over-allotment option. Of these shares, 20,000,000 shares of our common stock sold in this offering will be freely tradable without restriction or limitation under the Securities Act, less that number of shares purchased by our affiliates. Any shares purchased in this offering by our affiliates, as well as the 400,000 shares expected to be owned by our officers and directors, our investment adviser and the managers of our investment adviser immediately prior to this offering, will be subject to the public information, manner of sale and volume limitations of Rule 144 under the Securities Act of 1933.</w:t>
      </w:r>
    </w:p>
    <w:p>
      <w:pPr>
        <w:spacing w:after="0" w:line="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general, under Rule 144 as currently in effect, if one year has elapsed since the date of acquisition of restricted securities from us or any of our affiliates, the holder of such restricted securities can sell such securities; provided that the number of securities sold by such person with any three month period cannot exceed the greater of:</w:t>
      </w:r>
    </w:p>
    <w:p>
      <w:pPr>
        <w:spacing w:after="0" w:line="59"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 of the total number of securities then outstanding, or</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average weekly trading volume of our securities during the four calendar weeks preceding the date on which notice of the sale is filed with the SEC.</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Sales under Rule 144 also are subject to certain manners of sale provisions, notice requirements and the availability of current public information about us. If two years have elapsed since the date of acquisition of restricted securities from us or any of our affiliates and the holder is not one of our affiliates at any time during the three months preceding the proposed sale, such person can sell such securities in the public market under Rule 144(k) without regard to the volume limitations, manner of sale provisions, public information requirements or notice requirements. No assurance can be given as to (1) the likelihood that an active market for our common stock will develop, (2) the liquidity of any such market, (3) the ability of our stockholders to sell our securities or (4) the prices that stockholders may obtain for any of our securities. No prediction can be made as to the effect, if any, that future sales of securities, or the availability of securities for future sales, will have on the market price prevailing from time to time. Sales of substantial amounts of our securities, or the perception that such sales could occur, may affect adversely prevailing market prices of our common stock. See “Risk Factors—Risks relating to this offering.”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Immediately prior to this offering, we expect to sell 320,000 shares of common stock to our directors and officers, our investment adviser and the management of our investment adviser in a private placement. Under a registration rights agreement signed at the time of such private placement, the holders of these shares will receive registration rights that will entitle them to make up to two demands on us to register their shares under the Securities Act. Holders of a majority of these shares may elect to exercise their registration rights at any time after the date on which these shares of common stock are released from the lock-up arrangement agreed as part of this offering. In addition, these stockholders have certain “piggy-back” registration rights that entitle them to include their shares in certain registration statements that we file subsequent to the closing date of this offering. We will bear the expenses incurred in connection with the filing of any such registration statements.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AND DISTRIBUTION PAYING AGENT AND REGISTRAR</w:t>
      </w:r>
    </w:p>
    <w:p>
      <w:pPr>
        <w:spacing w:after="0" w:line="15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securities are held under a custody agreement by LaSalle Bank National Association. The address of the custodian is: 135 S. LaSalle Street, Suite 1625, Chicago, Illinois 60603. American Stock Transfer &amp; Trust Company will act as our transfer agent, distribution paying agent and registrar. The principal business address of American Stock Transfer &amp; Trust Company is P.O. Box 922, Wall Street Station, New York, New York 10269, telephone number: (800) 937-5449.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15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Since we will generally acquire and dispose of our investments in privately negotiated transactions, we will infrequently use brokers in the normal course of our business. Subject to policies established by our board of directors, the investment adviser will be primarily responsible for the execution of the publicly traded securities portion of our portfolio transactions and the allocation of brokerage commissions. The investment adviser does not expect to execute transactions through any particular broker or dealer, but will seek to obtain the best net results for PennantPark, taking into account such factors as price (including the applicable brokerage commission or dealer spread), size of order, difficulty of execution, and operational facilities of the firm and the firm’s risk and skill in positioning blocks of securities. While the investment adviser generally will seek reasonably competitive trade execution costs, PennantPark will not necessarily pay the lowest spread or commission available. Subject to applicable legal requirements, the investment adviser may select a broker based partly upon brokerage or research services provided to the investment adviser and PennantPark and any other clients. In return for such services, we may pay a higher commission than other brokers would charge if the investment adviser determines in good faith that such commission is reasonable in relation to the services provided.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50"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Subject to the terms and conditions described in an underwriting agreement dated April 19, 2007, between us and Bear, Stearns &amp; Co. Inc., Banc of America Securities LLC, UBS Securities LLC and SunTrust Capital Markets, Inc., as representatives, we have agreed to sell to the underwriters, and the underwriters severally have agreed to purchase from us, the number of shares of common stock listed opposite their names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34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55"/>
        </w:trPr>
        <w:tc>
          <w:tcPr>
            <w:tcW w:w="100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rPr>
              <w:t>of Shares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002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0040" w:type="dxa"/>
            <w:vAlign w:val="bottom"/>
            <w:gridSpan w:val="2"/>
          </w:tcPr>
          <w:p>
            <w:pPr>
              <w:spacing w:after="0"/>
              <w:rPr>
                <w:sz w:val="20"/>
                <w:szCs w:val="20"/>
                <w:color w:val="auto"/>
              </w:rPr>
            </w:pPr>
            <w:r>
              <w:rPr>
                <w:rFonts w:ascii="Arial" w:cs="Arial" w:eastAsia="Arial" w:hAnsi="Arial"/>
                <w:sz w:val="18"/>
                <w:szCs w:val="18"/>
                <w:color w:val="auto"/>
              </w:rPr>
              <w:t>Banc of America Securities LLC</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0040" w:type="dxa"/>
            <w:vAlign w:val="bottom"/>
            <w:gridSpan w:val="2"/>
          </w:tcPr>
          <w:p>
            <w:pPr>
              <w:spacing w:after="0"/>
              <w:rPr>
                <w:sz w:val="20"/>
                <w:szCs w:val="20"/>
                <w:color w:val="auto"/>
              </w:rPr>
            </w:pPr>
            <w:r>
              <w:rPr>
                <w:rFonts w:ascii="Arial" w:cs="Arial" w:eastAsia="Arial" w:hAnsi="Arial"/>
                <w:sz w:val="18"/>
                <w:szCs w:val="18"/>
                <w:color w:val="auto"/>
              </w:rPr>
              <w:t>SunTrust Capital Markets, Inc.</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3,100,000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0040" w:type="dxa"/>
            <w:vAlign w:val="bottom"/>
            <w:gridSpan w:val="2"/>
          </w:tcPr>
          <w:p>
            <w:pPr>
              <w:spacing w:after="0"/>
              <w:rPr>
                <w:sz w:val="20"/>
                <w:szCs w:val="20"/>
                <w:color w:val="auto"/>
              </w:rPr>
            </w:pPr>
            <w:r>
              <w:rPr>
                <w:rFonts w:ascii="Arial" w:cs="Arial" w:eastAsia="Arial" w:hAnsi="Arial"/>
                <w:sz w:val="18"/>
                <w:szCs w:val="18"/>
                <w:color w:val="auto"/>
              </w:rPr>
              <w:t>Friedman, Billings, Ramsey &amp; Co., Inc.</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Jefferies &amp; Company, Inc.</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07"/>
        </w:trPr>
        <w:tc>
          <w:tcPr>
            <w:tcW w:w="10040" w:type="dxa"/>
            <w:vAlign w:val="bottom"/>
            <w:gridSpan w:val="2"/>
          </w:tcPr>
          <w:p>
            <w:pPr>
              <w:spacing w:after="0"/>
              <w:rPr>
                <w:sz w:val="20"/>
                <w:szCs w:val="20"/>
                <w:color w:val="auto"/>
              </w:rPr>
            </w:pPr>
            <w:r>
              <w:rPr>
                <w:rFonts w:ascii="Arial" w:cs="Arial" w:eastAsia="Arial" w:hAnsi="Arial"/>
                <w:sz w:val="18"/>
                <w:szCs w:val="18"/>
                <w:color w:val="auto"/>
              </w:rPr>
              <w:t>Robert W. Baird &amp; Co. Incorporated.</w:t>
            </w:r>
          </w:p>
        </w:tc>
        <w:tc>
          <w:tcPr>
            <w:tcW w:w="34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underwriters have agreed to purchase all of the shares sold under the underwriting agreement if any of the shares are purchased, other than shares covered by the over-allotment option described below. 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 Bear, Stearns &amp; Co. Inc., Banc of America Securities LLC, UBS Securities LLC and SunTrust Capital Markets, Inc., are serving as joint book-runners of this offering.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granted the underwriters an option exercisable for 30 days from the date of this prospectus to purchase up to an aggregate of 3,000,000 additional shares at the public offering price less the underwriting discount. The underwriters may exercise this option solely to cover over-allotments, if any, made in connection with this offering. To the extent the underwriters exercise this option in whole or in part, each will be obligated, subject to conditions contained in the underwriting agreement, to purchase a number of additional shares approximately proportionate to that underwriter’s initial commitment amount reflected in the above table.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At our request, the underwriters have reserved up 500,000 shares of common stock for sale in this offering at the initial public offering price, directly or indirectly, to certain persons. The number of shares of common stock available for sale to the general public will be reduced to the extent that these individuals purchase all or a portion of the reserved shares. Any reserved shares that are not purchased may be reallocated to other directors, officers, employees and friends or offered to the general public on the same basis as the other shares of common stock offered by this prospectus. We have agreed to indemnify the underwriters against some liabilities and expenses, including liabilities under the Securities Act, in connection with the sale of the reserved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underwriters have advised us that they propose initially to offer the shares to the public at the public offering price on the cover page of this prospectus and to dealers at that price less a concession not in excess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$0.585 per share. After the public offering, the public offering price and concession may be changed. No such change, however, shall modify the amount of proceeds to be received by us as set forth on the cover page of this prospectus. In connection with this offering, the underwriters may allocate shares to accounts over which they exercise discretionary authority. The underwriters do not intend to confirm sales to any account over which they exercise discretionary authority.</w:t>
      </w:r>
    </w:p>
    <w:p>
      <w:pPr>
        <w:spacing w:after="0" w:line="6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over-allotment option.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Per Share</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Total</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46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Without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ind w:right="60"/>
              <w:spacing w:after="0" w:line="129" w:lineRule="exact"/>
              <w:rPr>
                <w:sz w:val="20"/>
                <w:szCs w:val="20"/>
                <w:color w:val="auto"/>
              </w:rPr>
            </w:pPr>
            <w:r>
              <w:rPr>
                <w:rFonts w:ascii="Arial" w:cs="Arial" w:eastAsia="Arial" w:hAnsi="Arial"/>
                <w:sz w:val="14"/>
                <w:szCs w:val="14"/>
                <w:b w:val="1"/>
                <w:bCs w:val="1"/>
                <w:color w:val="auto"/>
                <w:w w:val="98"/>
              </w:rPr>
              <w:t>With</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82"/>
              <w:spacing w:after="0" w:line="129" w:lineRule="exact"/>
              <w:rPr>
                <w:sz w:val="20"/>
                <w:szCs w:val="20"/>
                <w:color w:val="auto"/>
              </w:rPr>
            </w:pPr>
            <w:r>
              <w:rPr>
                <w:rFonts w:ascii="Arial" w:cs="Arial" w:eastAsia="Arial" w:hAnsi="Arial"/>
                <w:sz w:val="14"/>
                <w:szCs w:val="14"/>
                <w:b w:val="1"/>
                <w:bCs w:val="1"/>
                <w:color w:val="auto"/>
                <w:w w:val="92"/>
              </w:rPr>
              <w:t>Without</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82"/>
              <w:spacing w:after="0" w:line="129" w:lineRule="exact"/>
              <w:rPr>
                <w:sz w:val="20"/>
                <w:szCs w:val="20"/>
                <w:color w:val="auto"/>
              </w:rPr>
            </w:pPr>
            <w:r>
              <w:rPr>
                <w:rFonts w:ascii="Arial" w:cs="Arial" w:eastAsia="Arial" w:hAnsi="Arial"/>
                <w:sz w:val="14"/>
                <w:szCs w:val="14"/>
                <w:b w:val="1"/>
                <w:bCs w:val="1"/>
                <w:color w:val="auto"/>
                <w:w w:val="98"/>
              </w:rPr>
              <w:t>With</w:t>
            </w:r>
          </w:p>
        </w:tc>
        <w:tc>
          <w:tcPr>
            <w:tcW w:w="20" w:type="dxa"/>
            <w:vAlign w:val="bottom"/>
          </w:tcPr>
          <w:p>
            <w:pPr>
              <w:spacing w:after="0"/>
              <w:rPr>
                <w:sz w:val="11"/>
                <w:szCs w:val="11"/>
                <w:color w:val="auto"/>
              </w:rPr>
            </w:pPr>
          </w:p>
        </w:tc>
      </w:tr>
      <w:tr>
        <w:trPr>
          <w:trHeight w:val="149"/>
        </w:trPr>
        <w:tc>
          <w:tcPr>
            <w:tcW w:w="46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Over-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Over-</w:t>
            </w:r>
          </w:p>
        </w:tc>
        <w:tc>
          <w:tcPr>
            <w:tcW w:w="160" w:type="dxa"/>
            <w:vAlign w:val="bottom"/>
          </w:tcPr>
          <w:p>
            <w:pPr>
              <w:spacing w:after="0"/>
              <w:rPr>
                <w:sz w:val="12"/>
                <w:szCs w:val="12"/>
                <w:color w:val="auto"/>
              </w:rPr>
            </w:pPr>
          </w:p>
        </w:tc>
        <w:tc>
          <w:tcPr>
            <w:tcW w:w="9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Over-</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Over-</w:t>
            </w:r>
          </w:p>
        </w:tc>
      </w:tr>
      <w:tr>
        <w:trPr>
          <w:trHeight w:val="161"/>
        </w:trPr>
        <w:tc>
          <w:tcPr>
            <w:tcW w:w="46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Allotment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Allotment</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Allotment</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Allotment</w:t>
            </w:r>
          </w:p>
        </w:tc>
        <w:tc>
          <w:tcPr>
            <w:tcW w:w="20" w:type="dxa"/>
            <w:vAlign w:val="bottom"/>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300,000,000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345,000,000</w:t>
            </w:r>
          </w:p>
        </w:tc>
        <w:tc>
          <w:tcPr>
            <w:tcW w:w="2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Underwriting discount</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0.975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0.975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19,500,000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22,425,000</w:t>
            </w:r>
          </w:p>
        </w:tc>
        <w:tc>
          <w:tcPr>
            <w:tcW w:w="2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14.025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14.025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280,500,000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322,575,000</w:t>
            </w:r>
          </w:p>
        </w:tc>
        <w:tc>
          <w:tcPr>
            <w:tcW w:w="2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payable by us, excluding the underwriting discounts and related fees, are estimated at $900,000.</w:t>
      </w:r>
    </w:p>
    <w:p>
      <w:pPr>
        <w:spacing w:after="0" w:line="14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 of Similar Securities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each of our officers and directors and each of our existing stockholders have agreed, with certain limited exceptions, not to sell or transfer any of our securities for 180 days after the date of this prospectus without first obtaining the written consent of each of the joint book-runners. Specifically, pursuant to these lock-up agreements, we and these other individuals have agreed not to directly or indirectly:</w:t>
      </w:r>
    </w:p>
    <w:p>
      <w:pPr>
        <w:spacing w:after="0" w:line="59" w:lineRule="exact"/>
        <w:rPr>
          <w:sz w:val="20"/>
          <w:szCs w:val="20"/>
          <w:color w:val="auto"/>
        </w:rPr>
      </w:pPr>
    </w:p>
    <w:p>
      <w:pPr>
        <w:ind w:left="900" w:right="2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offer, sell or agree to offer or sell any common stock, any other equity security of ours or any of our subsidiaries, and any security convertible into, or exercisable or exchangeable for, any common stock or other such equity security;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solicit offers to purchase any such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grant any call option with respect to any such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purchase any put option with respect to any such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pledge, borrow or otherwise dispose of any such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 or increase any “put equivalent position” with respect to any such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liquidate or decrease any “call equivalent position” with respect to any such securities; or</w:t>
      </w:r>
    </w:p>
    <w:p>
      <w:pPr>
        <w:spacing w:after="0" w:line="90" w:lineRule="exact"/>
        <w:rPr>
          <w:rFonts w:ascii="Arial" w:cs="Arial" w:eastAsia="Arial" w:hAnsi="Arial"/>
          <w:sz w:val="18"/>
          <w:szCs w:val="18"/>
          <w:color w:val="auto"/>
        </w:rPr>
      </w:pPr>
    </w:p>
    <w:p>
      <w:pPr>
        <w:jc w:val="both"/>
        <w:ind w:left="900" w:right="44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enter into any swap, derivative or other transaction or arrangement that transfers to another, in whole or in part, any economic consequences of ownership of any of such securities, whether or not such transaction is to be settled by delivery of such securities, other securities, cash or other consideration.</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Notwithstanding the foregoing, if (1) during the last 17 days of the applicable lock-up restriction period we issue an earnings release or disclose material news or a material event relating to us occurs, or (2) prior to the expiration of the applicable lock-up restriction period, we announce that we will release earnings results or become aware that we will disclose material news or that material event relating to us will occur during the 16-day period beginning on the last day of the applicable lock-up period, the above restrictions shall continue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apply until the expiration of the 18-day period beginning on the issuance of the earnings release or the disclosure of the material news or the occurrence of the material event unless such extension is waived in writing by each of the joint book-runners.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lock-up provisions do not prevent:</w:t>
      </w:r>
    </w:p>
    <w:p>
      <w:pPr>
        <w:spacing w:after="0" w:line="90"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transfers by a security holder of such securities by bona fide gift;</w:t>
      </w:r>
    </w:p>
    <w:p>
      <w:pPr>
        <w:spacing w:after="0" w:line="9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transfers by a security holder of such securities to any trust for the benefit of such security holder or any parent, grandparent, step parent, step grandparent, mother-in-law, father-in-law, spouse, sibling, sister-in-law, brother-in-law, son-in-law, daughter-in-law, child, step child, grandchild, step grandchild, niece or nephew, including adoptive relationships, of such security holder;</w:t>
      </w:r>
    </w:p>
    <w:p>
      <w:pPr>
        <w:spacing w:after="0" w:line="59"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 security holder that is partnership, transfers by such security holder of such securities to any general partner, limited partner or affiliate of such security holder;</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 security holder that is a limited liability company, transfers by such security holder of such securities to any member or affiliate of such security holder;</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 security holder that is a corporation, transfers by such security holder of such securities to any wholly-owned subsidiary or affiliate of such security holder;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sale by us of shares to the underwriters;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issuance by us of shares of common stock upon the conversion or exchange of outstanding convertible or exchangeable securities;</w:t>
      </w:r>
    </w:p>
    <w:p>
      <w:pPr>
        <w:spacing w:after="0" w:line="113" w:lineRule="exact"/>
        <w:rPr>
          <w:rFonts w:ascii="Arial" w:cs="Arial" w:eastAsia="Arial" w:hAnsi="Arial"/>
          <w:sz w:val="16"/>
          <w:szCs w:val="16"/>
          <w:color w:val="auto"/>
        </w:rPr>
      </w:pPr>
    </w:p>
    <w:p>
      <w:pPr>
        <w:ind w:left="900" w:right="540" w:hanging="446"/>
        <w:spacing w:after="0" w:line="33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issuance by us of shares of common stock upon outstanding options or warrants or in connection with other equity instruments pursuant to employee benefit plans described in this prospectus or assumed by us in a merger or acquisition transaction;</w:t>
      </w:r>
    </w:p>
    <w:p>
      <w:pPr>
        <w:spacing w:after="0" w:line="4"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issuance by us of common stock, or securities exercisable for or convertible into, common stock in connection with mergers or acquisitions of securities, businesses, property or other assets, joint ventures or other strategic corporate transaction or any other transaction, the primary purpose of which is not to raise capital;</w:t>
      </w:r>
    </w:p>
    <w:p>
      <w:pPr>
        <w:spacing w:after="0" w:line="59"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filing by us, or the participation by a security holder in the filing by us, of any registration statement on Form S-8 or registration statements filed in connection with a corporate transaction described in the preceding bullet;</w:t>
      </w:r>
    </w:p>
    <w:p>
      <w:pPr>
        <w:spacing w:after="0" w:line="10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provided that, in the case of each of the transactions described in the first, second, third, fourth, fifth and ninth bullets above, each donee, transferee or recipient delivers to each of the joint book-runners an agreement certifying that such donee, transferee or recipient agrees to be subject to the restrictions described in the immediately preceding two paragraphs, subject to the applicable exceptions described above in this paragraph, and that such donee, transferee or recipient has been in compliance with the terms of such restrictions from the date the donor or transferor first entered into an agreement with each of the joint book-runners regarding the foregoing; provided further that, in the case of each of the transactions described in the first, second, third, fourth and fifth bullets above, such transaction did not involve a disposition for value and shall not be required to be, and will not be, disclosed or reported publicly under applicable laws, including Section 16 of the Exchange Act and the rules and regulations promulgated thereunder; and provided further that, in the case of each of the transactions described in the first, second, third, fourth and fifth bullets above, such transaction shall not have been effected on the Nasdaq Stock Market, the over-the-counter market or any other exchange or system providing share price quotations.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restrictions described in the preceding paragraphs will not restrict the sale or other disposition of such securities that are acquired by a security holder subject to such lock-up agreements in the open market after completion of this offering, provided that such sale or other disposition fully complies with, and is not required to be, and will not be, disclosed or reported under, applicable law, including, but not limited to, Section 16 of the Exchange Act and the rules and regulations promulgated thereunder.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restrictions described above shall not apply to the establishment of a trading plan pursuant to Rule 10b5-1 under the Exchange Act by any of our officers or directors relating to the sale of such securities, provided that such securities subject to such a Rule 10b5-1 trading plan may not be sold until after the completion of the 180-day restricted period, as the same may be extended as provided above, and neither we nor any security holder signing the above described agreement may make any public announcement, disclosure or filing relating to, or disclosing, such plan or its existence prior to the end of the lock-up period, including any extension thereof.</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joint book-runners may, in their sole discretion, waive this lock-up without public notice.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quotation on the Nasdaq Global Market under the symbol “PNNT”.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will be our future prospects and those of our industry in general, prevailing market conditions, our financial operating information in recent periods, and market prices of securities and financial and operating information of companies engaged in activities similar to ours and other factors deemed relevant. The estimated initial public offering price range set forth on the cover page of this prospectus is subject to change as a result of market conditions and other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prospectus in electronic format may be made available on the Internet sites or through other online services maintained by one or more of the underwriters of this offering, or by their affiliates. Other than any prospectus made available in electronic format in this manner, the information on any web site containing the prospectus is not part of this prospectus or the registration statement of which this prospectus forms a part, has not been approved or endorsed by us or any underwriter in such capacity, and should not be relied on by prospective investors.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connection with the offering, some participants in the offering may purchase and sell shares of common stock in the open market. These transactions may include short sales, syndicate covering transactions and stabilizing transactions. Short sales involve sales by the underwriters of common stock in excess of the number of shares required to be purchased by the underwriters in the offering, which creates a syndicate short position. “Covered” short sales are sales of shares made in an amount up to the number of shares represented by the underwriters’ over-allotment option. Transactions to close out the covered syndicate short involve either purchases of the common stock in the open market after the distribution has been completed or the exercise of the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The underwriters may also make “naked” short sales, or sales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fixing or maintaining the price of the shares of common stock.</w:t>
      </w:r>
    </w:p>
    <w:p>
      <w:pPr>
        <w:spacing w:after="0" w:line="10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an underwriter or syndicate member when the underwriters repurchase shares originally sold by that underwriter or syndicate member in order to cover syndicate short positions or make stabilizing purchases.</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Any of these activities may have the effect of raising or maintaining the market price of the common stock or preventing or retarding a decline in the market price of the common stock. As a result, the price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common stock may be higher than the price that might otherwise exist in the open market. The underwriters may conduct these transactions on the Nasdaq Global Market or otherwise. Neither we nor any of the underwriters makes any representation or prediction as to the direction or magnitude of any effect that the transactions described above may have on the price of our common stock. In addition, neither we nor any of the underwriters makes any representation that the underwriters will engage in these transactions. If the underwriters commence any of these transactions, they may discontinue them at any time.</w:t>
      </w:r>
    </w:p>
    <w:p>
      <w:pPr>
        <w:spacing w:after="0" w:line="86" w:lineRule="exact"/>
        <w:rPr>
          <w:sz w:val="20"/>
          <w:szCs w:val="20"/>
          <w:color w:val="auto"/>
        </w:rPr>
      </w:pPr>
    </w:p>
    <w:p>
      <w:pPr>
        <w:jc w:val="both"/>
        <w:ind w:right="40" w:firstLine="456"/>
        <w:spacing w:after="0" w:line="284" w:lineRule="auto"/>
        <w:rPr>
          <w:sz w:val="20"/>
          <w:szCs w:val="20"/>
          <w:color w:val="auto"/>
        </w:rPr>
      </w:pPr>
      <w:r>
        <w:rPr>
          <w:rFonts w:ascii="Arial" w:cs="Arial" w:eastAsia="Arial" w:hAnsi="Arial"/>
          <w:sz w:val="16"/>
          <w:szCs w:val="16"/>
          <w:color w:val="auto"/>
        </w:rPr>
        <w:t>In connection with this offering, the underwriters may engage in passive market making transactions in our common stock on the Nasdaq Global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However, if all independent bids are lowered below the passive market maker’s bid, that bid must then be lowered when specified purchase limits are exceeded.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Underwriters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Certain of the underwriters and their respective affiliates have from time to time performed and may in the future perform various commercial banking, financial advisory and investment banking services for us for which they have received or will receive customary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Each underwriter has represented and agreed that (a) it has not made and will not make an offer of shares to the public in the United Kingdom prior to the publication of a prospectus in relation to shares and the offer that has been approved by the Financial Services Authority, or FSA, or where appropriate, approved in another Member State and notified to the FSA, all in accordance with the Prospectus Directive, except that it may make an offer of the shares to persons who fall within the definition of “qualified investor” as that term is defined in section 86(1) of the Financial Services and Markets Act 2000, or FSMA, or otherwise in circumstances which do not result in an offer of transferable securities to the public in the United Kingdom within the meaning of the FSMA; (b) it has only communicated or caused to be communicated and will only communicate or cause to be communicated an invitation or inducement to engage in investment activity (within the meaning of section 21 of FSMA) received by it in connection with the issue or sale of the shares in circumstances in which section 21(1) of FSMA does not apply; and (c) it has complied and will comply with all applicable provisions of the FSMA with respect to anything done by it in relation to the shares in, from or otherwise involving the United Kingdom.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or Relevant Member State, each underwriter has represented and agreed that with, effect from and including the date on which the Prospectus Directive is implemented in that Relevant Member State, or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66" w:lineRule="exact"/>
        <w:rPr>
          <w:sz w:val="20"/>
          <w:szCs w:val="20"/>
          <w:color w:val="auto"/>
        </w:rPr>
      </w:pPr>
    </w:p>
    <w:p>
      <w:pPr>
        <w:ind w:left="900" w:right="6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50"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5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by Dechert LLP, Washington, D.C., and Venable LLP, Baltimore, Maryland. Dechert LLP also represents PennantPark Investment Advisers. Certain legal matters in connection with the offering will be passed upon for the underwriters by Sutherland Asbill &amp; Brennan, LLP, Washington, D.C.</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KPMG LLP, our independent registered public accounting firm located at 345 Park Avenue, New York, New York 10154, has audited our consolidated financial statements at February 6, 2007, as set forth in their report. We have included our consolidated financial statements in this prospectus and elsewhere in the registration statement in reliance on KPMG LLP’s report, given on their authority as experts in accounting and auditing.</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5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of 1933, with respect to our shares of common stock offered by this prospectus. The registration statement contains additional information about us and our shares of common stock being offered by this prospectus.</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Upon completion of this offering, we will file with or submit to the SEC annual, quarterly and current periodic reports, proxy statements and other information meeting the informational requirements of the Exchange Act. You may inspect and copy these reports, proxy statements and other information, as well as the registration statement and related exhibits and schedules, at the Public Reference Room of the SEC at 100 F Street, NE, Washington, D.C. 20549. You may obtain information on the operation of the Public Reference Room by calling the SEC at (202) 551-8090. Currently, we do not have a website. We maintain a website at </w:t>
      </w:r>
      <w:r>
        <w:rPr>
          <w:rFonts w:ascii="Arial" w:cs="Arial" w:eastAsia="Arial" w:hAnsi="Arial"/>
          <w:sz w:val="16"/>
          <w:szCs w:val="16"/>
          <w:i w:val="1"/>
          <w:iCs w:val="1"/>
          <w:color w:val="auto"/>
        </w:rPr>
        <w:t>www.pennantpark.com</w:t>
      </w:r>
      <w:r>
        <w:rPr>
          <w:rFonts w:ascii="Arial" w:cs="Arial" w:eastAsia="Arial" w:hAnsi="Arial"/>
          <w:sz w:val="16"/>
          <w:szCs w:val="16"/>
          <w:color w:val="auto"/>
        </w:rPr>
        <w:t xml:space="preserve"> and intend to make all of our annual, quarterly and current reports, proxy statements and other publicly filed information available, free of charge, on or through our website. In the interim, you may obtain such information by contacting us, in writing at: 445 Park Avenue, 10th Floor, New York, New York 10022, Attn: Chief Financial Officer, or by telephone at (212) 307-3280. The SEC maintains an Internet site that contains reports, proxy and information statements and other information filed electronically by us with the SEC which are available on the SEC’s Internet site at </w:t>
      </w:r>
      <w:r>
        <w:rPr>
          <w:rFonts w:ascii="Arial" w:cs="Arial" w:eastAsia="Arial" w:hAnsi="Arial"/>
          <w:sz w:val="16"/>
          <w:szCs w:val="16"/>
          <w:i w:val="1"/>
          <w:iCs w:val="1"/>
          <w:color w:val="auto"/>
        </w:rPr>
        <w:t>http://www.sec.gov</w:t>
      </w:r>
      <w:r>
        <w:rPr>
          <w:rFonts w:ascii="Arial" w:cs="Arial" w:eastAsia="Arial" w:hAnsi="Arial"/>
          <w:sz w:val="16"/>
          <w:szCs w:val="16"/>
          <w:color w:val="auto"/>
        </w:rPr>
        <w:t>. Copies of these reports, proxy and information statements and other information may be obtained, after paying a duplicating fee, by electronic request at the following e-mail address: publicinfo@sec.gov, or by writing the SEC’s Public Reference Section, Washington, D.C. 20549-0102.</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6"/>
            <w:vMerge w:val="restart"/>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Report of Independent Registered Public Accounting Firm</w:t>
              </w:r>
            </w:hyperlink>
          </w:p>
        </w:tc>
        <w:tc>
          <w:tcPr>
            <w:tcW w:w="620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4860" w:type="dxa"/>
            <w:vAlign w:val="bottom"/>
            <w:gridSpan w:val="6"/>
            <w:vMerge w:val="continue"/>
          </w:tcPr>
          <w:p>
            <w:pPr>
              <w:spacing w:after="0"/>
              <w:rPr>
                <w:sz w:val="14"/>
                <w:szCs w:val="14"/>
                <w:color w:val="auto"/>
              </w:rPr>
            </w:pPr>
          </w:p>
        </w:tc>
        <w:tc>
          <w:tcPr>
            <w:tcW w:w="6200" w:type="dxa"/>
            <w:vAlign w:val="bottom"/>
          </w:tcPr>
          <w:p>
            <w:pPr>
              <w:spacing w:after="0"/>
              <w:rPr>
                <w:sz w:val="14"/>
                <w:szCs w:val="14"/>
                <w:color w:val="auto"/>
              </w:rPr>
            </w:pPr>
          </w:p>
        </w:tc>
        <w:tc>
          <w:tcPr>
            <w:tcW w:w="36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120" w:type="dxa"/>
            <w:vAlign w:val="bottom"/>
            <w:tcBorders>
              <w:top w:val="single" w:sz="8" w:color="0000EE"/>
            </w:tcBorders>
            <w:gridSpan w:val="5"/>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Consolidated Statement of Assets and Liabilities</w:t>
              </w:r>
            </w:hyperlink>
          </w:p>
        </w:tc>
        <w:tc>
          <w:tcPr>
            <w:tcW w:w="7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304"/>
        </w:trPr>
        <w:tc>
          <w:tcPr>
            <w:tcW w:w="3420" w:type="dxa"/>
            <w:vAlign w:val="bottom"/>
            <w:tcBorders>
              <w:top w:val="single" w:sz="8" w:color="0000EE"/>
            </w:tcBorders>
            <w:gridSpan w:val="3"/>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Consolidated Statement of Operations</w:t>
              </w:r>
            </w:hyperlink>
          </w:p>
        </w:tc>
        <w:tc>
          <w:tcPr>
            <w:tcW w:w="1440" w:type="dxa"/>
            <w:vAlign w:val="bottom"/>
            <w:gridSpan w:val="3"/>
          </w:tcPr>
          <w:p>
            <w:pPr>
              <w:spacing w:after="0"/>
              <w:rPr>
                <w:sz w:val="24"/>
                <w:szCs w:val="24"/>
                <w:color w:val="auto"/>
              </w:rPr>
            </w:pPr>
          </w:p>
        </w:tc>
        <w:tc>
          <w:tcPr>
            <w:tcW w:w="6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6"/>
              </w:rPr>
              <w:t>Consolidated Statement of Changes in Net Assets</w:t>
            </w:r>
          </w:p>
        </w:tc>
        <w:tc>
          <w:tcPr>
            <w:tcW w:w="1360" w:type="dxa"/>
            <w:vAlign w:val="bottom"/>
            <w:gridSpan w:val="2"/>
          </w:tcPr>
          <w:p>
            <w:pPr>
              <w:spacing w:after="0"/>
              <w:rPr>
                <w:sz w:val="24"/>
                <w:szCs w:val="24"/>
                <w:color w:val="auto"/>
              </w:rPr>
            </w:pPr>
          </w:p>
        </w:tc>
        <w:tc>
          <w:tcPr>
            <w:tcW w:w="6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304"/>
        </w:trPr>
        <w:tc>
          <w:tcPr>
            <w:tcW w:w="4860" w:type="dxa"/>
            <w:vAlign w:val="bottom"/>
            <w:gridSpan w:val="6"/>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Notes</w:t>
              </w:r>
            </w:hyperlink>
          </w:p>
        </w:tc>
        <w:tc>
          <w:tcPr>
            <w:tcW w:w="6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383"/>
        </w:trPr>
        <w:tc>
          <w:tcPr>
            <w:tcW w:w="42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80" w:type="dxa"/>
            <w:vAlign w:val="bottom"/>
            <w:gridSpan w:val="3"/>
          </w:tcPr>
          <w:p>
            <w:pPr>
              <w:ind w:left="74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2680" w:firstLine="2695"/>
        <w:spacing w:after="0" w:line="37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 and Board of Directors of PennantPark Investment Corporation:</w:t>
      </w:r>
    </w:p>
    <w:p>
      <w:pPr>
        <w:spacing w:after="0" w:line="1"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We have audited the accompanying consolidated statement of assets and liabilities of PennantPark Investment Corporation (the “Company”) as of February 6, 2007 and the related consolidated statements of operations and changes in net assets for the period from January 10, 2007 (date of incorporation) through February 6, 2007. These consolidated financial statements are the responsibility of the Company’s management. Our responsibility is to express an opinion on the consolidated financial statements based on our audit.</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 provides a reasonable basis for our opinion.</w:t>
      </w:r>
    </w:p>
    <w:p>
      <w:pPr>
        <w:spacing w:after="0" w:line="8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PennantPark Investment Corporation as of February 6, 2007, and the results of its consolidated operations and its consolidated changes in net assets for the period from January 10, 2007 (date of incorporation) through February 6, 2007, in conformity with U.S.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 2007, except for Note 7,</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which is as of March 27,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980" w:type="dxa"/>
            <w:vAlign w:val="bottom"/>
          </w:tcPr>
          <w:p>
            <w:pPr>
              <w:jc w:val="center"/>
              <w:ind w:left="2312"/>
              <w:spacing w:after="0"/>
              <w:rPr>
                <w:sz w:val="20"/>
                <w:szCs w:val="20"/>
                <w:color w:val="auto"/>
              </w:rPr>
            </w:pPr>
            <w:r>
              <w:rPr>
                <w:rFonts w:ascii="Arial" w:cs="Arial" w:eastAsia="Arial" w:hAnsi="Arial"/>
                <w:sz w:val="18"/>
                <w:szCs w:val="18"/>
                <w:b w:val="1"/>
                <w:bCs w:val="1"/>
                <w:color w:val="auto"/>
                <w:w w:val="86"/>
              </w:rPr>
              <w:t>Consolidated Statement of Assets and Liabilities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980" w:type="dxa"/>
            <w:vAlign w:val="bottom"/>
          </w:tcPr>
          <w:p>
            <w:pPr>
              <w:jc w:val="center"/>
              <w:ind w:left="2312"/>
              <w:spacing w:after="0"/>
              <w:rPr>
                <w:sz w:val="20"/>
                <w:szCs w:val="20"/>
                <w:color w:val="auto"/>
              </w:rPr>
            </w:pPr>
            <w:r>
              <w:rPr>
                <w:rFonts w:ascii="Arial" w:cs="Arial" w:eastAsia="Arial" w:hAnsi="Arial"/>
                <w:sz w:val="18"/>
                <w:szCs w:val="18"/>
                <w:b w:val="1"/>
                <w:bCs w:val="1"/>
                <w:color w:val="auto"/>
                <w:w w:val="88"/>
              </w:rPr>
              <w:t>As of February 6, 2007</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9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Cash</w:t>
            </w:r>
          </w:p>
        </w:tc>
        <w:tc>
          <w:tcPr>
            <w:tcW w:w="14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organization costs and other liabilities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Net assets </w:t>
            </w:r>
            <w:r>
              <w:rPr>
                <w:rFonts w:ascii="Arial" w:cs="Arial" w:eastAsia="Arial" w:hAnsi="Arial"/>
                <w:sz w:val="18"/>
                <w:szCs w:val="18"/>
                <w:color w:val="auto"/>
              </w:rPr>
              <w:t>(80,000 shares of beneficial interest issued and outstanding;</w:t>
            </w:r>
          </w:p>
        </w:tc>
        <w:tc>
          <w:tcPr>
            <w:tcW w:w="1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100,000,000 shares authorized, par value of $0.001 per share)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845,116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580" w:type="dxa"/>
            <w:vAlign w:val="bottom"/>
          </w:tcPr>
          <w:p>
            <w:pPr>
              <w:jc w:val="center"/>
              <w:ind w:left="712"/>
              <w:spacing w:after="0"/>
              <w:rPr>
                <w:sz w:val="20"/>
                <w:szCs w:val="20"/>
                <w:color w:val="auto"/>
              </w:rPr>
            </w:pPr>
            <w:r>
              <w:rPr>
                <w:rFonts w:ascii="Arial" w:cs="Arial" w:eastAsia="Arial" w:hAnsi="Arial"/>
                <w:sz w:val="18"/>
                <w:szCs w:val="18"/>
                <w:b w:val="1"/>
                <w:bCs w:val="1"/>
                <w:color w:val="auto"/>
                <w:w w:val="87"/>
              </w:rPr>
              <w:t>Consolidated Statement of Operations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580" w:type="dxa"/>
            <w:vAlign w:val="bottom"/>
          </w:tcPr>
          <w:p>
            <w:pPr>
              <w:jc w:val="center"/>
              <w:ind w:left="732"/>
              <w:spacing w:after="0"/>
              <w:rPr>
                <w:sz w:val="20"/>
                <w:szCs w:val="20"/>
                <w:color w:val="auto"/>
              </w:rPr>
            </w:pPr>
            <w:r>
              <w:rPr>
                <w:rFonts w:ascii="Arial" w:cs="Arial" w:eastAsia="Arial" w:hAnsi="Arial"/>
                <w:sz w:val="18"/>
                <w:szCs w:val="18"/>
                <w:b w:val="1"/>
                <w:bCs w:val="1"/>
                <w:color w:val="auto"/>
                <w:w w:val="89"/>
              </w:rPr>
              <w:t>Period from January 10, 2007 (Date of Incorporation) through February 6, 2007</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Organizational costs and other liabilities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$ 154,884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vMerge w:val="restart"/>
          </w:tcPr>
          <w:p>
            <w:pPr>
              <w:ind w:left="420"/>
              <w:spacing w:after="0"/>
              <w:rPr>
                <w:sz w:val="20"/>
                <w:szCs w:val="20"/>
                <w:color w:val="auto"/>
              </w:rPr>
            </w:pPr>
            <w:r>
              <w:rPr>
                <w:rFonts w:ascii="Arial" w:cs="Arial" w:eastAsia="Arial" w:hAnsi="Arial"/>
                <w:sz w:val="18"/>
                <w:szCs w:val="18"/>
                <w:color w:val="auto"/>
              </w:rPr>
              <w:t>Decrease in net assets resulting from operations</w:t>
            </w: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0580" w:type="dxa"/>
            <w:vAlign w:val="bottom"/>
            <w:vMerge w:val="continue"/>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(154,884)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620" w:type="dxa"/>
            <w:vAlign w:val="bottom"/>
          </w:tcPr>
          <w:p>
            <w:pPr>
              <w:jc w:val="center"/>
              <w:ind w:left="1692"/>
              <w:spacing w:after="0"/>
              <w:rPr>
                <w:sz w:val="20"/>
                <w:szCs w:val="20"/>
                <w:color w:val="auto"/>
              </w:rPr>
            </w:pPr>
            <w:r>
              <w:rPr>
                <w:rFonts w:ascii="Arial" w:cs="Arial" w:eastAsia="Arial" w:hAnsi="Arial"/>
                <w:sz w:val="18"/>
                <w:szCs w:val="18"/>
                <w:b w:val="1"/>
                <w:bCs w:val="1"/>
                <w:color w:val="auto"/>
                <w:w w:val="85"/>
              </w:rPr>
              <w:t>Consolidated Statement of Changes in Net Assets</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620" w:type="dxa"/>
            <w:vAlign w:val="bottom"/>
          </w:tcPr>
          <w:p>
            <w:pPr>
              <w:jc w:val="center"/>
              <w:ind w:left="1692"/>
              <w:spacing w:after="0"/>
              <w:rPr>
                <w:sz w:val="20"/>
                <w:szCs w:val="20"/>
                <w:color w:val="auto"/>
              </w:rPr>
            </w:pPr>
            <w:r>
              <w:rPr>
                <w:rFonts w:ascii="Arial" w:cs="Arial" w:eastAsia="Arial" w:hAnsi="Arial"/>
                <w:sz w:val="18"/>
                <w:szCs w:val="18"/>
                <w:b w:val="1"/>
                <w:bCs w:val="1"/>
                <w:color w:val="auto"/>
                <w:w w:val="89"/>
              </w:rPr>
              <w:t>Period from January 10, 2007 (Date of Incorporation) through February 6, 2007</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9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Decrease in net assets resulting from operations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(154,884)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Initial contribution of capital</w:t>
            </w:r>
          </w:p>
        </w:tc>
        <w:tc>
          <w:tcPr>
            <w:tcW w:w="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Change in net assets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Net asset, end of period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February 6, 2007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PennantPark Investment Corporation (“PennantPark Investment” or the “Company”) was organized as a Maryland corporation on January 10, 2007. PennantPark Investment’s objective is to generate both current income and capital appreciation through debt and equity investments. The Company intends to invest primarily in middle-market companies in the form of mezzanine loans, senior secured loans and equity securities. PennantPark Investment has not had operations other than the sale and issuance of 80,000 shares of common stock at an aggregate purchase price of $1,000,000 to PennantPark Investment Advisers, LLC (the “Investment Adviser”). The consolidated financial statements include the accounts of PennantPark Investment and its wholly owned special purpose subsidiary, Pennant SPV Company, LLC.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requires management to make estimates and assumptions that affect the reported amount of assets and liabilities at the date of the consolidated financial statements and the reported amounts of income and expenses during the reported period. Actual results could differ from these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PennantPark Investment has entered into an Investment Advisory and Management Agreement with the Investment Adviser under which the Investment Adviser, subject to the overall supervision of PennantPark Investment’s board of directors, will manage the day-to-day operations of and provide investment advisory services to, PennantPark Investment. For providing these services, the Investment Adviser will receive a fee from PennantPark Investment, consisting of two components—a base management fee and an incentive fee. The base management fee will be calculated at an annual rate of 2.00% on PennantPark Investment’s gross assets. For services rendered under the Investment Advisory and Management Agreement during the period commencing from the closing of PennantPark Investment’s offering through and including the first six months of operations, the base management fee will be payable monthly in arrears, and will be calculated based on the initial value of PennantPark Investment’s gross assets. For services rendered under the Investment Advisory and Management Agreement after that time, the base management fee will be payable quarterly in arrears, and will be calculated based on the average value of PennantPark Investment’s gross assets at the end of the two most recently completed calendar quarters, and appropriately adjusted for any share issuances or repurchases during the current calendar quarter. Base management fees for any partial month or quarter will be appropriately pro rated.</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incentive fee will have two parts, as follows: One part will be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will be compared to the hurdle rate of 1.75% per quarter (7.00% annualized). PennantPark Investment will pay the Investment Adviser an incentive fee with respect to PennantPark Investment’s Pre-Incentive Fee Net Investment Income in each calendar quarter as follows: (1) no incentive fee in any calendar quarter in which PennantPark Investment’s Pre-Incentive Fee Net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Investment Income does not exceed the hurdle rate; (2) 100% of PennantPark Investment’s Pre-Incentive Fee Net Investment Income with respect to that portion of such Pre-Incentive Fee Net Investment Income, if any, that exceeds the hurdle rate but is less than 2.1875% in any calendar quarter (8.75% annualized); and</w:t>
      </w:r>
    </w:p>
    <w:p>
      <w:pPr>
        <w:ind w:firstLine="8"/>
        <w:spacing w:after="0" w:line="361" w:lineRule="auto"/>
        <w:tabs>
          <w:tab w:leader="none" w:pos="249" w:val="left"/>
        </w:tabs>
        <w:numPr>
          <w:ilvl w:val="0"/>
          <w:numId w:val="59"/>
        </w:numPr>
        <w:rPr>
          <w:rFonts w:ascii="Arial" w:cs="Arial" w:eastAsia="Arial" w:hAnsi="Arial"/>
          <w:sz w:val="15"/>
          <w:szCs w:val="15"/>
          <w:color w:val="auto"/>
        </w:rPr>
      </w:pPr>
      <w:r>
        <w:rPr>
          <w:rFonts w:ascii="Arial" w:cs="Arial" w:eastAsia="Arial" w:hAnsi="Arial"/>
          <w:sz w:val="15"/>
          <w:szCs w:val="15"/>
          <w:color w:val="auto"/>
        </w:rPr>
        <w:t>20% of the amount of PennantPark Investment’s Pre-Incentive Fee Net Investment Income, if any, that exceeds 2.1875% in any calendar quarter. These calculations will be appropriately pro rated for any period of less than three months and adjusted for any share issuances or repurchases during the current quarter.</w:t>
      </w:r>
    </w:p>
    <w:p>
      <w:pPr>
        <w:spacing w:after="0" w:line="4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second part of the incentive fee will be determined and payable in arrears as of the end of each calendar year (or upon termination of the Investment Advisory and Management Agreement, as of the termination date), commencing on December 31, 2007, and will equal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2007, will be calculated for a period of shorter than twelve calendar months to take into account any realized capital gains computed net of all realized capital losses and unrealized capital depreciation from inception.</w:t>
      </w:r>
    </w:p>
    <w:p>
      <w:pPr>
        <w:spacing w:after="0" w:line="9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(“PennantPark Administration”) under which PennantPark Administration will provide administrative services for PennantPark Investment. For providing these services, facilities and personnel, PennantPark Investment will reimburse PennantPark Administration for PennantPark Investment’s allocable portion of overhead and other expenses incurred by PennantPark Administration in performing its obligations under the Administration Agreement, including rent and PennantPark Investment’s allocable portion of the costs of compensation and related expenses of its chief compliance officer, chief financial officer and their respective staffs. PennantPark Administration will also provide on PennantPark Investment’s behalf managerial assistance to these portfolio companies to which PennantPark Investment is required to provide such assistance.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 portion of the net proceeds of this offering will be used for organizational, offering and other expenses. Organizational expenses will be treated as an expense as incurred. Offering costs will be charged to net assets upon the completion of the initial public offering. Offering costs of $208,572 have been incurred to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FEDERAL INCOME TAXES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a business development company, PennantPark Investment intends to elect to be treated as a RIC under Subchapter M of the Code. Initially, PennantPark Investment expects to comply with the requirements to be a RIC and to make a corresponding change in its tax year within one month of the completion of this offering. Until that time, PennantPark Investment will be taxed as a regular corporation under Subchapter C of the Code and will be subject to corporate level taxes.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CREDIT FACILITY</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February 6, 2007, Pennant SPV Company, LLC, a limited liability company organized under the laws of Delaware (“Pennant SPV”) and a wholly owned special purpose subsidiary of PennantPark Investment, entered into a senior secured credit facility (the “Credit Agreement”), with Bear Stearns Investment Products Inc., as lender (the “Lender”). Under the terms of the Credit Agreement, the Lender has agreed to extend credit to Pennant SPV in an aggregate principal of up to $200 million at any one time outstanding. The Credit Agreement matures on the earliest to occur of (1) the closing date of an initial public offering or private placement of equity securities by PennantPark Investment, (2) June 30, 2007, (3) the termination date of the Credit Facility by its terms and (4) any other date mutually agreed by the parties. The Credit Facility is secured by liens on substantially all of the assets in Pennant SPV, including its interests in any investments and any cash or cash equivalents held by it from time to time. Pricing under the Credit Facility is set at 175 basis points over applicable LIBOR, as that term is defined in the Credit Facility.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Credit Agreement contains affirmative and restrictive covenants, including: (a) periodic financial reporting and maintenance requirements,</w:t>
      </w:r>
    </w:p>
    <w:p>
      <w:pPr>
        <w:spacing w:after="0" w:line="38" w:lineRule="exact"/>
        <w:rPr>
          <w:sz w:val="20"/>
          <w:szCs w:val="20"/>
          <w:color w:val="auto"/>
        </w:rPr>
      </w:pPr>
    </w:p>
    <w:p>
      <w:pPr>
        <w:ind w:right="60" w:firstLine="8"/>
        <w:spacing w:after="0" w:line="290" w:lineRule="auto"/>
        <w:tabs>
          <w:tab w:leader="none" w:pos="2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compliance with laws, documents and certain eligibility criteria, (c) maintenance of accounts, inspections and records, (d) preservation of security interests and collateral and maintenance of liens, (e) limitations on sales of assets and the use of proceeds therefrom, (f) prohibition of fundamental changes and limitation on conduct of business, (g) limitation on restricted payments, (h) limitations on liens, (i) limitation on purchases of assets, investments and loans, (j) limitations on indebtedness and guarantees, (k) limitation on issuance of additional interests and impairment of rights, (l) security interests and (m) limitation on subsidiaries. Borrowings under the Credit Agreement are subject at all times to compliance with certain eligibility criteria. As of February 6, 2007, Pennant SPV had not yet borrowed any amounts under the Credit Agreement.</w:t>
      </w:r>
    </w:p>
    <w:p>
      <w:pPr>
        <w:spacing w:after="0" w:line="91" w:lineRule="exact"/>
        <w:rPr>
          <w:sz w:val="20"/>
          <w:szCs w:val="20"/>
          <w:color w:val="auto"/>
        </w:rPr>
      </w:pPr>
    </w:p>
    <w:p>
      <w:pPr>
        <w:ind w:right="1040" w:firstLine="456"/>
        <w:spacing w:after="0" w:line="332" w:lineRule="auto"/>
        <w:rPr>
          <w:sz w:val="20"/>
          <w:szCs w:val="20"/>
          <w:color w:val="auto"/>
        </w:rPr>
      </w:pPr>
      <w:r>
        <w:rPr>
          <w:rFonts w:ascii="Arial" w:cs="Arial" w:eastAsia="Arial" w:hAnsi="Arial"/>
          <w:sz w:val="16"/>
          <w:szCs w:val="16"/>
          <w:color w:val="auto"/>
        </w:rPr>
        <w:t>The Credit Agreement will be used to finance investments made by PennantPark Investment prior to the closing of its proposed initial public offering. PennantPark Investment intends to cause Pennant SPV to repay the Credit Facility in full upon the completion of such offering.</w:t>
      </w:r>
    </w:p>
    <w:p>
      <w:pPr>
        <w:spacing w:after="0" w:line="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From time to time, the Lender may provide customary commercial and investment banking services to PennantPark Investment, Pennant SPV and their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SUBSEQUENT EVENTS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March 26, 2007, PennantPark Investment Advisers LLC contributed an additional $200,000 to PennantPark Investment. As a result of this contribution, PennantPark Investment Advisers LLC holds 80,000 shares of common stock of PennantPark Investment at a total cost of $1.2 million.</w:t>
      </w:r>
    </w:p>
    <w:p>
      <w:pPr>
        <w:spacing w:after="0" w:line="5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As of March 26, 2007, PennantPark Investment, through Pennant SPV, entered into an Amendment to the Credit Agreement with the Lender pursuant to which the aggregate principal amount available for borrowing at any one time was increased from $200 million to $250 million.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You should rely only on the information contained in this prospectus. We have not, and the underwriters have not, authorized anyone to provide you with additional information, or information different from that contained in this prospectus. If anyone provides you with different or additional information, you should not rely on it.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shares of our common stock.</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40" w:type="dxa"/>
            <w:vAlign w:val="bottom"/>
            <w:gridSpan w:val="2"/>
          </w:tcPr>
          <w:p>
            <w:pPr>
              <w:ind w:left="1060"/>
              <w:spacing w:after="0"/>
              <w:rPr>
                <w:sz w:val="20"/>
                <w:szCs w:val="20"/>
                <w:color w:val="auto"/>
              </w:rPr>
            </w:pPr>
            <w:r>
              <w:rPr>
                <w:rFonts w:ascii="Arial" w:cs="Arial" w:eastAsia="Arial" w:hAnsi="Arial"/>
                <w:sz w:val="22"/>
                <w:szCs w:val="22"/>
                <w:b w:val="1"/>
                <w:bCs w:val="1"/>
                <w:color w:val="auto"/>
              </w:rPr>
              <w:t>TABLE OF CONTENTS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500" w:type="dxa"/>
            <w:vAlign w:val="bottom"/>
            <w:gridSpan w:val="12"/>
            <w:vMerge w:val="restart"/>
          </w:tcPr>
          <w:p>
            <w:pPr>
              <w:spacing w:after="0"/>
              <w:rPr>
                <w:rFonts w:ascii="Arial" w:cs="Arial" w:eastAsia="Arial" w:hAnsi="Arial"/>
                <w:sz w:val="18"/>
                <w:szCs w:val="18"/>
                <w:color w:val="0000EE"/>
                <w:w w:val="85"/>
              </w:rPr>
            </w:pPr>
            <w:hyperlink w:anchor="page2">
              <w:r>
                <w:rPr>
                  <w:rFonts w:ascii="Arial" w:cs="Arial" w:eastAsia="Arial" w:hAnsi="Arial"/>
                  <w:sz w:val="18"/>
                  <w:szCs w:val="18"/>
                  <w:color w:val="0000EE"/>
                  <w:w w:val="85"/>
                </w:rPr>
                <w:t>Prospectus Summary</w:t>
              </w:r>
            </w:hyperlink>
          </w:p>
        </w:tc>
        <w:tc>
          <w:tcPr>
            <w:tcW w:w="9240" w:type="dxa"/>
            <w:vAlign w:val="bottom"/>
            <w:gridSpan w:val="13"/>
            <w:vMerge w:val="restart"/>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500" w:type="dxa"/>
            <w:vAlign w:val="bottom"/>
            <w:tcBorders>
              <w:bottom w:val="single" w:sz="8" w:color="0000EE"/>
            </w:tcBorders>
            <w:gridSpan w:val="12"/>
            <w:vMerge w:val="continue"/>
          </w:tcPr>
          <w:p>
            <w:pPr>
              <w:spacing w:after="0"/>
              <w:rPr>
                <w:sz w:val="14"/>
                <w:szCs w:val="14"/>
                <w:color w:val="auto"/>
              </w:rPr>
            </w:pPr>
          </w:p>
        </w:tc>
        <w:tc>
          <w:tcPr>
            <w:tcW w:w="9240" w:type="dxa"/>
            <w:vAlign w:val="bottom"/>
            <w:gridSpan w:val="13"/>
            <w:vMerge w:val="continue"/>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740" w:type="dxa"/>
            <w:vAlign w:val="bottom"/>
            <w:gridSpan w:val="2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The Offering</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10"/>
          </w:tcPr>
          <w:p>
            <w:pPr>
              <w:spacing w:after="0" w:line="196" w:lineRule="exact"/>
              <w:rPr>
                <w:rFonts w:ascii="Arial" w:cs="Arial" w:eastAsia="Arial" w:hAnsi="Arial"/>
                <w:sz w:val="18"/>
                <w:szCs w:val="18"/>
                <w:color w:val="0000EE"/>
                <w:w w:val="82"/>
              </w:rPr>
            </w:pPr>
            <w:hyperlink w:anchor="page11">
              <w:r>
                <w:rPr>
                  <w:rFonts w:ascii="Arial" w:cs="Arial" w:eastAsia="Arial" w:hAnsi="Arial"/>
                  <w:sz w:val="18"/>
                  <w:szCs w:val="18"/>
                  <w:color w:val="0000EE"/>
                  <w:w w:val="82"/>
                </w:rPr>
                <w:t>Fees and Expenses</w:t>
              </w:r>
            </w:hyperlink>
          </w:p>
        </w:tc>
        <w:tc>
          <w:tcPr>
            <w:tcW w:w="9400" w:type="dxa"/>
            <w:vAlign w:val="bottom"/>
            <w:gridSpan w:val="15"/>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9840" w:type="dxa"/>
            <w:vAlign w:val="bottom"/>
            <w:gridSpan w:val="21"/>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Forward-looking Statements</w:t>
              </w:r>
            </w:hyperlink>
          </w:p>
        </w:tc>
        <w:tc>
          <w:tcPr>
            <w:tcW w:w="8720" w:type="dxa"/>
            <w:vAlign w:val="bottom"/>
            <w:gridSpan w:val="10"/>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Discussion of Expected Operating Plans</w:t>
              </w:r>
            </w:hyperlink>
          </w:p>
        </w:tc>
        <w:tc>
          <w:tcPr>
            <w:tcW w:w="7900" w:type="dxa"/>
            <w:vAlign w:val="bottom"/>
            <w:gridSpan w:val="6"/>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740" w:type="dxa"/>
            <w:vAlign w:val="bottom"/>
            <w:gridSpan w:val="2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Distributions</w:t>
              </w:r>
            </w:hyperlink>
          </w:p>
        </w:tc>
        <w:tc>
          <w:tcPr>
            <w:tcW w:w="9600" w:type="dxa"/>
            <w:vAlign w:val="bottom"/>
            <w:gridSpan w:val="16"/>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Capitalization</w:t>
              </w:r>
            </w:hyperlink>
          </w:p>
        </w:tc>
        <w:tc>
          <w:tcPr>
            <w:tcW w:w="9740" w:type="dxa"/>
            <w:vAlign w:val="bottom"/>
            <w:gridSpan w:val="17"/>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Dilution</w:t>
              </w:r>
            </w:hyperlink>
          </w:p>
        </w:tc>
        <w:tc>
          <w:tcPr>
            <w:tcW w:w="10140" w:type="dxa"/>
            <w:vAlign w:val="bottom"/>
            <w:gridSpan w:val="2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39">
              <w:r>
                <w:rPr>
                  <w:rFonts w:ascii="Arial" w:cs="Arial" w:eastAsia="Arial" w:hAnsi="Arial"/>
                  <w:sz w:val="18"/>
                  <w:szCs w:val="18"/>
                  <w:color w:val="0000EE"/>
                  <w:w w:val="84"/>
                </w:rPr>
                <w:t>Business</w:t>
              </w:r>
            </w:hyperlink>
          </w:p>
        </w:tc>
        <w:tc>
          <w:tcPr>
            <w:tcW w:w="10100" w:type="dxa"/>
            <w:vAlign w:val="bottom"/>
            <w:gridSpan w:val="2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740" w:type="dxa"/>
            <w:vAlign w:val="bottom"/>
            <w:gridSpan w:val="2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Portfolio Companies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Management</w:t>
              </w:r>
            </w:hyperlink>
          </w:p>
        </w:tc>
        <w:tc>
          <w:tcPr>
            <w:tcW w:w="9280" w:type="dxa"/>
            <w:vAlign w:val="bottom"/>
            <w:gridSpan w:val="1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40" w:type="dxa"/>
            <w:vAlign w:val="bottom"/>
            <w:gridSpan w:val="2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Certain Relationships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Control Persons and Principal Stockholders</w:t>
              </w:r>
            </w:hyperlink>
          </w:p>
        </w:tc>
        <w:tc>
          <w:tcPr>
            <w:tcW w:w="7660" w:type="dxa"/>
            <w:vAlign w:val="bottom"/>
            <w:gridSpan w:val="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0740" w:type="dxa"/>
            <w:vAlign w:val="bottom"/>
            <w:gridSpan w:val="2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Determination of Net Asset Value</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Dividend Reinvestment Plan</w:t>
              </w:r>
            </w:hyperlink>
          </w:p>
        </w:tc>
        <w:tc>
          <w:tcPr>
            <w:tcW w:w="8360" w:type="dxa"/>
            <w:vAlign w:val="bottom"/>
            <w:gridSpan w:val="7"/>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40" w:type="dxa"/>
            <w:vAlign w:val="bottom"/>
            <w:gridSpan w:val="2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Material U.S. Federal Income Tax Considerations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35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Description of Our Capital Stock</w:t>
              </w:r>
            </w:hyperlink>
          </w:p>
        </w:tc>
        <w:tc>
          <w:tcPr>
            <w:tcW w:w="7240" w:type="dxa"/>
            <w:vAlign w:val="bottom"/>
            <w:gridSpan w:val="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Regulation</w:t>
              </w:r>
            </w:hyperlink>
          </w:p>
        </w:tc>
        <w:tc>
          <w:tcPr>
            <w:tcW w:w="1540" w:type="dxa"/>
            <w:vAlign w:val="bottom"/>
            <w:tcBorders>
              <w:top w:val="single" w:sz="8" w:color="0000EE"/>
            </w:tcBorders>
            <w:gridSpan w:val="14"/>
          </w:tcPr>
          <w:p>
            <w:pPr>
              <w:spacing w:after="0"/>
              <w:rPr>
                <w:sz w:val="17"/>
                <w:szCs w:val="17"/>
                <w:color w:val="auto"/>
              </w:rPr>
            </w:pPr>
          </w:p>
        </w:tc>
        <w:tc>
          <w:tcPr>
            <w:tcW w:w="8420" w:type="dxa"/>
            <w:vAlign w:val="bottom"/>
            <w:gridSpan w:val="8"/>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Shares Eligible for Future Sale</w:t>
              </w:r>
            </w:hyperlink>
          </w:p>
        </w:tc>
        <w:tc>
          <w:tcPr>
            <w:tcW w:w="8560" w:type="dxa"/>
            <w:vAlign w:val="bottom"/>
            <w:gridSpan w:val="9"/>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Custodian, Transfer and Distribution Paying Agent and Registrar</w:t>
              </w:r>
            </w:hyperlink>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0740" w:type="dxa"/>
            <w:vAlign w:val="bottom"/>
            <w:gridSpan w:val="2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Brokerage Allocation and Other Practices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87">
              <w:r>
                <w:rPr>
                  <w:rFonts w:ascii="Arial" w:cs="Arial" w:eastAsia="Arial" w:hAnsi="Arial"/>
                  <w:sz w:val="18"/>
                  <w:szCs w:val="18"/>
                  <w:color w:val="0000EE"/>
                  <w:w w:val="93"/>
                </w:rPr>
                <w:t>Underwriting</w:t>
              </w:r>
            </w:hyperlink>
          </w:p>
        </w:tc>
        <w:tc>
          <w:tcPr>
            <w:tcW w:w="1980" w:type="dxa"/>
            <w:vAlign w:val="bottom"/>
            <w:tcBorders>
              <w:top w:val="single" w:sz="8" w:color="0000EE"/>
            </w:tcBorders>
            <w:gridSpan w:val="14"/>
          </w:tcPr>
          <w:p>
            <w:pPr>
              <w:spacing w:after="0"/>
              <w:rPr>
                <w:sz w:val="17"/>
                <w:szCs w:val="17"/>
                <w:color w:val="auto"/>
              </w:rPr>
            </w:pPr>
          </w:p>
        </w:tc>
        <w:tc>
          <w:tcPr>
            <w:tcW w:w="7800" w:type="dxa"/>
            <w:vAlign w:val="bottom"/>
            <w:gridSpan w:val="5"/>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0740" w:type="dxa"/>
            <w:vAlign w:val="bottom"/>
            <w:gridSpan w:val="25"/>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Legal Matters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980" w:type="dxa"/>
            <w:vAlign w:val="bottom"/>
            <w:gridSpan w:val="7"/>
            <w:shd w:val="clear" w:color="auto" w:fill="0000EE"/>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3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Independent Registered Public Accounting Firm</w:t>
              </w:r>
            </w:hyperlink>
          </w:p>
        </w:tc>
        <w:tc>
          <w:tcPr>
            <w:tcW w:w="7320" w:type="dxa"/>
            <w:vAlign w:val="bottom"/>
            <w:gridSpan w:val="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0740" w:type="dxa"/>
            <w:vAlign w:val="bottom"/>
            <w:gridSpan w:val="25"/>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Available Information</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560" w:type="dxa"/>
            <w:vAlign w:val="bottom"/>
            <w:gridSpan w:val="14"/>
            <w:shd w:val="clear" w:color="auto" w:fill="0000EE"/>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766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93">
              <w:r>
                <w:rPr>
                  <w:rFonts w:ascii="Arial" w:cs="Arial" w:eastAsia="Arial" w:hAnsi="Arial"/>
                  <w:sz w:val="18"/>
                  <w:szCs w:val="18"/>
                  <w:color w:val="0000EE"/>
                  <w:w w:val="88"/>
                </w:rPr>
                <w:t>Index to Consolidated Financial Statements</w:t>
              </w:r>
            </w:hyperlink>
          </w:p>
        </w:tc>
        <w:tc>
          <w:tcPr>
            <w:tcW w:w="7660" w:type="dxa"/>
            <w:vAlign w:val="bottom"/>
            <w:gridSpan w:val="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Through and including May 14, 2007 (25 days after the date of this prospectus), federal securities laws may require all dealers that effect transactions in our common stock, whether or not participating in this offering,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5043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332105</wp:posOffset>
            </wp:positionV>
            <wp:extent cx="725043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684530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2133600</wp:posOffset>
            </wp:positionV>
            <wp:extent cx="53771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7718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761365</wp:posOffset>
            </wp:positionV>
            <wp:extent cx="2058035" cy="43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5803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122555</wp:posOffset>
            </wp:positionV>
            <wp:extent cx="53771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77180" cy="8890"/>
                    </a:xfrm>
                    <a:prstGeom prst="rect">
                      <a:avLst/>
                    </a:prstGeom>
                    <a:noFill/>
                  </pic:spPr>
                </pic:pic>
              </a:graphicData>
            </a:graphic>
          </wp:anchor>
        </w:drawing>
      </w:r>
    </w:p>
    <w:p>
      <w:pPr>
        <w:sectPr>
          <w:pgSz w:w="11900" w:h="16838" w:orient="portrait"/>
          <w:cols w:equalWidth="0" w:num="1">
            <w:col w:w="11420"/>
          </w:cols>
          <w:pgMar w:left="240" w:top="459" w:right="239" w:bottom="3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April 19, 2007</w:t>
      </w:r>
    </w:p>
    <w:p>
      <w:pPr>
        <w:sectPr>
          <w:pgSz w:w="11900" w:h="16838" w:orient="portrait"/>
          <w:cols w:equalWidth="0" w:num="1">
            <w:col w:w="11420"/>
          </w:cols>
          <w:pgMar w:left="240" w:top="459" w:right="239" w:bottom="344"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24"/>
          <w:szCs w:val="24"/>
          <w:b w:val="1"/>
          <w:bCs w:val="1"/>
          <w:color w:val="auto"/>
        </w:rPr>
        <w:t>Bear, Stearns &amp; Co. Inc.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Banc of America Securities LLC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UBS Investment Bank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SunTrust Robinson Humphrey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Keefe, Bruyette &amp; Woods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Friedman Billings Ramsey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Jefferies &amp;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Robert W. Baird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269875</wp:posOffset>
            </wp:positionV>
            <wp:extent cx="725043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Ÿ"/>
      <w:numFmt w:val="bullet"/>
      <w:start w:val="1"/>
    </w:lvl>
  </w:abstractNum>
  <w:abstractNum w:abstractNumId="2">
    <w:nsid w:val="737B8DDC"/>
    <w:multiLevelType w:val="hybridMultilevel"/>
    <w:lvl w:ilvl="0">
      <w:lvlJc w:val="left"/>
      <w:lvlText w:val="(%1)"/>
      <w:numFmt w:val="decimal"/>
      <w:start w:val="1"/>
    </w:lvl>
    <w:lvl w:ilvl="1">
      <w:lvlJc w:val="left"/>
      <w:lvlText w:val="Ÿ"/>
      <w:numFmt w:val="bullet"/>
      <w:start w:val="1"/>
    </w:lvl>
  </w:abstractNum>
  <w:abstractNum w:abstractNumId="3">
    <w:nsid w:val="6CEAF087"/>
    <w:multiLevelType w:val="hybridMultilevel"/>
    <w:lvl w:ilvl="0">
      <w:lvlJc w:val="left"/>
      <w:lvlText w:val="(%1)"/>
      <w:numFmt w:val="decimal"/>
      <w:start w:val="6"/>
    </w:lvl>
  </w:abstractNum>
  <w:abstractNum w:abstractNumId="4">
    <w:nsid w:val="22221A70"/>
    <w:multiLevelType w:val="hybridMultilevel"/>
    <w:lvl w:ilvl="0">
      <w:lvlJc w:val="left"/>
      <w:lvlText w:val="(%1)"/>
      <w:numFmt w:val="decimal"/>
      <w:start w:val="7"/>
    </w:lvl>
  </w:abstractNum>
  <w:abstractNum w:abstractNumId="5">
    <w:nsid w:val="4516DDE9"/>
    <w:multiLevelType w:val="hybridMultilevel"/>
    <w:lvl w:ilvl="0">
      <w:lvlJc w:val="left"/>
      <w:lvlText w:val="Ÿ"/>
      <w:numFmt w:val="bullet"/>
      <w:start w:val="1"/>
    </w:lvl>
  </w:abstractNum>
  <w:abstractNum w:abstractNumId="6">
    <w:nsid w:val="3006C83E"/>
    <w:multiLevelType w:val="hybridMultilevel"/>
    <w:lvl w:ilvl="0">
      <w:lvlJc w:val="left"/>
      <w:lvlText w:val="Ÿ"/>
      <w:numFmt w:val="bullet"/>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Ÿ"/>
      <w:numFmt w:val="bullet"/>
      <w:start w:val="1"/>
    </w:lvl>
  </w:abstractNum>
  <w:abstractNum w:abstractNumId="9">
    <w:nsid w:val="5577F8E1"/>
    <w:multiLevelType w:val="hybridMultilevel"/>
    <w:lvl w:ilvl="0">
      <w:lvlJc w:val="left"/>
      <w:lvlText w:val="Ÿ"/>
      <w:numFmt w:val="bullet"/>
      <w:start w:val="1"/>
    </w:lvl>
  </w:abstractNum>
  <w:abstractNum w:abstractNumId="10">
    <w:nsid w:val="440BADFC"/>
    <w:multiLevelType w:val="hybridMultilevel"/>
    <w:lvl w:ilvl="0">
      <w:lvlJc w:val="left"/>
      <w:lvlText w:val="Ÿ"/>
      <w:numFmt w:val="bullet"/>
      <w:start w:val="1"/>
    </w:lvl>
  </w:abstractNum>
  <w:abstractNum w:abstractNumId="11">
    <w:nsid w:val="5072367"/>
    <w:multiLevelType w:val="hybridMultilevel"/>
    <w:lvl w:ilvl="0">
      <w:lvlJc w:val="left"/>
      <w:lvlText w:val="Ÿ"/>
      <w:numFmt w:val="bullet"/>
      <w:start w:val="1"/>
    </w:lvl>
  </w:abstractNum>
  <w:abstractNum w:abstractNumId="12">
    <w:nsid w:val="3804823E"/>
    <w:multiLevelType w:val="hybridMultilevel"/>
    <w:lvl w:ilvl="0">
      <w:lvlJc w:val="left"/>
      <w:lvlText w:val="Ÿ"/>
      <w:numFmt w:val="bullet"/>
      <w:start w:val="1"/>
    </w:lvl>
  </w:abstractNum>
  <w:abstractNum w:abstractNumId="13">
    <w:nsid w:val="77465F01"/>
    <w:multiLevelType w:val="hybridMultilevel"/>
    <w:lvl w:ilvl="0">
      <w:lvlJc w:val="left"/>
      <w:lvlText w:val="(%1)"/>
      <w:numFmt w:val="decimal"/>
      <w:start w:val="4"/>
    </w:lvl>
    <w:lvl w:ilvl="1">
      <w:lvlJc w:val="left"/>
      <w:lvlText w:val="Ÿ"/>
      <w:numFmt w:val="bullet"/>
      <w:start w:val="1"/>
    </w:lvl>
  </w:abstractNum>
  <w:abstractNum w:abstractNumId="14">
    <w:nsid w:val="7724C67E"/>
    <w:multiLevelType w:val="hybridMultilevel"/>
    <w:lvl w:ilvl="0">
      <w:lvlJc w:val="left"/>
      <w:lvlText w:val="Ÿ"/>
      <w:numFmt w:val="bullet"/>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Ÿ"/>
      <w:numFmt w:val="bullet"/>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Ÿ"/>
      <w:numFmt w:val="bullet"/>
      <w:start w:val="1"/>
    </w:lvl>
  </w:abstractNum>
  <w:abstractNum w:abstractNumId="20">
    <w:nsid w:val="580BD78F"/>
    <w:multiLevelType w:val="hybridMultilevel"/>
    <w:lvl w:ilvl="0">
      <w:lvlJc w:val="left"/>
      <w:lvlText w:val="Ÿ"/>
      <w:numFmt w:val="bullet"/>
      <w:start w:val="1"/>
    </w:lvl>
  </w:abstractNum>
  <w:abstractNum w:abstractNumId="21">
    <w:nsid w:val="153EA438"/>
    <w:multiLevelType w:val="hybridMultilevel"/>
    <w:lvl w:ilvl="0">
      <w:lvlJc w:val="left"/>
      <w:lvlText w:val="Ÿ"/>
      <w:numFmt w:val="bullet"/>
      <w:start w:val="1"/>
    </w:lvl>
  </w:abstractNum>
  <w:abstractNum w:abstractNumId="22">
    <w:nsid w:val="3855585C"/>
    <w:multiLevelType w:val="hybridMultilevel"/>
    <w:lvl w:ilvl="0">
      <w:lvlJc w:val="left"/>
      <w:lvlText w:val="Ÿ"/>
      <w:numFmt w:val="bullet"/>
      <w:start w:val="1"/>
    </w:lvl>
  </w:abstractNum>
  <w:abstractNum w:abstractNumId="23">
    <w:nsid w:val="70A64E2A"/>
    <w:multiLevelType w:val="hybridMultilevel"/>
    <w:lvl w:ilvl="0">
      <w:lvlJc w:val="left"/>
      <w:lvlText w:val="Ÿ"/>
      <w:numFmt w:val="bullet"/>
      <w:start w:val="1"/>
    </w:lvl>
  </w:abstractNum>
  <w:abstractNum w:abstractNumId="24">
    <w:nsid w:val="6A2342EC"/>
    <w:multiLevelType w:val="hybridMultilevel"/>
    <w:lvl w:ilvl="0">
      <w:lvlJc w:val="left"/>
      <w:lvlText w:val="Ÿ"/>
      <w:numFmt w:val="bullet"/>
      <w:start w:val="1"/>
    </w:lvl>
  </w:abstractNum>
  <w:abstractNum w:abstractNumId="25">
    <w:nsid w:val="2A487CB0"/>
    <w:multiLevelType w:val="hybridMultilevel"/>
    <w:lvl w:ilvl="0">
      <w:lvlJc w:val="left"/>
      <w:lvlText w:val="Ÿ"/>
      <w:numFmt w:val="bullet"/>
      <w:start w:val="1"/>
    </w:lvl>
  </w:abstractNum>
  <w:abstractNum w:abstractNumId="26">
    <w:nsid w:val="1D4ED43B"/>
    <w:multiLevelType w:val="hybridMultilevel"/>
    <w:lvl w:ilvl="0">
      <w:lvlJc w:val="left"/>
      <w:lvlText w:val="Ÿ"/>
      <w:numFmt w:val="bullet"/>
      <w:start w:val="1"/>
    </w:lvl>
  </w:abstractNum>
  <w:abstractNum w:abstractNumId="27">
    <w:nsid w:val="725A06FB"/>
    <w:multiLevelType w:val="hybridMultilevel"/>
    <w:lvl w:ilvl="0">
      <w:lvlJc w:val="left"/>
      <w:lvlText w:val="Ÿ"/>
      <w:numFmt w:val="bullet"/>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Ÿ"/>
      <w:numFmt w:val="bullet"/>
      <w:start w:val="1"/>
    </w:lvl>
  </w:abstractNum>
  <w:abstractNum w:abstractNumId="34">
    <w:nsid w:val="38437FDB"/>
    <w:multiLevelType w:val="hybridMultilevel"/>
    <w:lvl w:ilvl="0">
      <w:lvlJc w:val="left"/>
      <w:lvlText w:val="Ÿ"/>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1)"/>
      <w:numFmt w:val="decimal"/>
    </w:lvl>
    <w:lvl w:ilvl="1">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Ÿ"/>
      <w:numFmt w:val="bullet"/>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Ÿ"/>
      <w:numFmt w:val="bullet"/>
      <w:start w:val="1"/>
    </w:lvl>
  </w:abstractNum>
  <w:abstractNum w:abstractNumId="43">
    <w:nsid w:val="75C6C33A"/>
    <w:multiLevelType w:val="hybridMultilevel"/>
    <w:lvl w:ilvl="0">
      <w:lvlJc w:val="left"/>
      <w:lvlText w:val="Ÿ"/>
      <w:numFmt w:val="bullet"/>
      <w:start w:val="1"/>
    </w:lvl>
  </w:abstractNum>
  <w:abstractNum w:abstractNumId="44">
    <w:nsid w:val="12E685FB"/>
    <w:multiLevelType w:val="hybridMultilevel"/>
    <w:lvl w:ilvl="0">
      <w:lvlJc w:val="left"/>
      <w:lvlText w:val="Ÿ"/>
      <w:numFmt w:val="bullet"/>
      <w:start w:val="1"/>
    </w:lvl>
  </w:abstractNum>
  <w:abstractNum w:abstractNumId="45">
    <w:nsid w:val="70C6A529"/>
    <w:multiLevelType w:val="hybridMultilevel"/>
    <w:lvl w:ilvl="0">
      <w:lvlJc w:val="left"/>
      <w:lvlText w:val="Ÿ"/>
      <w:numFmt w:val="bullet"/>
      <w:start w:val="1"/>
    </w:lvl>
  </w:abstractNum>
  <w:abstractNum w:abstractNumId="46">
    <w:nsid w:val="520EEDD1"/>
    <w:multiLevelType w:val="hybridMultilevel"/>
    <w:lvl w:ilvl="0">
      <w:lvlJc w:val="left"/>
      <w:lvlText w:val="Ÿ"/>
      <w:numFmt w:val="bullet"/>
      <w:start w:val="1"/>
    </w:lvl>
    <w:lvl w:ilvl="1">
      <w:lvlJc w:val="left"/>
      <w:lvlText w:val="Ÿ"/>
      <w:numFmt w:val="bullet"/>
      <w:start w:val="1"/>
    </w:lvl>
  </w:abstractNum>
  <w:abstractNum w:abstractNumId="47">
    <w:nsid w:val="374A3FE6"/>
    <w:multiLevelType w:val="hybridMultilevel"/>
    <w:lvl w:ilvl="0">
      <w:lvlJc w:val="left"/>
      <w:lvlText w:val="(%1)"/>
      <w:numFmt w:val="decimal"/>
      <w:start w:val="2"/>
    </w:lvl>
  </w:abstractNum>
  <w:abstractNum w:abstractNumId="48">
    <w:nsid w:val="4F4EF005"/>
    <w:multiLevelType w:val="hybridMultilevel"/>
    <w:lvl w:ilvl="0">
      <w:lvlJc w:val="left"/>
      <w:lvlText w:val="Ÿ"/>
      <w:numFmt w:val="bullet"/>
      <w:start w:val="1"/>
    </w:lvl>
  </w:abstractNum>
  <w:abstractNum w:abstractNumId="49">
    <w:nsid w:val="23F9C13C"/>
    <w:multiLevelType w:val="hybridMultilevel"/>
    <w:lvl w:ilvl="0">
      <w:lvlJc w:val="left"/>
      <w:lvlText w:val="Ÿ"/>
      <w:numFmt w:val="bullet"/>
      <w:start w:val="1"/>
    </w:lvl>
  </w:abstractNum>
  <w:abstractNum w:abstractNumId="50">
    <w:nsid w:val="649BB77C"/>
    <w:multiLevelType w:val="hybridMultilevel"/>
    <w:lvl w:ilvl="0">
      <w:lvlJc w:val="left"/>
      <w:lvlText w:val="Ÿ"/>
      <w:numFmt w:val="bullet"/>
      <w:start w:val="1"/>
    </w:lvl>
  </w:abstractNum>
  <w:abstractNum w:abstractNumId="51">
    <w:nsid w:val="275AC794"/>
    <w:multiLevelType w:val="hybridMultilevel"/>
    <w:lvl w:ilvl="0">
      <w:lvlJc w:val="left"/>
      <w:lvlText w:val="(%1)"/>
      <w:numFmt w:val="decimal"/>
      <w:start w:val="1"/>
    </w:lvl>
    <w:lvl w:ilvl="1">
      <w:lvlJc w:val="left"/>
      <w:lvlText w:val="(%2)"/>
      <w:numFmt w:val="lowerLetter"/>
      <w:start w:val="1"/>
    </w:lvl>
  </w:abstractNum>
  <w:abstractNum w:abstractNumId="52">
    <w:nsid w:val="39386575"/>
    <w:multiLevelType w:val="hybridMultilevel"/>
    <w:lvl w:ilvl="0">
      <w:lvlJc w:val="left"/>
      <w:lvlText w:val="(%1)"/>
      <w:numFmt w:val="decimal"/>
      <w:start w:val="5"/>
    </w:lvl>
  </w:abstractNum>
  <w:abstractNum w:abstractNumId="53">
    <w:nsid w:val="1CF10FD8"/>
    <w:multiLevelType w:val="hybridMultilevel"/>
    <w:lvl w:ilvl="0">
      <w:lvlJc w:val="left"/>
      <w:lvlText w:val="Ÿ"/>
      <w:numFmt w:val="bullet"/>
      <w:start w:val="1"/>
    </w:lvl>
  </w:abstractNum>
  <w:abstractNum w:abstractNumId="54">
    <w:nsid w:val="180115BE"/>
    <w:multiLevelType w:val="hybridMultilevel"/>
    <w:lvl w:ilvl="0">
      <w:lvlJc w:val="left"/>
      <w:lvlText w:val="Ÿ"/>
      <w:numFmt w:val="bullet"/>
      <w:start w:val="1"/>
    </w:lvl>
  </w:abstractNum>
  <w:abstractNum w:abstractNumId="55">
    <w:nsid w:val="235BA861"/>
    <w:multiLevelType w:val="hybridMultilevel"/>
    <w:lvl w:ilvl="0">
      <w:lvlJc w:val="left"/>
      <w:lvlText w:val="Ÿ"/>
      <w:numFmt w:val="bullet"/>
      <w:start w:val="1"/>
    </w:lvl>
  </w:abstractNum>
  <w:abstractNum w:abstractNumId="56">
    <w:nsid w:val="47398C89"/>
    <w:multiLevelType w:val="hybridMultilevel"/>
    <w:lvl w:ilvl="0">
      <w:lvlJc w:val="left"/>
      <w:lvlText w:val="Ÿ"/>
      <w:numFmt w:val="bullet"/>
      <w:start w:val="1"/>
    </w:lvl>
  </w:abstractNum>
  <w:abstractNum w:abstractNumId="57">
    <w:nsid w:val="354FE9F9"/>
    <w:multiLevelType w:val="hybridMultilevel"/>
    <w:lvl w:ilvl="0">
      <w:lvlJc w:val="left"/>
      <w:lvlText w:val="Ÿ"/>
      <w:numFmt w:val="bullet"/>
      <w:start w:val="1"/>
    </w:lvl>
  </w:abstractNum>
  <w:abstractNum w:abstractNumId="58">
    <w:nsid w:val="15B5AF5C"/>
    <w:multiLevelType w:val="hybridMultilevel"/>
    <w:lvl w:ilvl="0">
      <w:lvlJc w:val="left"/>
      <w:lvlText w:val="(%1)"/>
      <w:numFmt w:val="decimal"/>
      <w:start w:val="3"/>
    </w:lvl>
  </w:abstractNum>
  <w:abstractNum w:abstractNumId="59">
    <w:nsid w:val="741226B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2019-12-15T15:11:39Z</dcterms:created>
  <dcterms:modified xsi:type="dcterms:W3CDTF">2019-12-15T15:11:39Z</dcterms:modified>
</cp:coreProperties>
</file>