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-3058160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-1926590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-485775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3, 2015 at 2:00 p.m., Eastern Time, at the offices of Dechert LLP, located at 1095 Avenue of the Americas, New York, New York.</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Notice of Joint Special Meeting of Stockholders and the Joint Proxy Statement of the Boards of Directors of the Companies, which is accessible on the Internet or by request for stockholders of PNNT and which is included herein for stockholders of PFLT, provide an outline of the business to be conducted at the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It is important that your shares be represented at the Joint Special Meeting of Stockholders. If you are unable to attend the meeting in person, I urge you to follow the instructions on the Notice of Internet Availability of Proxy Materials or proxy card to vote your proxy on the Internet. We encourage you to vote via the Internet, as it saves us significant time and processing costs. However, on the Notice of Internet Availability of Proxy Materials stockholders of PNNT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Annual Meeting of Stockholders, which will be held on the same date and at the same location as the Joint Special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3, 2015</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10, 2014</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 Joint Special Meeting of Stockholders of the Companies (the “Special Meeting”) will be held at the offices of Dechert LLP, located at 1095 Avenue of the Americas, New York, New York, on February 3, 2015 at 2:00 p.m., Eastern Time, for the following purpose, as to each Company:</w:t>
      </w:r>
    </w:p>
    <w:p>
      <w:pPr>
        <w:spacing w:after="0" w:line="4" w:lineRule="exact"/>
        <w:rPr>
          <w:sz w:val="20"/>
          <w:szCs w:val="20"/>
          <w:color w:val="auto"/>
        </w:rPr>
      </w:pPr>
    </w:p>
    <w:p>
      <w:pPr>
        <w:ind w:left="1080" w:right="540" w:hanging="613"/>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Special Meeting if you were a stockholder of record of PNNT and/or a stockholder of record of PFLT at the close of business on December 1, 2014. PNNT is furnishing a Joint Proxy Statement and proxy card(s) to their Stockholders on the Internet, rather than mailing printed copies of those materials to each Stockholder of PNNT.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Special Meeting, we encourage you to vote your proxy on the Internet by following the instructions provided on the Notice of Internet Availability of Proxy Materials or proxy card. Stockholders of PNNT may also request from us free of charge hard copies of the Joint Proxy Statement and proxy card(s) for PNNT by following the instructions on the Notice of Internet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28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or proxy card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Joint Special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February 3, 2015</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3, 2015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10, 2014. In addition, a Notice of Special Meeting and a Notice of Internet Availability of Proxy Materials are being sent to Stockholders of record of PNNT and a Notice of Special Meeting is being sent to Stockholders of record of PFLT as of December 1, 2014.</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of each of the Companies of soliciting proxies for the Meeting.</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appropriate Board’s discretion unless you specifically state otherwise on your proxy.</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 as to each Company:</w:t>
      </w:r>
    </w:p>
    <w:p>
      <w:pPr>
        <w:spacing w:after="0" w:line="90" w:lineRule="exact"/>
        <w:rPr>
          <w:sz w:val="20"/>
          <w:szCs w:val="20"/>
          <w:color w:val="auto"/>
        </w:rPr>
      </w:pPr>
    </w:p>
    <w:p>
      <w:pPr>
        <w:ind w:left="1000" w:right="660" w:hanging="533"/>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to sell shares of the Company’s common stock (during the next 12 months) at a price below the then-current net asset value per share, subject to certain limitations described in this Joint Proxy Statement (the “Proposal”).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December 1, 2014 (the “Record Date”). There were 75,092,911 shares of PNNT common stock and 14,898,056 shares of PFLT common stock (the “Common Stock”) outstanding on the Record Date.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to each Company, approval of the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the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the Proposal.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The Proposal is a non-routine matter for both Companies. As a result, if you hold shares of a Company’s Common Stock in street name through a Broker, your Broker will not be permitted to exercise voting discretion with respect to the Proposal for that Company. Thus, if you do not vote or give your Broker specific instructions on how to vote for you, your Broker cannot vote with respect to the Proposal. </w:t>
      </w:r>
      <w:r>
        <w:rPr>
          <w:rFonts w:ascii="Arial" w:cs="Arial" w:eastAsia="Arial" w:hAnsi="Arial"/>
          <w:sz w:val="16"/>
          <w:szCs w:val="16"/>
          <w:b w:val="1"/>
          <w:bCs w:val="1"/>
          <w:color w:val="auto"/>
        </w:rPr>
        <w:t>For this reason, it is imperative that 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vote or provide instructions to their Broker as to how to vote.</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the Proposal at the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Meeting and the person named as proxy for the Companies, Mr. Arthur H. Penn, may vote to adjourn the Meeting with respect to that Company to permit further solicitation of proxies.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This Solicitation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Company will bear the expense of its solicitation of proxies for the Meeting, including its portion of the cost of preparing and posting this Joint Proxy Statement to the Internet and the cost of mailing the Notice of Special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Stockholders may provide their voting instructions through the Internet, by telephone or by mail by following the instructions on the Notice of Internet Availability of Proxy Materials or proxy card. These options require Stockholders to input the Control Number, which is provided with the Notice of Internet Availability of Proxy Materials or proxy card.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 or proxy card.</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Record Dates, to our knowledge, no person would be deemed to “control” (as such term is defined in the 1940 Act) either Company.</w:t>
      </w:r>
    </w:p>
    <w:p>
      <w:pPr>
        <w:spacing w:after="0" w:line="194"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as of November 10, 2014,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83"/>
              </w:rPr>
              <w:t>Name and address</w:t>
            </w:r>
            <w:r>
              <w:rPr>
                <w:rFonts w:ascii="Arial" w:cs="Arial" w:eastAsia="Arial" w:hAnsi="Arial"/>
                <w:sz w:val="22"/>
                <w:szCs w:val="22"/>
                <w:color w:val="auto"/>
                <w:w w:val="83"/>
                <w:vertAlign w:val="superscript"/>
              </w:rPr>
              <w:t>(1)</w:t>
            </w:r>
          </w:p>
        </w:tc>
        <w:tc>
          <w:tcPr>
            <w:tcW w:w="4680" w:type="dxa"/>
            <w:vAlign w:val="bottom"/>
            <w:vMerge w:val="restart"/>
          </w:tcPr>
          <w:p>
            <w:pPr>
              <w:spacing w:after="0"/>
              <w:rPr>
                <w:sz w:val="12"/>
                <w:szCs w:val="12"/>
                <w:color w:val="auto"/>
              </w:rPr>
            </w:pPr>
          </w:p>
        </w:tc>
        <w:tc>
          <w:tcPr>
            <w:tcW w:w="1660" w:type="dxa"/>
            <w:vAlign w:val="bottom"/>
            <w:vMerge w:val="restart"/>
          </w:tcPr>
          <w:p>
            <w:pPr>
              <w:ind w:left="26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(5)</w:t>
            </w:r>
          </w:p>
        </w:tc>
        <w:tc>
          <w:tcPr>
            <w:tcW w:w="3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vMerge w:val="continue"/>
          </w:tcPr>
          <w:p>
            <w:pPr>
              <w:spacing w:after="0"/>
              <w:rPr>
                <w:sz w:val="13"/>
                <w:szCs w:val="13"/>
                <w:color w:val="auto"/>
              </w:rPr>
            </w:pPr>
          </w:p>
        </w:tc>
        <w:tc>
          <w:tcPr>
            <w:tcW w:w="4680" w:type="dxa"/>
            <w:vAlign w:val="bottom"/>
            <w:vMerge w:val="continue"/>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0" w:type="dxa"/>
            <w:vAlign w:val="bottom"/>
            <w:tcBorders>
              <w:bottom w:val="single" w:sz="8" w:color="auto"/>
            </w:tcBorders>
            <w:gridSpan w:val="3"/>
          </w:tcPr>
          <w:p>
            <w:pPr>
              <w:ind w:left="500"/>
              <w:spacing w:after="0" w:line="146" w:lineRule="exact"/>
              <w:rPr>
                <w:sz w:val="20"/>
                <w:szCs w:val="20"/>
                <w:color w:val="auto"/>
              </w:rPr>
            </w:pPr>
            <w:r>
              <w:rPr>
                <w:rFonts w:ascii="Arial" w:cs="Arial" w:eastAsia="Arial" w:hAnsi="Arial"/>
                <w:sz w:val="14"/>
                <w:szCs w:val="14"/>
                <w:color w:val="auto"/>
              </w:rPr>
              <w:t>Shares Owned</w:t>
            </w:r>
          </w:p>
        </w:tc>
        <w:tc>
          <w:tcPr>
            <w:tcW w:w="400" w:type="dxa"/>
            <w:vAlign w:val="bottom"/>
          </w:tcPr>
          <w:p>
            <w:pPr>
              <w:spacing w:after="0"/>
              <w:rPr>
                <w:sz w:val="13"/>
                <w:szCs w:val="13"/>
                <w:color w:val="auto"/>
              </w:rPr>
            </w:pPr>
          </w:p>
        </w:tc>
        <w:tc>
          <w:tcPr>
            <w:tcW w:w="120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color w:val="auto"/>
                <w:w w:val="87"/>
              </w:rPr>
              <w:t>Outstanding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PNNT</w:t>
            </w: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PFLT</w:t>
            </w:r>
          </w:p>
        </w:tc>
        <w:tc>
          <w:tcPr>
            <w:tcW w:w="400" w:type="dxa"/>
            <w:vAlign w:val="bottom"/>
          </w:tcPr>
          <w:p>
            <w:pPr>
              <w:spacing w:after="0"/>
              <w:rPr>
                <w:sz w:val="19"/>
                <w:szCs w:val="19"/>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PNNT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81"/>
              </w:rPr>
              <w:t>PFLT</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Greater than 5% stockholder</w:t>
            </w:r>
          </w:p>
        </w:tc>
        <w:tc>
          <w:tcPr>
            <w:tcW w:w="1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Jack Silver</w:t>
            </w:r>
            <w:r>
              <w:rPr>
                <w:rFonts w:ascii="Arial" w:cs="Arial" w:eastAsia="Arial" w:hAnsi="Arial"/>
                <w:sz w:val="11"/>
                <w:szCs w:val="11"/>
                <w:color w:val="auto"/>
              </w:rPr>
              <w:t>(2)</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746,891</w:t>
            </w:r>
          </w:p>
        </w:tc>
        <w:tc>
          <w:tcPr>
            <w:tcW w:w="400" w:type="dxa"/>
            <w:vAlign w:val="bottom"/>
          </w:tcPr>
          <w:p>
            <w:pPr>
              <w:spacing w:after="0"/>
              <w:rPr>
                <w:sz w:val="18"/>
                <w:szCs w:val="18"/>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(3)</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88,971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236,088</w:t>
            </w:r>
          </w:p>
        </w:tc>
        <w:tc>
          <w:tcPr>
            <w:tcW w:w="4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(4)</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149,209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1,055,555</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237,759</w:t>
            </w:r>
          </w:p>
        </w:tc>
        <w:tc>
          <w:tcPr>
            <w:tcW w:w="4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upon information contained in the Schedule13G filed February 12, 2014 by Mr. Jack Silver. Such securities are held by certain investment vehicles controlled and/or managed by Mr. Silver. The address for Mr. Silver is 80 Columbus Circle PH76A, New York, NY 10023.</w:t>
      </w:r>
    </w:p>
    <w:p>
      <w:pPr>
        <w:spacing w:after="0" w:line="1" w:lineRule="exact"/>
        <w:rPr>
          <w:rFonts w:ascii="Arial" w:cs="Arial" w:eastAsia="Arial" w:hAnsi="Arial"/>
          <w:sz w:val="16"/>
          <w:szCs w:val="16"/>
          <w:color w:val="auto"/>
        </w:rPr>
      </w:pPr>
    </w:p>
    <w:p>
      <w:pPr>
        <w:ind w:left="460" w:right="5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353,923 shares of PNNT and 149,209 shares of PFLT held by the Adviser.</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AUTHORIZATION TO OFFER AND SELL SHARES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in 2011 for PFLT.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its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the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Company’s ability to issue shares of its Common Stock at a price below NAV is governed by the 1940 Act. Specifically, Section 63(2) of the 1940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 provides that a Company may offer and sell shares of Common Stock at prices below the then-current NAV with Stockholder approval, provided that:</w:t>
      </w:r>
    </w:p>
    <w:p>
      <w:pPr>
        <w:spacing w:after="0" w:line="107" w:lineRule="exact"/>
        <w:rPr>
          <w:sz w:val="20"/>
          <w:szCs w:val="20"/>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such sales are approved by (1) a majority of the Company’s Independent Directors and (2) a majority of the Company’s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has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underwriting commission or discount.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Approval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11, 2014,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various factors, including the following, as discussed more fully below:</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this Proposal, the Boards met to consider and evaluate materials that the Companies’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and voted separately on the issues presented.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Board evaluated a full range of offering sizes. However, neither Board has drawn any definite conclusions regarding the size of a contemplated capital raise at this time. Each Board expects that any increase in capital would be from a public offering of the Company’s Common Stock, or the possibility of one or more private placements. Additionally, each Company’s Common Stock could be issued as part of a purchase of assets, portfolios or other companies.</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may be in the Company’s best interests and that of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that of the Company’s Stockholders. If a Company were unable to access the capital markets when attractive investment opportunities arise, the Company’s ability to grow over time and to continue to pay distributions to Stockholders could be adversely affected. In reaching that conclusion, each Board considered the following possible benefits to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From Time to Time Market Conditions Have Created Attractive Opportunities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cannot predict when market opportunities will present themselves. Market opportunities have created, and may again in the future provide,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a constrained credit market and that from time to time the environment should provide attractive investment opportunities. Each Company’s ability to take advantage of these opportunities will depend upon its access to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Greater Investment Opportunities Due to Larger 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the Companies’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 the Companies intend to be more meaningful capital providers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Company issues additional shares, its market capitalization and the amount of its publicly tradable Common Stock will increase, which may afford all holders of its Common Stock greater liquidity. A larger market capitalization may make a Company’s Common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Company’s dividends. Each Company generally makes distributions to its Stockholders. Although management will continue to seek to generate income sufficient to pay our distributions in the future, the proceeds of future offerings, and the investments thereof, could enable each Company to maintain and possibly grow its distributions, which may include a return of capital,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PFLT’s Common Stock has been quoted on The NASDAQ Global Select Market under the symbol “PFLT” since April 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PNNT’s Common Stock, the closing sales price as a percentage of NAV and quarterly distributions per share on a quarterly basis for the Company’s last two completed fiscal years, as well as the period ended November 10, 2014. On November 10, 2014, the last reported closing sale price for PNNT’s Common Stock was $10.88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Premium /</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Premium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w w:val="96"/>
              </w:rPr>
              <w:t>Closing Sales Price</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5"/>
            <w:vMerge w:val="continue"/>
          </w:tcPr>
          <w:p>
            <w:pPr>
              <w:spacing w:after="0"/>
              <w:rPr>
                <w:sz w:val="5"/>
                <w:szCs w:val="5"/>
                <w:color w:val="auto"/>
              </w:rPr>
            </w:pPr>
          </w:p>
        </w:tc>
        <w:tc>
          <w:tcPr>
            <w:tcW w:w="13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High Sale</w:t>
            </w:r>
          </w:p>
        </w:tc>
        <w:tc>
          <w:tcPr>
            <w:tcW w:w="11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Low Sale</w:t>
            </w: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740" w:type="dxa"/>
            <w:vAlign w:val="bottom"/>
            <w:gridSpan w:val="2"/>
            <w:vMerge w:val="restart"/>
          </w:tcPr>
          <w:p>
            <w:pPr>
              <w:jc w:val="center"/>
              <w:ind w:right="220"/>
              <w:spacing w:after="0" w:line="297" w:lineRule="exact"/>
              <w:rPr>
                <w:sz w:val="20"/>
                <w:szCs w:val="20"/>
                <w:color w:val="auto"/>
              </w:rPr>
            </w:pPr>
            <w:r>
              <w:rPr>
                <w:rFonts w:ascii="Arial" w:cs="Arial" w:eastAsia="Arial" w:hAnsi="Arial"/>
                <w:sz w:val="27"/>
                <w:szCs w:val="27"/>
                <w:b w:val="1"/>
                <w:bCs w:val="1"/>
                <w:color w:val="auto"/>
                <w:w w:val="80"/>
                <w:vertAlign w:val="subscript"/>
              </w:rPr>
              <w:t>NAV</w:t>
            </w:r>
            <w:r>
              <w:rPr>
                <w:rFonts w:ascii="Arial" w:cs="Arial" w:eastAsia="Arial" w:hAnsi="Arial"/>
                <w:sz w:val="11"/>
                <w:szCs w:val="11"/>
                <w:b w:val="1"/>
                <w:bCs w:val="1"/>
                <w:color w:val="auto"/>
                <w:w w:val="80"/>
              </w:rPr>
              <w:t xml:space="preserve"> (1)</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Price to</w:t>
            </w:r>
          </w:p>
        </w:tc>
        <w:tc>
          <w:tcPr>
            <w:tcW w:w="2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62"/>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11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2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First quarter (as of November 10, 2014)</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rPr>
              <w:t>$ N/A</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$10.95</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$10.10</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11.91</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10.91</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11.49</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10.46</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11.65</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10.89</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12.17</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10.83</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11.83</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10.97</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11.83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10.45</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12.18</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11.01</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11.10</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10.07</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 prices less NAV per share, divided by the quarter–end NAV per share.</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lists the high and low closing sales price for PFLT’s Common Stock, the closing sales price as a percentage of NAV and monthly distributions per share on a quarterly basis for the Company’s last two completed fiscal years, as well as the period ended November 10, 2014. On November 10, 2014, the last reported closing sale price for PFLT’s Common Stock was $14.18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Premium /</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Premium /</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132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High Sale</w:t>
            </w:r>
          </w:p>
        </w:tc>
        <w:tc>
          <w:tcPr>
            <w:tcW w:w="11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Low Sale</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22"/>
                <w:szCs w:val="22"/>
                <w:b w:val="1"/>
                <w:bCs w:val="1"/>
                <w:color w:val="auto"/>
                <w:vertAlign w:val="superscript"/>
              </w:rPr>
              <w:t>(1)</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9"/>
              </w:rPr>
              <w:t>Price to</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gridSpan w:val="2"/>
            <w:vMerge w:val="continue"/>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jc w:val="center"/>
              <w:ind w:right="580"/>
              <w:spacing w:after="0" w:line="162" w:lineRule="exact"/>
              <w:rPr>
                <w:sz w:val="20"/>
                <w:szCs w:val="20"/>
                <w:color w:val="auto"/>
              </w:rPr>
            </w:pPr>
            <w:r>
              <w:rPr>
                <w:rFonts w:ascii="Arial" w:cs="Arial" w:eastAsia="Arial" w:hAnsi="Arial"/>
                <w:sz w:val="12"/>
                <w:szCs w:val="12"/>
                <w:b w:val="1"/>
                <w:bCs w:val="1"/>
                <w:color w:val="auto"/>
                <w:w w:val="96"/>
              </w:rPr>
              <w:t xml:space="preserve">NAV </w:t>
            </w:r>
            <w:r>
              <w:rPr>
                <w:rFonts w:ascii="Arial" w:cs="Arial" w:eastAsia="Arial" w:hAnsi="Arial"/>
                <w:sz w:val="18"/>
                <w:szCs w:val="18"/>
                <w:b w:val="1"/>
                <w:bCs w:val="1"/>
                <w:color w:val="auto"/>
                <w:w w:val="96"/>
                <w:vertAlign w:val="superscript"/>
              </w:rPr>
              <w:t>(2)</w:t>
            </w:r>
          </w:p>
        </w:tc>
        <w:tc>
          <w:tcPr>
            <w:tcW w:w="1120" w:type="dxa"/>
            <w:vAlign w:val="bottom"/>
            <w:gridSpan w:val="2"/>
          </w:tcPr>
          <w:p>
            <w:pPr>
              <w:jc w:val="center"/>
              <w:ind w:right="36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First quarter (as of November 10, 2014)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$14.19</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$13.48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14.40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14.39</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13.75</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13.61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14.46</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14.27</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13.51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13.14</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13.01</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13.82</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12.94</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12.35</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 prices less NAV per share, divided by the quarter-end NAV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the Sale of a Company’s Common Stock below NAV</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majority of such Independent Directors, who, in consultation with the underwriter or underwriters of the offering, if any,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NAV and a proportionately greater decrease in a Stockholder’s per share interest in the earnings and assets of the Company and per share voting interest in the Company. Each Board has considered the potential dilutive effect of the issuance of shares at a price below NAV and will consider again such dilutive effect when considering whether to authorize any specific issuance of shares of a Company’s Common Stock below NAV.</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the Stockholder’s voting power will be diluted.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Each Board would expect that the net proceeds to a Company will be equal to the price that investors pay per share, less the amount of any underwriting discounts and commissions, typically approximately 95% of the market price.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 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Examples of Dilutive Effect of the Issuance of Shares Below NAV</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Existing Stockholders of each Company who do not participate, or who are not given the opportunity to participate, in an offering below NAV per share by their Company or who do not buy additional shares of their Company in the secondary market at the same or lower price obtained by the Company in the offering (after any underwriting discounts and commissions) face the greatest potential risks. All Stockholders will experience an immediate decrease (often called dilution) in the NAV of the Company’s shares they hold. Stockholders who do not participate in the offering will also experience a disproportionately greater decrease in their participation in their Company’s earnings and assets and their voting power than Stockholders who do participate in the offering. All Stockholders may also experience a decline in the market price of their shares of the Company’s Common Stock, which often reflects, to some degree, announced or potential increases and decreases in NAV per share. Their decrease could be more pronounced as the size of the offering and level of discounts increase.</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The examples apply equally to Stockholders of both Companies.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1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1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9.47</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9.00</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1,100,000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1,250,000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99,100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w w:val="97"/>
              </w:rPr>
              <w:t>Total investment by stockholder A (assumed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20"/>
              <w:spacing w:after="0"/>
              <w:rPr>
                <w:sz w:val="20"/>
                <w:szCs w:val="20"/>
                <w:color w:val="auto"/>
              </w:rPr>
            </w:pPr>
            <w:r>
              <w:rPr>
                <w:rFonts w:ascii="Arial" w:cs="Arial" w:eastAsia="Arial" w:hAnsi="Arial"/>
                <w:sz w:val="18"/>
                <w:szCs w:val="18"/>
                <w:color w:val="auto"/>
              </w:rPr>
              <w:t>to be $10.00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dilution to stockholder A (total NAV less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9.91</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w w:val="99"/>
              </w:rPr>
              <w:t>Investment per share held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color w:val="auto"/>
                <w:w w:val="92"/>
              </w:rPr>
              <w:t>(assumed to be $10.00 per share on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20"/>
              <w:spacing w:after="0"/>
              <w:rPr>
                <w:sz w:val="20"/>
                <w:szCs w:val="20"/>
                <w:color w:val="auto"/>
              </w:rPr>
            </w:pPr>
            <w:r>
              <w:rPr>
                <w:rFonts w:ascii="Arial" w:cs="Arial" w:eastAsia="Arial" w:hAnsi="Arial"/>
                <w:sz w:val="18"/>
                <w:szCs w:val="18"/>
                <w:color w:val="auto"/>
              </w:rPr>
              <w:t>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(NAV per share less investment per share)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(0.09)</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w w:val="96"/>
              </w:rPr>
              <w:t>Percentage dilution to stockholder A (dilution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20"/>
              <w:spacing w:after="0"/>
              <w:rPr>
                <w:sz w:val="20"/>
                <w:szCs w:val="20"/>
                <w:color w:val="auto"/>
              </w:rPr>
            </w:pPr>
            <w:r>
              <w:rPr>
                <w:rFonts w:ascii="Arial" w:cs="Arial" w:eastAsia="Arial" w:hAnsi="Arial"/>
                <w:sz w:val="18"/>
                <w:szCs w:val="18"/>
                <w:color w:val="auto"/>
                <w:w w:val="94"/>
              </w:rPr>
              <w:t>per share divided by investment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existing Stockholder of either Company who participates in an offering by their Company below NAV per share or who buys additional shares of their Company in the secondary market at the same or lower price as obtained by the Company in the offering (after any underwriting discounts and commissions) will experience the same types of NAV dilution as the nonparticipating Stockholders, albeit at a lower level, to the extent they purchase less than the same percentage of the discounted offering as their interest in the Company’s Common Stock immediately prior to the offering. The level of NAV dilution on an aggregate basis will decrease as the number of shares of the Company’s Common Stock such Stockholders purchase increases. Existing Stockholders of the Company who buy more than such percentage will experience NAV dilution, but will, in contrast to existing Stockholders of that Company who purchase less than their proportionate share of the offering, experience an increase (often called accretion) in NAV per share over their investment per share and will also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3" w:right="23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of the Company’s Common Stock such Stockholder purchases increases. Even a Stockholder who over-participates will, however, be subject to the risk that the Company may make additional discounted offerings in which such Stockholder does not participate, in which case such Stockholder will experience NAV dilution as described above in such subsequent offerings. These Stockholders may also experience a decline in the market price of their shares, which often reflects to some degree announced or potential increases and decreases in NAV per share. Their decrease could be more pronounced as the size of a Company’s offering and level of discount to NAV increases.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25% of shares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examples apply equally to Stockholders of both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4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1,250,000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11,250</w:t>
            </w:r>
          </w:p>
        </w:tc>
        <w:tc>
          <w:tcPr>
            <w:tcW w:w="4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13,750</w:t>
            </w:r>
          </w:p>
        </w:tc>
        <w:tc>
          <w:tcPr>
            <w:tcW w:w="5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130,625</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30.63%</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Total investment by stockholder A (assumed to be $10.00 per share 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109,863</w:t>
            </w:r>
          </w:p>
        </w:tc>
        <w:tc>
          <w:tcPr>
            <w:tcW w:w="4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129,588</w:t>
            </w:r>
          </w:p>
        </w:tc>
        <w:tc>
          <w:tcPr>
            <w:tcW w:w="5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29.59%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(dilution)/accretion to stockholder A (total NAV less total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(2,988)</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5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Investment per share held by stockholder A (assumed to be $10.00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9.77</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9.42</w:t>
            </w:r>
          </w:p>
        </w:tc>
        <w:tc>
          <w:tcPr>
            <w:tcW w:w="5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(0.27)</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Percentage (dilution)/accretion to stockholder A ((dilution)/accretion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New Investors</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in either Company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Investors who are not currently Stockholders of a Company, but who participate in an offering by one of the Companies below NAV and whose investment per share is greater than the resulting NAV per share due to any underwriting discounts and commissions paid by the Company will experience an immediate decrease, albeit small, in the NAV of their shares of the Company’s Common Stock and their NAV per share compared to the price they pay for their shares. Investors who are not currently Stockholders of a Company and who participate in an offering by one of the Companies below NAV per share and whose investment per share is also less than the resulting NAV per share due to any underwriting commissions and discounts paid by the Company being significantly less than the discount per share, will experience an immediate increase in the NAV of their shares of the Company’s Common Stock and their NAV per share compared to the price they pay for their shares. All these investors will experience a disproportionately greater participation in the Company’s earnings and assets and their voting power than the Company’s increase in assets, potential earning power and voting interests. These investors will, however, be subject to the risk that such Company may make additional discounted offerings in which such new Stockholder does not participate, in which case such new Stockholder will experience dilution as described above in such subsequent offerings by that Company.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The examples apply equally to Stockholders of both Companies.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5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0"/>
              </w:rPr>
              <w:t>10% Offering</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22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9.47</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NAV per share</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stockholder A</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stockholder A</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Total investment by stockholder A</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9,470</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19,725</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(dilution)/accretion to stockholder 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NAV less total investment)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stockholder A</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Investment per share held by stockholder A</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9.47</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(Dilution)/accretion per share held by</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 (NAV per share less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per share)</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0.44</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20"/>
                <w:szCs w:val="20"/>
                <w:color w:val="auto"/>
              </w:rPr>
            </w:pPr>
            <w:r>
              <w:rPr>
                <w:rFonts w:ascii="Arial" w:cs="Arial" w:eastAsia="Arial" w:hAnsi="Arial"/>
                <w:sz w:val="18"/>
                <w:szCs w:val="18"/>
                <w:color w:val="auto"/>
              </w:rPr>
              <w:t>Percentage (dilution)/accretion to stockholder</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A ((dilution)/accretion per share divided by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20"/>
              <w:spacing w:after="0"/>
              <w:rPr>
                <w:sz w:val="20"/>
                <w:szCs w:val="20"/>
                <w:color w:val="auto"/>
              </w:rPr>
            </w:pPr>
            <w:r>
              <w:rPr>
                <w:rFonts w:ascii="Arial" w:cs="Arial" w:eastAsia="Arial" w:hAnsi="Arial"/>
                <w:sz w:val="18"/>
                <w:szCs w:val="18"/>
                <w:color w:val="auto"/>
              </w:rPr>
              <w:t>investment per share)</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20.41%</w:t>
            </w: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the dilutive effect of any equity financing on a Company’s NAV, each Board has considered its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3"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exceed the initial dilutive effects that a Company is likely to experience in its NAV due to offerings of shares of Common Stock in accordance with its Proposal.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our view, the secondary market price of our Common Stock is an important gauge of the true economic impact on Stockholders of any equity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reaching its recommendation to Stockholders to approve this Proposal, each Board considered a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possible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63" w:lineRule="exact"/>
        <w:rPr>
          <w:sz w:val="20"/>
          <w:szCs w:val="20"/>
          <w:color w:val="auto"/>
        </w:rPr>
      </w:pPr>
    </w:p>
    <w:p>
      <w:pPr>
        <w:ind w:left="900" w:right="4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7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there appears not to be enough votes for a quorum of a Company or to approve a proposal at the Meeting, the chairman of the Meeting and the person named as proxy for the Companies, Mr. Arthur H. Penn, may vote to adjourn the Meeting with respect to that Company to permit the further solicitation of proxies. Mr. Arthur H. Penn will vote proxies held by him for such adjournment.</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(http://www.sec.gov).</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2016 Joint Annual Meeting of Stockholders in February 2016,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2016 Joint Annual Meeting of Stockholders must be received by the relevant Company between July 13, 2015 and August 12, 2015.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cordially invited to attend our Joint Special Meeting of Stockholders in person. Whether or not you plan to attend the Meeting, you are requested to vote in accordance with the voting instructions in the Notice of Internet Availability of Proxy Materials or proxy card,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line="187" w:lineRule="auto"/>
        <w:rPr>
          <w:sz w:val="20"/>
          <w:szCs w:val="20"/>
          <w:color w:val="auto"/>
        </w:rPr>
      </w:pPr>
      <w:r>
        <w:rPr>
          <w:rFonts w:ascii="Arial" w:cs="Arial" w:eastAsia="Arial" w:hAnsi="Arial"/>
          <w:sz w:val="9"/>
          <w:szCs w:val="9"/>
          <w:color w:val="FFFFFF"/>
        </w:rPr>
        <w:t>Important Notice Regarding the Availability of Proxy Materials for the Shareholder Meeting to Be Held on February 03, 2015</w:t>
      </w:r>
    </w:p>
    <w:p>
      <w:pPr>
        <w:spacing w:after="0" w:line="213"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PENNANTPARKInformationINVESTMENT CORPORATION</w:t>
      </w:r>
    </w:p>
    <w:p>
      <w:pPr>
        <w:ind w:left="500"/>
        <w:spacing w:after="0"/>
        <w:rPr>
          <w:sz w:val="20"/>
          <w:szCs w:val="20"/>
          <w:color w:val="auto"/>
        </w:rPr>
      </w:pPr>
      <w:r>
        <w:rPr>
          <w:rFonts w:ascii="Arial" w:cs="Arial" w:eastAsia="Arial" w:hAnsi="Arial"/>
          <w:sz w:val="3"/>
          <w:szCs w:val="3"/>
          <w:color w:val="FFFFFF"/>
        </w:rPr>
        <w:t>Type: Special Meeting</w:t>
      </w:r>
    </w:p>
    <w:p>
      <w:pPr>
        <w:spacing w:after="0" w:line="194" w:lineRule="auto"/>
        <w:rPr>
          <w:sz w:val="20"/>
          <w:szCs w:val="20"/>
          <w:color w:val="auto"/>
        </w:rPr>
      </w:pPr>
      <w:r>
        <w:rPr>
          <w:rFonts w:ascii="Arial" w:cs="Arial" w:eastAsia="Arial" w:hAnsi="Arial"/>
          <w:sz w:val="5"/>
          <w:szCs w:val="5"/>
          <w:color w:val="FFFFFF"/>
        </w:rPr>
        <w:t>For holders as of: December 01, 2014</w:t>
      </w:r>
    </w:p>
    <w:p>
      <w:pPr>
        <w:spacing w:after="0"/>
        <w:rPr>
          <w:sz w:val="20"/>
          <w:szCs w:val="20"/>
          <w:color w:val="auto"/>
        </w:rPr>
      </w:pPr>
      <w:r>
        <w:rPr>
          <w:rFonts w:ascii="Arial" w:cs="Arial" w:eastAsia="Arial" w:hAnsi="Arial"/>
          <w:sz w:val="3"/>
          <w:szCs w:val="3"/>
          <w:color w:val="FFFFFF"/>
        </w:rPr>
        <w:t>Date: February 03, 2015</w:t>
      </w:r>
    </w:p>
    <w:p>
      <w:pPr>
        <w:spacing w:after="0" w:line="194" w:lineRule="auto"/>
        <w:rPr>
          <w:sz w:val="20"/>
          <w:szCs w:val="20"/>
          <w:color w:val="auto"/>
        </w:rPr>
      </w:pPr>
      <w:r>
        <w:rPr>
          <w:rFonts w:ascii="Arial" w:cs="Arial" w:eastAsia="Arial" w:hAnsi="Arial"/>
          <w:sz w:val="5"/>
          <w:szCs w:val="5"/>
          <w:color w:val="FFFFFF"/>
        </w:rPr>
        <w:t>Time: 2:00 PM EST</w:t>
      </w:r>
    </w:p>
    <w:p>
      <w:pPr>
        <w:spacing w:after="0"/>
        <w:rPr>
          <w:sz w:val="20"/>
          <w:szCs w:val="20"/>
          <w:color w:val="auto"/>
        </w:rPr>
      </w:pPr>
      <w:r>
        <w:rPr>
          <w:rFonts w:ascii="Arial" w:cs="Arial" w:eastAsia="Arial" w:hAnsi="Arial"/>
          <w:sz w:val="3"/>
          <w:szCs w:val="3"/>
          <w:color w:val="FFFFFF"/>
        </w:rPr>
        <w:t>Location: Offices of Dechert LLP</w:t>
      </w:r>
    </w:p>
    <w:p>
      <w:pPr>
        <w:spacing w:after="0" w:line="194" w:lineRule="auto"/>
        <w:rPr>
          <w:sz w:val="20"/>
          <w:szCs w:val="20"/>
          <w:color w:val="auto"/>
        </w:rPr>
      </w:pPr>
      <w:r>
        <w:rPr>
          <w:rFonts w:ascii="Arial" w:cs="Arial" w:eastAsia="Arial" w:hAnsi="Arial"/>
          <w:sz w:val="5"/>
          <w:szCs w:val="5"/>
          <w:color w:val="FFFFFF"/>
        </w:rPr>
        <w:t>1095 Avenue of the Americas</w:t>
      </w:r>
    </w:p>
    <w:p>
      <w:pPr>
        <w:spacing w:after="0"/>
        <w:rPr>
          <w:sz w:val="20"/>
          <w:szCs w:val="20"/>
          <w:color w:val="auto"/>
        </w:rPr>
      </w:pPr>
      <w:r>
        <w:rPr>
          <w:rFonts w:ascii="Arial" w:cs="Arial" w:eastAsia="Arial" w:hAnsi="Arial"/>
          <w:sz w:val="3"/>
          <w:szCs w:val="3"/>
          <w:color w:val="FFFFFF"/>
        </w:rPr>
        <w:t>New York, NY 10036</w:t>
      </w:r>
    </w:p>
    <w:p>
      <w:pPr>
        <w:spacing w:after="0" w:line="194" w:lineRule="auto"/>
        <w:rPr>
          <w:sz w:val="20"/>
          <w:szCs w:val="20"/>
          <w:color w:val="auto"/>
        </w:rPr>
      </w:pPr>
      <w:r>
        <w:rPr>
          <w:rFonts w:ascii="Arial" w:cs="Arial" w:eastAsia="Arial" w:hAnsi="Arial"/>
          <w:sz w:val="5"/>
          <w:szCs w:val="5"/>
          <w:color w:val="FFFFFF"/>
        </w:rPr>
        <w:t>You are receiving this communication because you hold shares in the above named company.</w:t>
      </w:r>
    </w:p>
    <w:p>
      <w:pPr>
        <w:spacing w:after="0" w:line="211" w:lineRule="auto"/>
        <w:rPr>
          <w:sz w:val="20"/>
          <w:szCs w:val="20"/>
          <w:color w:val="auto"/>
        </w:rPr>
      </w:pPr>
      <w:r>
        <w:rPr>
          <w:rFonts w:ascii="Arial" w:cs="Arial" w:eastAsia="Arial" w:hAnsi="Arial"/>
          <w:sz w:val="2"/>
          <w:szCs w:val="2"/>
          <w:color w:val="FFFFFF"/>
        </w:rPr>
        <w:t>This is not</w:t>
      </w:r>
      <w:r>
        <w:rPr>
          <w:rFonts w:ascii="Arial" w:cs="Arial" w:eastAsia="Arial" w:hAnsi="Arial"/>
          <w:sz w:val="4"/>
          <w:szCs w:val="4"/>
          <w:color w:val="FFFFFF"/>
          <w:vertAlign w:val="subscript"/>
        </w:rPr>
        <w:t>materials</w:t>
      </w:r>
      <w:r>
        <w:rPr>
          <w:rFonts w:ascii="Arial" w:cs="Arial" w:eastAsia="Arial" w:hAnsi="Arial"/>
          <w:sz w:val="2"/>
          <w:szCs w:val="2"/>
          <w:color w:val="FFFFFF"/>
        </w:rPr>
        <w:t>ballot. You cannot use this notice to vote these shares. This communication presents only an overview of the more complete proxy materials that are available to you on the Internet. You may view</w:t>
      </w:r>
    </w:p>
    <w:p>
      <w:pPr>
        <w:spacing w:after="0" w:line="212"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1" w:lineRule="auto"/>
        <w:rPr>
          <w:sz w:val="20"/>
          <w:szCs w:val="20"/>
          <w:color w:val="auto"/>
        </w:rPr>
      </w:pPr>
      <w:r>
        <w:rPr>
          <w:rFonts w:ascii="Arial" w:cs="Arial" w:eastAsia="Arial" w:hAnsi="Arial"/>
          <w:sz w:val="4"/>
          <w:szCs w:val="4"/>
          <w:color w:val="FFFFFF"/>
          <w:vertAlign w:val="superscript"/>
        </w:rPr>
        <w:t>See</w:t>
      </w:r>
    </w:p>
    <w:p>
      <w:pPr>
        <w:spacing w:after="0"/>
        <w:rPr>
          <w:sz w:val="20"/>
          <w:szCs w:val="20"/>
          <w:color w:val="auto"/>
        </w:rPr>
      </w:pPr>
      <w:r>
        <w:rPr>
          <w:rFonts w:ascii="Arial" w:cs="Arial" w:eastAsia="Arial" w:hAnsi="Arial"/>
          <w:sz w:val="3"/>
          <w:szCs w:val="3"/>
          <w:color w:val="FFFFFF"/>
        </w:rPr>
        <w:t>W encouragethereverseyousidetoof this noticeandreviewtoobtainall proxyofthe materials and voting instructions.containedin the proxy materials before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0000221410_1 R1.0.0.51160</w:t>
      </w:r>
    </w:p>
    <w:p>
      <w:pPr>
        <w:sectPr>
          <w:pgSz w:w="11900" w:h="16838" w:orient="portrait"/>
          <w:cols w:equalWidth="0" w:num="1">
            <w:col w:w="11280"/>
          </w:cols>
          <w:pgMar w:left="240" w:top="1440"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1. Special Meeting Proxy Statement</w:t>
            </w: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xxxx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10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.com</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10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information that is printed in the box marked by the arrow xxxx xxxx xxxx xxxx (located on the following page) in the subject line.</w:t>
            </w: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January 20, 2015 to facilitate</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To Vote</w:t>
            </w: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20" w:type="dxa"/>
            <w:vAlign w:val="bottom"/>
            <w:gridSpan w:val="2"/>
          </w:tcPr>
          <w:p>
            <w:pPr>
              <w:ind w:left="180"/>
              <w:spacing w:after="0"/>
              <w:rPr>
                <w:sz w:val="20"/>
                <w:szCs w:val="20"/>
                <w:color w:val="auto"/>
              </w:rPr>
            </w:pPr>
            <w:r>
              <w:rPr>
                <w:rFonts w:ascii="Arial" w:cs="Arial" w:eastAsia="Arial" w:hAnsi="Arial"/>
                <w:sz w:val="3"/>
                <w:szCs w:val="3"/>
                <w:color w:val="FFFFFF"/>
              </w:rPr>
              <w:t>shareholder meetings have attend</w:t>
            </w:r>
          </w:p>
        </w:tc>
        <w:tc>
          <w:tcPr>
            <w:tcW w:w="5740" w:type="dxa"/>
            <w:vAlign w:val="bottom"/>
          </w:tcPr>
          <w:p>
            <w:pPr>
              <w:ind w:left="14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0"/>
        </w:trPr>
        <w:tc>
          <w:tcPr>
            <w:tcW w:w="4720" w:type="dxa"/>
            <w:vAlign w:val="bottom"/>
            <w:gridSpan w:val="5"/>
          </w:tcPr>
          <w:p>
            <w:pPr>
              <w:spacing w:after="0" w:line="80" w:lineRule="exact"/>
              <w:rPr>
                <w:sz w:val="20"/>
                <w:szCs w:val="20"/>
                <w:color w:val="auto"/>
              </w:rPr>
            </w:pPr>
            <w:r>
              <w:rPr>
                <w:rFonts w:ascii="Arial" w:cs="Arial" w:eastAsia="Arial" w:hAnsi="Arial"/>
                <w:sz w:val="9"/>
                <w:szCs w:val="9"/>
                <w:color w:val="FFFFFF"/>
              </w:rPr>
              <w:t>holding the meeting. Please check the meeting materials forMany special requirements</w:t>
            </w:r>
          </w:p>
        </w:tc>
        <w:tc>
          <w:tcPr>
            <w:tcW w:w="64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tabs>
          <w:tab w:leader="none" w:pos="4340" w:val="left"/>
        </w:tabs>
        <w:rPr>
          <w:sz w:val="20"/>
          <w:szCs w:val="20"/>
          <w:color w:val="auto"/>
        </w:rPr>
      </w:pPr>
      <w:r>
        <w:rPr>
          <w:rFonts w:ascii="Arial" w:cs="Arial" w:eastAsia="Arial" w:hAnsi="Arial"/>
          <w:sz w:val="1"/>
          <w:szCs w:val="1"/>
          <w:color w:val="FFFFFF"/>
          <w:vertAlign w:val="superscript"/>
        </w:rPr>
        <w:t>Vote By</w:t>
      </w:r>
      <w:r>
        <w:rPr>
          <w:sz w:val="20"/>
          <w:szCs w:val="20"/>
          <w:color w:val="auto"/>
        </w:rPr>
        <w:tab/>
      </w:r>
      <w:r>
        <w:rPr>
          <w:rFonts w:ascii="Arial" w:cs="Arial" w:eastAsia="Arial" w:hAnsi="Arial"/>
          <w:sz w:val="1"/>
          <w:szCs w:val="1"/>
          <w:color w:val="FFFFFF"/>
        </w:rPr>
        <w:t>information</w:t>
      </w:r>
    </w:p>
    <w:p>
      <w:pPr>
        <w:ind w:left="480"/>
        <w:spacing w:after="0"/>
        <w:rPr>
          <w:sz w:val="20"/>
          <w:szCs w:val="20"/>
          <w:color w:val="auto"/>
        </w:rPr>
      </w:pPr>
      <w:r>
        <w:rPr>
          <w:rFonts w:ascii="Arial" w:cs="Arial" w:eastAsia="Arial" w:hAnsi="Arial"/>
          <w:sz w:val="3"/>
          <w:szCs w:val="3"/>
          <w:color w:val="FFFFFF"/>
        </w:rPr>
        <w:t>Mail:Internet:YouTocanvotevotenowbybymailInternet,byrequestinggotowww.proxyvote.com.apapercopyofthe materials,Havethe which will includethatisprintedavotingininstructiontheboxmarkedform. by the arrow xxxx xxxx xxxx xxxx available and follow the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0000221410_2 R1.0.0.51160</w:t>
      </w:r>
    </w:p>
    <w:p>
      <w:pPr>
        <w:sectPr>
          <w:pgSz w:w="11900" w:h="16838" w:orient="portrait"/>
          <w:cols w:equalWidth="0" w:num="1">
            <w:col w:w="11180"/>
          </w:cols>
          <w:pgMar w:left="240" w:top="1440" w:right="4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211"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 xml:space="preserve"> Board of Directors recommends you vote FOR the following proposal(s):</w:t>
      </w:r>
    </w:p>
    <w:p>
      <w:pPr>
        <w:ind w:left="480" w:hanging="476"/>
        <w:spacing w:after="0" w:line="187" w:lineRule="auto"/>
        <w:rPr>
          <w:sz w:val="20"/>
          <w:szCs w:val="20"/>
          <w:color w:val="auto"/>
        </w:rPr>
      </w:pPr>
      <w:r>
        <w:rPr>
          <w:rFonts w:ascii="Arial" w:cs="Arial" w:eastAsia="Arial" w:hAnsi="Arial"/>
          <w:sz w:val="9"/>
          <w:szCs w:val="9"/>
          <w:color w:val="FFFFFF"/>
          <w:vertAlign w:val="subscript"/>
        </w:rPr>
        <w:t>months)</w:t>
      </w:r>
      <w:r>
        <w:rPr>
          <w:rFonts w:ascii="Arial" w:cs="Arial" w:eastAsia="Arial" w:hAnsi="Arial"/>
          <w:sz w:val="7"/>
          <w:szCs w:val="7"/>
          <w:color w:val="FFFFFF"/>
        </w:rPr>
        <w:t>1consider and vote upon a proposal to authorize flexibility for the Company, with the approval of the Company’s Board of Directors, to sell shares of the Company’s common stock (during the next 12 at a price below the then-current net asset value per share, subject to certain limitations described in the joint proxy statement.</w:t>
      </w:r>
    </w:p>
    <w:p>
      <w:pPr>
        <w:spacing w:after="0"/>
        <w:rPr>
          <w:sz w:val="20"/>
          <w:szCs w:val="20"/>
          <w:color w:val="auto"/>
        </w:rPr>
      </w:pPr>
      <w:r>
        <w:rPr>
          <w:rFonts w:ascii="Arial" w:cs="Arial" w:eastAsia="Arial" w:hAnsi="Arial"/>
          <w:sz w:val="14"/>
          <w:szCs w:val="14"/>
          <w:color w:val="FFFFFF"/>
        </w:rPr>
        <w:t>0000221410_3 R1.0.0.51160</w:t>
      </w:r>
    </w:p>
    <w:p>
      <w:pPr>
        <w:sectPr>
          <w:pgSz w:w="11900" w:h="16838" w:orient="portrait"/>
          <w:cols w:equalWidth="0" w:num="1">
            <w:col w:w="11020"/>
          </w:cols>
          <w:pgMar w:left="240" w:top="1440" w:right="6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7"/>
          <w:szCs w:val="7"/>
          <w:color w:val="FFFFFF"/>
        </w:rPr>
        <w:t>0000221410VotingInstructions_4R1.0.0.51160</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color w:val="FFFFFF"/>
              </w:rPr>
              <w:t>590 MADISON AVENUE</w:t>
            </w:r>
          </w:p>
        </w:tc>
        <w:tc>
          <w:tcPr>
            <w:tcW w:w="9780" w:type="dxa"/>
            <w:vAlign w:val="bottom"/>
            <w:gridSpan w:val="4"/>
          </w:tcPr>
          <w:p>
            <w:pPr>
              <w:ind w:left="180"/>
              <w:spacing w:after="0"/>
              <w:rPr>
                <w:sz w:val="20"/>
                <w:szCs w:val="20"/>
                <w:color w:val="auto"/>
              </w:rPr>
            </w:pPr>
            <w:r>
              <w:rPr>
                <w:rFonts w:ascii="Arial" w:cs="Arial" w:eastAsia="Arial" w:hAnsi="Arial"/>
                <w:sz w:val="14"/>
                <w:szCs w:val="14"/>
                <w:color w:val="FFFFFF"/>
                <w:w w:val="91"/>
              </w:rPr>
              <w:t>FLOOR NEW YORK, NY 10022 VOTE BY INTERNET - www.proxyvote.com Use the Internet to transmit your voting instructions and for electronic delivery of information</w:t>
            </w:r>
          </w:p>
        </w:tc>
      </w:tr>
      <w:tr>
        <w:trPr>
          <w:trHeight w:val="41"/>
        </w:trPr>
        <w:tc>
          <w:tcPr>
            <w:tcW w:w="8980" w:type="dxa"/>
            <w:vAlign w:val="bottom"/>
            <w:gridSpan w:val="4"/>
          </w:tcPr>
          <w:p>
            <w:pPr>
              <w:spacing w:after="0"/>
              <w:rPr>
                <w:sz w:val="20"/>
                <w:szCs w:val="20"/>
                <w:color w:val="auto"/>
              </w:rPr>
            </w:pPr>
            <w:r>
              <w:rPr>
                <w:rFonts w:ascii="Arial" w:cs="Arial" w:eastAsia="Arial" w:hAnsi="Arial"/>
                <w:sz w:val="3"/>
                <w:szCs w:val="3"/>
                <w:color w:val="FFFFFF"/>
              </w:rPr>
              <w:t>up until 11:59 P.M. Eastern15THime the day before the cut-off date or meeting date. Have your proxy card in hand when you access the web site and follow the</w:t>
            </w:r>
          </w:p>
        </w:tc>
        <w:tc>
          <w:tcPr>
            <w:tcW w:w="2440" w:type="dxa"/>
            <w:vAlign w:val="bottom"/>
          </w:tcPr>
          <w:p>
            <w:pPr>
              <w:jc w:val="center"/>
              <w:ind w:right="9"/>
              <w:spacing w:after="0"/>
              <w:rPr>
                <w:sz w:val="20"/>
                <w:szCs w:val="20"/>
                <w:color w:val="auto"/>
              </w:rPr>
            </w:pPr>
            <w:r>
              <w:rPr>
                <w:rFonts w:ascii="Arial" w:cs="Arial" w:eastAsia="Arial" w:hAnsi="Arial"/>
                <w:sz w:val="3"/>
                <w:szCs w:val="3"/>
                <w:color w:val="FFFFFF"/>
              </w:rPr>
              <w:t>to obtain your records and to create an</w:t>
            </w:r>
          </w:p>
        </w:tc>
      </w:tr>
      <w:tr>
        <w:trPr>
          <w:trHeight w:val="41"/>
        </w:trPr>
        <w:tc>
          <w:tcPr>
            <w:tcW w:w="6000" w:type="dxa"/>
            <w:vAlign w:val="bottom"/>
            <w:gridSpan w:val="3"/>
          </w:tcPr>
          <w:p>
            <w:pPr>
              <w:spacing w:after="0"/>
              <w:rPr>
                <w:sz w:val="20"/>
                <w:szCs w:val="20"/>
                <w:color w:val="auto"/>
              </w:rPr>
            </w:pPr>
            <w:r>
              <w:rPr>
                <w:rFonts w:ascii="Arial" w:cs="Arial" w:eastAsia="Arial" w:hAnsi="Arial"/>
                <w:sz w:val="3"/>
                <w:szCs w:val="3"/>
                <w:color w:val="FFFFFF"/>
              </w:rPr>
              <w:t>electronic voting instruction form. ELECTRONIC DELIVERY OF FUTURE PROXY MATERIALS If you</w:t>
            </w:r>
          </w:p>
        </w:tc>
        <w:tc>
          <w:tcPr>
            <w:tcW w:w="5420" w:type="dxa"/>
            <w:vAlign w:val="bottom"/>
            <w:gridSpan w:val="2"/>
          </w:tcPr>
          <w:p>
            <w:pPr>
              <w:ind w:left="260"/>
              <w:spacing w:after="0"/>
              <w:rPr>
                <w:sz w:val="20"/>
                <w:szCs w:val="20"/>
                <w:color w:val="auto"/>
              </w:rPr>
            </w:pPr>
            <w:r>
              <w:rPr>
                <w:rFonts w:ascii="Arial" w:cs="Arial" w:eastAsia="Arial" w:hAnsi="Arial"/>
                <w:sz w:val="3"/>
                <w:szCs w:val="3"/>
                <w:color w:val="FFFFFF"/>
              </w:rPr>
              <w:t>like to reduce the costs incurred by our companyinstructionsmailing proxy materials, you can consent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to receiving all future proxy statements, proxy cards and annual reports electronically via  -mail or the Internet.would sign up for electronic delivery, please follow the instructions above to vote using the Internet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and, when prompted, indicate that you agree to receive   access proxy materials electronically in future years. VOTE BY PHONE - 1-800-690-6903 Use any touch-tone telephone to transmit your voting</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instructions up until 11:59 P.M. Eastern Time the day before the cut-off date or meeting date. Have your proxy card in hand when you call and then follow the instructions. VOTE BY MAIL Mark, sign and date</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your proxy card and return it in the postage-paid envelope we have provided or return it to Vote Processing, c/o Broadridge, 51 Mercedes Way, Edgewood, NY 11717. TO VOTE, MARK BLOCKS BELOW IN</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BLUE OR BLACK INK AS FOLLOWS: KEEP THIS PORTION FOR YOUR RECORDS DETACH AND RETURN THIS PORTION ONLY THIS PROXY CARD IS VALID ONLY WHEN SIGNED AND</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DATED. The Board of Directors recommends you vote FOR the following proposal: For Against Abstain 1 To consider and vote upon a proposal to authorize flexibility for the Company, with the approval of</w:t>
            </w:r>
          </w:p>
        </w:tc>
      </w:tr>
      <w:tr>
        <w:trPr>
          <w:trHeight w:val="41"/>
        </w:trPr>
        <w:tc>
          <w:tcPr>
            <w:tcW w:w="6000" w:type="dxa"/>
            <w:vAlign w:val="bottom"/>
            <w:gridSpan w:val="3"/>
          </w:tcPr>
          <w:p>
            <w:pPr>
              <w:spacing w:after="0"/>
              <w:rPr>
                <w:sz w:val="20"/>
                <w:szCs w:val="20"/>
                <w:color w:val="auto"/>
              </w:rPr>
            </w:pPr>
            <w:r>
              <w:rPr>
                <w:rFonts w:ascii="Arial" w:cs="Arial" w:eastAsia="Arial" w:hAnsi="Arial"/>
                <w:sz w:val="3"/>
                <w:szCs w:val="3"/>
                <w:color w:val="FFFFFF"/>
              </w:rPr>
              <w:t>Company’s Board of Directors, to sell shares of the Company’s common stock (during the next 12 months) at</w:t>
            </w:r>
          </w:p>
        </w:tc>
        <w:tc>
          <w:tcPr>
            <w:tcW w:w="5420" w:type="dxa"/>
            <w:vAlign w:val="bottom"/>
            <w:gridSpan w:val="2"/>
          </w:tcPr>
          <w:p>
            <w:pPr>
              <w:ind w:left="60"/>
              <w:spacing w:after="0"/>
              <w:rPr>
                <w:sz w:val="20"/>
                <w:szCs w:val="20"/>
                <w:color w:val="auto"/>
              </w:rPr>
            </w:pPr>
            <w:r>
              <w:rPr>
                <w:rFonts w:ascii="Arial" w:cs="Arial" w:eastAsia="Arial" w:hAnsi="Arial"/>
                <w:sz w:val="3"/>
                <w:szCs w:val="3"/>
                <w:color w:val="FFFFFF"/>
              </w:rPr>
              <w:t>price below the then-current net asset value per share, subject to certain limitations described in the</w:t>
            </w:r>
          </w:p>
        </w:tc>
      </w:tr>
      <w:tr>
        <w:trPr>
          <w:trHeight w:val="0"/>
        </w:trPr>
        <w:tc>
          <w:tcPr>
            <w:tcW w:w="2380" w:type="dxa"/>
            <w:vAlign w:val="bottom"/>
            <w:gridSpan w:val="2"/>
          </w:tcPr>
          <w:p>
            <w:pPr>
              <w:spacing w:after="0" w:line="80" w:lineRule="exact"/>
              <w:rPr>
                <w:sz w:val="20"/>
                <w:szCs w:val="20"/>
                <w:color w:val="auto"/>
              </w:rPr>
            </w:pPr>
            <w:r>
              <w:rPr>
                <w:rFonts w:ascii="Arial" w:cs="Arial" w:eastAsia="Arial" w:hAnsi="Arial"/>
                <w:sz w:val="9"/>
                <w:szCs w:val="9"/>
                <w:color w:val="FFFFFF"/>
              </w:rPr>
              <w:t>joint proxy statement. For address</w:t>
            </w:r>
          </w:p>
        </w:tc>
        <w:tc>
          <w:tcPr>
            <w:tcW w:w="6600" w:type="dxa"/>
            <w:vAlign w:val="bottom"/>
            <w:gridSpan w:val="2"/>
          </w:tcPr>
          <w:p>
            <w:pPr>
              <w:ind w:left="540"/>
              <w:spacing w:after="0" w:line="80" w:lineRule="exact"/>
              <w:rPr>
                <w:sz w:val="20"/>
                <w:szCs w:val="20"/>
                <w:color w:val="auto"/>
              </w:rPr>
            </w:pPr>
            <w:r>
              <w:rPr>
                <w:rFonts w:ascii="Arial" w:cs="Arial" w:eastAsia="Arial" w:hAnsi="Arial"/>
                <w:sz w:val="9"/>
                <w:szCs w:val="9"/>
                <w:color w:val="FFFFFF"/>
              </w:rPr>
              <w:t>mark here. (see reverse for instructions) Yes No Please indicate if you plan to attend this meeting Please sign</w:t>
            </w:r>
          </w:p>
        </w:tc>
        <w:tc>
          <w:tcPr>
            <w:tcW w:w="2440" w:type="dxa"/>
            <w:vAlign w:val="bottom"/>
          </w:tcPr>
          <w:p>
            <w:pPr>
              <w:jc w:val="center"/>
              <w:ind w:right="9"/>
              <w:spacing w:after="0" w:line="80" w:lineRule="exact"/>
              <w:rPr>
                <w:sz w:val="20"/>
                <w:szCs w:val="20"/>
                <w:color w:val="auto"/>
              </w:rPr>
            </w:pPr>
            <w:r>
              <w:rPr>
                <w:rFonts w:ascii="Arial" w:cs="Arial" w:eastAsia="Arial" w:hAnsi="Arial"/>
                <w:sz w:val="9"/>
                <w:szCs w:val="9"/>
                <w:color w:val="FFFFFF"/>
              </w:rPr>
              <w:t>as your name(s) appear(s) hereon.</w:t>
            </w:r>
          </w:p>
        </w:tc>
      </w:tr>
    </w:tbl>
    <w:p>
      <w:pPr>
        <w:ind w:right="160"/>
        <w:spacing w:after="0" w:line="187" w:lineRule="auto"/>
        <w:rPr>
          <w:sz w:val="20"/>
          <w:szCs w:val="20"/>
          <w:color w:val="auto"/>
        </w:rPr>
      </w:pPr>
      <w:r>
        <w:rPr>
          <w:rFonts w:ascii="Arial" w:cs="Arial" w:eastAsia="Arial" w:hAnsi="Arial"/>
          <w:sz w:val="9"/>
          <w:szCs w:val="9"/>
          <w:color w:val="FFFFFF"/>
        </w:rPr>
        <w:t>When signing as attorney, executorchange/comments,administratoror other fiduciary, please give full title as such. Joint owners should each sign personally. All holders must sign. Ifexactlycorporation or partnership, please sign in full corporate or partnership name, by authorized officer. 0000222040_1 R1.0.0.51160 Signature [PLEASE SIGN WITHIN BOX] Date Signature (Joint Owners) Date</w:t>
      </w:r>
    </w:p>
    <w:p>
      <w:pPr>
        <w:sectPr>
          <w:pgSz w:w="11900" w:h="16838" w:orient="portrait"/>
          <w:cols w:equalWidth="0" w:num="1">
            <w:col w:w="11420"/>
          </w:cols>
          <w:pgMar w:left="240" w:top="1440"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rPr>
          <w:sz w:val="20"/>
          <w:szCs w:val="20"/>
          <w:color w:val="auto"/>
        </w:rPr>
      </w:pPr>
      <w:r>
        <w:rPr>
          <w:rFonts w:ascii="Arial" w:cs="Arial" w:eastAsia="Arial" w:hAnsi="Arial"/>
          <w:sz w:val="3"/>
          <w:szCs w:val="3"/>
          <w:color w:val="FFFFFF"/>
        </w:rPr>
        <w:t>Important Notice Regarding the Availability of Proxy Materials for the Special Meeting: The Special Meeting Proxy Statement is/are available at www.proxyvote.com . PENNANTPARK INVESTMENT CORPORATION Special Meeting of Stockholders February 3, 2015 2:00 PM This proxy is solicited by the Board of Directors The undersigned hereby appoints Arthur H. Penn or his substitute to actasattorneyandproxyfortheundersignedvoteallofthesharesofCommonStockofPennantParkInvestmentCorporation(the“Company”)whichtheundersignedisentitledtovotetheSpecialMeetingof</w:t>
      </w:r>
    </w:p>
    <w:p>
      <w:pPr>
        <w:spacing w:after="0" w:line="182" w:lineRule="auto"/>
        <w:rPr>
          <w:sz w:val="20"/>
          <w:szCs w:val="20"/>
          <w:color w:val="auto"/>
        </w:rPr>
      </w:pPr>
      <w:r>
        <w:rPr>
          <w:rFonts w:ascii="Arial" w:cs="Arial" w:eastAsia="Arial" w:hAnsi="Arial"/>
          <w:sz w:val="10"/>
          <w:szCs w:val="10"/>
          <w:color w:val="FFFFFF"/>
        </w:rPr>
        <w:t>Stockholders of the Company to be held at the offices of Dechert</w:t>
      </w:r>
      <w:r>
        <w:rPr>
          <w:rFonts w:ascii="Arial" w:cs="Arial" w:eastAsia="Arial" w:hAnsi="Arial"/>
          <w:sz w:val="16"/>
          <w:szCs w:val="16"/>
          <w:color w:val="FFFFFF"/>
          <w:vertAlign w:val="subscript"/>
        </w:rPr>
        <w:t>executed,</w:t>
      </w:r>
      <w:r>
        <w:rPr>
          <w:rFonts w:ascii="Arial" w:cs="Arial" w:eastAsia="Arial" w:hAnsi="Arial"/>
          <w:sz w:val="10"/>
          <w:szCs w:val="10"/>
          <w:color w:val="FFFFFF"/>
        </w:rPr>
        <w:t>LLPlocated at 1095 Avenue of the Americas, New York, New York, on February 3, 2015 at 2:00 p.m., Eastern Time, designatedandalladjournments</w:t>
      </w:r>
    </w:p>
    <w:p>
      <w:pPr>
        <w:spacing w:after="0" w:line="228" w:lineRule="auto"/>
        <w:rPr>
          <w:sz w:val="20"/>
          <w:szCs w:val="20"/>
          <w:color w:val="auto"/>
        </w:rPr>
      </w:pPr>
      <w:r>
        <w:rPr>
          <w:rFonts w:ascii="Arial" w:cs="Arial" w:eastAsia="Arial" w:hAnsi="Arial"/>
          <w:sz w:val="11"/>
          <w:szCs w:val="11"/>
          <w:color w:val="FFFFFF"/>
        </w:rPr>
        <w:t>thereof, as indicated on this proxy. This proxy, when properly will be voted in the manner directed herein. If no such direction is made, this proxy will be voted in accordance with the Board of Director recommendations. Address change/comments: (If you noted any Address Changes and/or Comments above, please mark corresponding box on the reverse side.) Continued and to be signed on reverse side 0000222040_2 R1.0.0.51160</w:t>
      </w:r>
    </w:p>
    <w:p>
      <w:pPr>
        <w:sectPr>
          <w:pgSz w:w="11900" w:h="16838" w:orient="portrait"/>
          <w:cols w:equalWidth="0" w:num="1">
            <w:col w:w="11400"/>
          </w:cols>
          <w:pgMar w:left="240" w:top="1440" w:right="2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FFFFFF"/>
        </w:rPr>
        <w:t>PennantPark</w:t>
      </w:r>
    </w:p>
    <w:p>
      <w:pPr>
        <w:spacing w:after="0" w:line="187" w:lineRule="auto"/>
        <w:rPr>
          <w:sz w:val="20"/>
          <w:szCs w:val="20"/>
          <w:color w:val="auto"/>
        </w:rPr>
      </w:pPr>
      <w:r>
        <w:rPr>
          <w:rFonts w:ascii="Arial" w:cs="Arial" w:eastAsia="Arial" w:hAnsi="Arial"/>
          <w:sz w:val="9"/>
          <w:szCs w:val="9"/>
          <w:color w:val="FFFFFF"/>
        </w:rPr>
        <w:t>590FloatingMADISONRateCapitalAVENUELtd. 15TH FLOOR</w:t>
      </w:r>
    </w:p>
    <w:p>
      <w:pPr>
        <w:spacing w:after="0" w:line="188" w:lineRule="auto"/>
        <w:rPr>
          <w:sz w:val="20"/>
          <w:szCs w:val="20"/>
          <w:color w:val="auto"/>
        </w:rPr>
      </w:pPr>
      <w:r>
        <w:rPr>
          <w:rFonts w:ascii="Arial" w:cs="Arial" w:eastAsia="Arial" w:hAnsi="Arial"/>
          <w:sz w:val="9"/>
          <w:szCs w:val="9"/>
          <w:color w:val="FFFFFF"/>
        </w:rPr>
        <w:t>VOTENEWYORK,BYINTERNETNY10022- www.proxyvote.com</w:t>
      </w:r>
    </w:p>
    <w:p>
      <w:pPr>
        <w:ind w:right="220"/>
        <w:spacing w:after="0" w:line="181" w:lineRule="auto"/>
        <w:rPr>
          <w:sz w:val="20"/>
          <w:szCs w:val="20"/>
          <w:color w:val="auto"/>
        </w:rPr>
      </w:pPr>
      <w:r>
        <w:rPr>
          <w:rFonts w:ascii="Arial" w:cs="Arial" w:eastAsia="Arial" w:hAnsi="Arial"/>
          <w:sz w:val="7"/>
          <w:szCs w:val="7"/>
          <w:color w:val="FFFFFF"/>
        </w:rPr>
        <w:t>whenUsetheyouInternetaccesstothetransmitwebsiteyourandvotingfollowinstructionstheinstructionsand forto obtainelectronicyourdeliveryrecords ofandinformationtocreateanupelectronicuntil11:59votingP.M. instructionEasternTimeform.the day before the cut-off date or meeting date. Have your proxy card in hand ELECTRONIC DELIVERY OF FUTURE PROXY MATERIALS</w:t>
      </w:r>
    </w:p>
    <w:p>
      <w:pPr>
        <w:spacing w:after="0" w:line="181" w:lineRule="auto"/>
        <w:rPr>
          <w:sz w:val="20"/>
          <w:szCs w:val="20"/>
          <w:color w:val="auto"/>
        </w:rPr>
      </w:pPr>
      <w:r>
        <w:rPr>
          <w:rFonts w:ascii="Arial" w:cs="Arial" w:eastAsia="Arial" w:hAnsi="Arial"/>
          <w:sz w:val="7"/>
          <w:szCs w:val="7"/>
          <w:color w:val="FFFFFF"/>
        </w:rPr>
        <w:t>Internetfyouwould.Tsignlikeupto forreduceelectronicthecostsdelivery,incurredpleasebyourfollowcompanytheinstructionsmailig aboveprxy tomaterials,voteusingyouthecanInternetconsentand,toreceivingwhenprompted,allfutureindicateproxy thatstatements,youagreeproxytoreceivecardsandor accessannualproxyreportsmaterialselctronicallyelectronicallyvia-mailin futureorthe years.</w:t>
      </w:r>
    </w:p>
    <w:p>
      <w:pPr>
        <w:ind w:right="80"/>
        <w:spacing w:after="0"/>
        <w:rPr>
          <w:sz w:val="20"/>
          <w:szCs w:val="20"/>
          <w:color w:val="auto"/>
        </w:rPr>
      </w:pPr>
      <w:r>
        <w:rPr>
          <w:rFonts w:ascii="Arial" w:cs="Arial" w:eastAsia="Arial" w:hAnsi="Arial"/>
          <w:sz w:val="10"/>
          <w:szCs w:val="10"/>
          <w:color w:val="FFFFFF"/>
        </w:rPr>
        <w:t>UseVOTEanyBYtouchPHONE-tone telephone-1-800-690to-transmit6903 your voting instructions up until 11:59 P.M. Eastern Time the day before the cut-off date or meeting date. Have your proxy card in hand when you call and then follow the instructions.</w:t>
      </w:r>
    </w:p>
    <w:p>
      <w:pPr>
        <w:spacing w:after="0" w:line="182" w:lineRule="auto"/>
        <w:rPr>
          <w:sz w:val="20"/>
          <w:szCs w:val="20"/>
          <w:color w:val="auto"/>
        </w:rPr>
      </w:pPr>
      <w:r>
        <w:rPr>
          <w:rFonts w:ascii="Arial" w:cs="Arial" w:eastAsia="Arial" w:hAnsi="Arial"/>
          <w:sz w:val="10"/>
          <w:szCs w:val="10"/>
          <w:color w:val="FFFFFF"/>
        </w:rPr>
        <w:t>Mark,VOTEsignBY MAILanddate your proxy card and return it in the postage-paid envelope we have provided or return it to Vote Processing, c/o Broadridge, 51 Mercedes Way, Edgewood, NY 11717.</w:t>
      </w:r>
    </w:p>
    <w:p>
      <w:pPr>
        <w:ind w:left="260" w:right="1260" w:hanging="243"/>
        <w:spacing w:after="0"/>
        <w:rPr>
          <w:sz w:val="20"/>
          <w:szCs w:val="20"/>
          <w:color w:val="auto"/>
        </w:rPr>
      </w:pPr>
      <w:r>
        <w:rPr>
          <w:rFonts w:ascii="Arial" w:cs="Arial" w:eastAsia="Arial" w:hAnsi="Arial"/>
          <w:sz w:val="8"/>
          <w:szCs w:val="8"/>
          <w:color w:val="FFFFFF"/>
        </w:rPr>
        <w:t>TheOHISVOTE,PROXYMARKCARDBLOCKSISVALIDBELOWONLYINWHENBLUESIGNEDORBLACKANDINKDATED.ASFOLLOWS: KEEP THIS PORTION FOR YOUR RECORDS DETACH AND RETURN THIS PORTION ONLY Board of Directors recommends you</w:t>
      </w:r>
    </w:p>
    <w:p>
      <w:pPr>
        <w:spacing w:after="0" w:line="30" w:lineRule="exact"/>
        <w:rPr>
          <w:sz w:val="20"/>
          <w:szCs w:val="20"/>
          <w:color w:val="auto"/>
        </w:rPr>
      </w:pPr>
    </w:p>
    <w:p>
      <w:pPr>
        <w:ind w:left="580" w:right="4520" w:hanging="569"/>
        <w:spacing w:after="0" w:line="181" w:lineRule="auto"/>
        <w:rPr>
          <w:sz w:val="20"/>
          <w:szCs w:val="20"/>
          <w:color w:val="auto"/>
        </w:rPr>
      </w:pPr>
      <w:r>
        <w:rPr>
          <w:rFonts w:ascii="Arial" w:cs="Arial" w:eastAsia="Arial" w:hAnsi="Arial"/>
          <w:sz w:val="7"/>
          <w:szCs w:val="7"/>
          <w:color w:val="FFFFFF"/>
        </w:rPr>
        <w:t>Directors,1voteTFORconsiderthe followingandvoteuponproposal:proposalForAgainsttoauthorizeAbstainflexibility for the Company, with the approval of the Company’s Board of to sell shares of the Compacertainy’limitationscommon stock (during the next 12 months)statement a price below the then-current net</w:t>
      </w:r>
    </w:p>
    <w:p>
      <w:pPr>
        <w:spacing w:after="0"/>
        <w:tabs>
          <w:tab w:leader="none" w:pos="2740" w:val="left"/>
          <w:tab w:leader="none" w:pos="3420" w:val="left"/>
          <w:tab w:leader="none" w:pos="4780" w:val="left"/>
        </w:tabs>
        <w:rPr>
          <w:sz w:val="20"/>
          <w:szCs w:val="20"/>
          <w:color w:val="auto"/>
        </w:rPr>
      </w:pPr>
      <w:r>
        <w:rPr>
          <w:rFonts w:ascii="Arial" w:cs="Arial" w:eastAsia="Arial" w:hAnsi="Arial"/>
          <w:sz w:val="3"/>
          <w:szCs w:val="3"/>
          <w:color w:val="FFFFFF"/>
        </w:rPr>
        <w:t>asset value per share, subject to</w:t>
      </w:r>
      <w:r>
        <w:rPr>
          <w:sz w:val="20"/>
          <w:szCs w:val="20"/>
          <w:color w:val="auto"/>
        </w:rPr>
        <w:tab/>
      </w:r>
      <w:r>
        <w:rPr>
          <w:rFonts w:ascii="Arial" w:cs="Arial" w:eastAsia="Arial" w:hAnsi="Arial"/>
          <w:sz w:val="3"/>
          <w:szCs w:val="3"/>
          <w:color w:val="FFFFFF"/>
        </w:rPr>
        <w:t>described</w:t>
      </w:r>
      <w:r>
        <w:rPr>
          <w:sz w:val="20"/>
          <w:szCs w:val="20"/>
          <w:color w:val="auto"/>
        </w:rPr>
        <w:tab/>
      </w:r>
      <w:r>
        <w:rPr>
          <w:rFonts w:ascii="Arial" w:cs="Arial" w:eastAsia="Arial" w:hAnsi="Arial"/>
          <w:sz w:val="3"/>
          <w:szCs w:val="3"/>
          <w:color w:val="FFFFFF"/>
        </w:rPr>
        <w:t>the joint proxy</w:t>
      </w:r>
      <w:r>
        <w:rPr>
          <w:sz w:val="20"/>
          <w:szCs w:val="20"/>
          <w:color w:val="auto"/>
        </w:rPr>
        <w:tab/>
      </w: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(seeFor addressreverse change/comments,forinstructions)YesmarkNo here.</w:t>
      </w:r>
    </w:p>
    <w:p>
      <w:pPr>
        <w:ind w:left="10740"/>
        <w:spacing w:after="0"/>
        <w:rPr>
          <w:sz w:val="20"/>
          <w:szCs w:val="20"/>
          <w:color w:val="auto"/>
        </w:rPr>
      </w:pPr>
      <w:r>
        <w:rPr>
          <w:rFonts w:ascii="Arial" w:cs="Arial" w:eastAsia="Arial" w:hAnsi="Arial"/>
          <w:sz w:val="1"/>
          <w:szCs w:val="1"/>
          <w:color w:val="FFFFFF"/>
        </w:rPr>
        <w:t>Please signindicate if youas planyour toname(s)attend appear(s)thismeetinghreon. When signing as attorney, executor, administrator, or other fiduciary, please give full title as such. Joint owners should each sign personally. All holders</w:t>
      </w:r>
    </w:p>
    <w:p>
      <w:pPr>
        <w:ind w:left="640"/>
        <w:spacing w:after="0"/>
        <w:tabs>
          <w:tab w:leader="none" w:pos="2280" w:val="left"/>
        </w:tabs>
        <w:rPr>
          <w:sz w:val="20"/>
          <w:szCs w:val="20"/>
          <w:color w:val="auto"/>
        </w:rPr>
      </w:pPr>
      <w:r>
        <w:rPr>
          <w:rFonts w:ascii="Arial" w:cs="Arial" w:eastAsia="Arial" w:hAnsi="Arial"/>
          <w:sz w:val="1"/>
          <w:szCs w:val="1"/>
          <w:color w:val="FFFFFF"/>
        </w:rPr>
        <w:t>exactly</w:t>
      </w:r>
      <w:r>
        <w:rPr>
          <w:sz w:val="20"/>
          <w:szCs w:val="20"/>
          <w:color w:val="auto"/>
        </w:rPr>
        <w:tab/>
      </w:r>
      <w:r>
        <w:rPr>
          <w:rFonts w:ascii="Arial" w:cs="Arial" w:eastAsia="Arial" w:hAnsi="Arial"/>
          <w:sz w:val="1"/>
          <w:szCs w:val="1"/>
          <w:color w:val="FFFFFF"/>
        </w:rPr>
        <w:t>please</w:t>
      </w:r>
    </w:p>
    <w:p>
      <w:pPr>
        <w:spacing w:after="0" w:line="29" w:lineRule="exact"/>
        <w:rPr>
          <w:sz w:val="20"/>
          <w:szCs w:val="20"/>
          <w:color w:val="auto"/>
        </w:rPr>
      </w:pPr>
    </w:p>
    <w:p>
      <w:pPr>
        <w:spacing w:after="0"/>
        <w:tabs>
          <w:tab w:leader="none" w:pos="800" w:val="left"/>
          <w:tab w:leader="none" w:pos="2360" w:val="left"/>
        </w:tabs>
        <w:rPr>
          <w:sz w:val="20"/>
          <w:szCs w:val="20"/>
          <w:color w:val="auto"/>
        </w:rPr>
      </w:pPr>
      <w:r>
        <w:rPr>
          <w:rFonts w:ascii="Arial" w:cs="Arial" w:eastAsia="Arial" w:hAnsi="Arial"/>
          <w:sz w:val="14"/>
          <w:szCs w:val="14"/>
          <w:color w:val="FFFFFF"/>
        </w:rPr>
        <w:t>must sign. If</w:t>
        <w:tab/>
        <w:t>corporation or partnership,</w:t>
      </w:r>
      <w:r>
        <w:rPr>
          <w:sz w:val="20"/>
          <w:szCs w:val="20"/>
          <w:color w:val="auto"/>
        </w:rPr>
        <w:tab/>
      </w:r>
      <w:r>
        <w:rPr>
          <w:rFonts w:ascii="Arial" w:cs="Arial" w:eastAsia="Arial" w:hAnsi="Arial"/>
          <w:sz w:val="15"/>
          <w:szCs w:val="15"/>
          <w:color w:val="FFFFFF"/>
          <w:vertAlign w:val="superscript"/>
        </w:rPr>
        <w:t xml:space="preserve">Date </w:t>
      </w:r>
      <w:r>
        <w:rPr>
          <w:rFonts w:ascii="Arial" w:cs="Arial" w:eastAsia="Arial" w:hAnsi="Arial"/>
          <w:sz w:val="15"/>
          <w:szCs w:val="15"/>
          <w:color w:val="FFFFFF"/>
        </w:rPr>
        <w:t>sign in full corporate or partn</w:t>
      </w:r>
      <w:r>
        <w:rPr>
          <w:rFonts w:ascii="Arial" w:cs="Arial" w:eastAsia="Arial" w:hAnsi="Arial"/>
          <w:sz w:val="15"/>
          <w:szCs w:val="15"/>
          <w:color w:val="FFFFFF"/>
          <w:vertAlign w:val="superscript"/>
        </w:rPr>
        <w:t>Date</w:t>
      </w:r>
      <w:r>
        <w:rPr>
          <w:rFonts w:ascii="Arial" w:cs="Arial" w:eastAsia="Arial" w:hAnsi="Arial"/>
          <w:sz w:val="9"/>
          <w:szCs w:val="9"/>
          <w:color w:val="FFFFFF"/>
        </w:rPr>
        <w:t>rship name by authorized officer.</w:t>
      </w:r>
    </w:p>
    <w:p>
      <w:pPr>
        <w:spacing w:after="0" w:line="8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FFFFFF"/>
        </w:rPr>
        <w:t>Signature [PLEASE SIGN WITHIN BOX]</w:t>
      </w:r>
      <w:r>
        <w:rPr>
          <w:sz w:val="20"/>
          <w:szCs w:val="20"/>
          <w:color w:val="auto"/>
        </w:rPr>
        <w:tab/>
      </w:r>
      <w:r>
        <w:rPr>
          <w:rFonts w:ascii="Arial" w:cs="Arial" w:eastAsia="Arial" w:hAnsi="Arial"/>
          <w:sz w:val="12"/>
          <w:szCs w:val="12"/>
          <w:color w:val="FFFFFF"/>
        </w:rPr>
        <w:t>Signature (Joint Owners)</w:t>
      </w:r>
    </w:p>
    <w:p>
      <w:pPr>
        <w:spacing w:after="0"/>
        <w:rPr>
          <w:sz w:val="20"/>
          <w:szCs w:val="20"/>
          <w:color w:val="auto"/>
        </w:rPr>
      </w:pPr>
      <w:r>
        <w:rPr>
          <w:rFonts w:ascii="Arial" w:cs="Arial" w:eastAsia="Arial" w:hAnsi="Arial"/>
          <w:sz w:val="14"/>
          <w:szCs w:val="14"/>
          <w:color w:val="FFFFFF"/>
        </w:rPr>
        <w:t>0000222046_1 R1.0.0.51160</w:t>
      </w:r>
    </w:p>
    <w:p>
      <w:pPr>
        <w:sectPr>
          <w:pgSz w:w="11900" w:h="16838" w:orient="portrait"/>
          <w:cols w:equalWidth="0" w:num="1">
            <w:col w:w="11360"/>
          </w:cols>
          <w:pgMar w:left="240" w:top="1440" w:right="2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Arial" w:cs="Arial" w:eastAsia="Arial" w:hAnsi="Arial"/>
                <w:sz w:val="14"/>
                <w:szCs w:val="14"/>
                <w:color w:val="FFFFFF"/>
              </w:rPr>
              <w:t>Important Notice Regarding the  vailability of Proxy Materials for the Special Meeting: The Special Meeting Proxy Statement is/are available at www.proxyvote.com .</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PENNANTPARK FLOATING RATE CAPITAL LTD. Special Meeting of Stockholders February 3, 2015 2:00 PM</w:t>
            </w:r>
          </w:p>
        </w:tc>
        <w:tc>
          <w:tcPr>
            <w:tcW w:w="0" w:type="dxa"/>
            <w:vAlign w:val="bottom"/>
          </w:tcPr>
          <w:p>
            <w:pPr>
              <w:spacing w:after="0"/>
              <w:rPr>
                <w:sz w:val="1"/>
                <w:szCs w:val="1"/>
                <w:color w:val="auto"/>
              </w:rPr>
            </w:pPr>
          </w:p>
        </w:tc>
      </w:tr>
      <w:tr>
        <w:trPr>
          <w:trHeight w:val="41"/>
        </w:trPr>
        <w:tc>
          <w:tcPr>
            <w:tcW w:w="120" w:type="dxa"/>
            <w:vAlign w:val="bottom"/>
            <w:vMerge w:val="restart"/>
          </w:tcPr>
          <w:p>
            <w:pPr>
              <w:spacing w:after="0" w:line="81" w:lineRule="exact"/>
              <w:rPr>
                <w:sz w:val="20"/>
                <w:szCs w:val="20"/>
                <w:color w:val="auto"/>
              </w:rPr>
            </w:pPr>
            <w:r>
              <w:rPr>
                <w:rFonts w:ascii="Arial" w:cs="Arial" w:eastAsia="Arial" w:hAnsi="Arial"/>
                <w:sz w:val="9"/>
                <w:szCs w:val="9"/>
                <w:color w:val="FFFFFF"/>
              </w:rPr>
              <w:t>T</w:t>
            </w:r>
          </w:p>
        </w:tc>
        <w:tc>
          <w:tcPr>
            <w:tcW w:w="3120" w:type="dxa"/>
            <w:vAlign w:val="bottom"/>
          </w:tcPr>
          <w:p>
            <w:pPr>
              <w:ind w:left="40"/>
              <w:spacing w:after="0"/>
              <w:rPr>
                <w:sz w:val="20"/>
                <w:szCs w:val="20"/>
                <w:color w:val="auto"/>
              </w:rPr>
            </w:pPr>
            <w:r>
              <w:rPr>
                <w:rFonts w:ascii="Arial" w:cs="Arial" w:eastAsia="Arial" w:hAnsi="Arial"/>
                <w:sz w:val="3"/>
                <w:szCs w:val="3"/>
                <w:color w:val="FFFFFF"/>
              </w:rPr>
              <w:t>is proxy is solicited by the Board of Directors</w:t>
            </w:r>
          </w:p>
        </w:tc>
        <w:tc>
          <w:tcPr>
            <w:tcW w:w="816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substitute o act as attorney and proxy for the undersigned to vote all of the shares of Common Stock of PennantPark Floating Rate Capital Ltd.</w:t>
            </w:r>
          </w:p>
        </w:tc>
        <w:tc>
          <w:tcPr>
            <w:tcW w:w="0" w:type="dxa"/>
            <w:vAlign w:val="bottom"/>
          </w:tcPr>
          <w:p>
            <w:pPr>
              <w:spacing w:after="0"/>
              <w:rPr>
                <w:sz w:val="1"/>
                <w:szCs w:val="1"/>
                <w:color w:val="auto"/>
              </w:rPr>
            </w:pPr>
          </w:p>
        </w:tc>
      </w:tr>
      <w:tr>
        <w:trPr>
          <w:trHeight w:val="41"/>
        </w:trPr>
        <w:tc>
          <w:tcPr>
            <w:tcW w:w="120" w:type="dxa"/>
            <w:vAlign w:val="bottom"/>
            <w:vMerge w:val="continue"/>
          </w:tcPr>
          <w:p>
            <w:pPr>
              <w:spacing w:after="0"/>
              <w:rPr>
                <w:sz w:val="3"/>
                <w:szCs w:val="3"/>
                <w:color w:val="auto"/>
              </w:rPr>
            </w:pPr>
          </w:p>
        </w:tc>
        <w:tc>
          <w:tcPr>
            <w:tcW w:w="3120" w:type="dxa"/>
            <w:vAlign w:val="bottom"/>
          </w:tcPr>
          <w:p>
            <w:pPr>
              <w:ind w:left="140"/>
              <w:spacing w:after="0"/>
              <w:rPr>
                <w:sz w:val="20"/>
                <w:szCs w:val="20"/>
                <w:color w:val="auto"/>
              </w:rPr>
            </w:pPr>
            <w:r>
              <w:rPr>
                <w:rFonts w:ascii="Arial" w:cs="Arial" w:eastAsia="Arial" w:hAnsi="Arial"/>
                <w:sz w:val="3"/>
                <w:szCs w:val="3"/>
                <w:color w:val="FFFFFF"/>
              </w:rPr>
              <w:t>undersigned hereby appoints Arthur H. Penn or his d</w:t>
            </w:r>
          </w:p>
        </w:tc>
        <w:tc>
          <w:tcPr>
            <w:tcW w:w="8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40" w:type="dxa"/>
            <w:vAlign w:val="bottom"/>
            <w:gridSpan w:val="2"/>
          </w:tcPr>
          <w:p>
            <w:pPr>
              <w:spacing w:after="0" w:line="121" w:lineRule="exact"/>
              <w:rPr>
                <w:sz w:val="20"/>
                <w:szCs w:val="20"/>
                <w:color w:val="auto"/>
              </w:rPr>
            </w:pPr>
            <w:r>
              <w:rPr>
                <w:rFonts w:ascii="Arial" w:cs="Arial" w:eastAsia="Arial" w:hAnsi="Arial"/>
                <w:sz w:val="12"/>
                <w:szCs w:val="12"/>
                <w:color w:val="FFFFFF"/>
              </w:rPr>
              <w:t>(the “Company”) which the undersigned is entitled to vote</w:t>
            </w:r>
          </w:p>
        </w:tc>
        <w:tc>
          <w:tcPr>
            <w:tcW w:w="8160" w:type="dxa"/>
            <w:vAlign w:val="bottom"/>
          </w:tcPr>
          <w:p>
            <w:pPr>
              <w:ind w:left="100"/>
              <w:spacing w:after="0" w:line="121" w:lineRule="exact"/>
              <w:rPr>
                <w:sz w:val="20"/>
                <w:szCs w:val="20"/>
                <w:color w:val="auto"/>
              </w:rPr>
            </w:pPr>
            <w:r>
              <w:rPr>
                <w:rFonts w:ascii="Arial" w:cs="Arial" w:eastAsia="Arial" w:hAnsi="Arial"/>
                <w:sz w:val="12"/>
                <w:szCs w:val="12"/>
                <w:color w:val="FFFFFF"/>
              </w:rPr>
              <w:t>the Special Meeting of Stockholders of the Company to be held at the offices of Dechert LLP, located at 1095 Avenue of the Americas, New York,</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New York, on February 3, 2015 at 2:00 p.m., Eastern Time,signatedand all adjournments thereof, as indicated on this proxy.</w:t>
      </w:r>
    </w:p>
    <w:p>
      <w:pPr>
        <w:spacing w:after="0" w:line="184" w:lineRule="auto"/>
        <w:rPr>
          <w:sz w:val="20"/>
          <w:szCs w:val="20"/>
          <w:color w:val="auto"/>
        </w:rPr>
      </w:pPr>
      <w:r>
        <w:rPr>
          <w:rFonts w:ascii="Arial" w:cs="Arial" w:eastAsia="Arial" w:hAnsi="Arial"/>
          <w:sz w:val="10"/>
          <w:szCs w:val="10"/>
          <w:color w:val="FFFFFF"/>
        </w:rPr>
        <w:t>AddressThisproxy,change/comments:whenproperlyexecuted, will be voted in the manner directed herein. If no such direction is made, this proxy will be voted in accordance with the Board of Director recommendations.</w:t>
      </w:r>
    </w:p>
    <w:p>
      <w:pPr>
        <w:spacing w:after="0"/>
        <w:rPr>
          <w:sz w:val="20"/>
          <w:szCs w:val="20"/>
          <w:color w:val="auto"/>
        </w:rPr>
      </w:pPr>
      <w:r>
        <w:rPr>
          <w:rFonts w:ascii="Arial" w:cs="Arial" w:eastAsia="Arial" w:hAnsi="Arial"/>
          <w:sz w:val="3"/>
          <w:szCs w:val="3"/>
          <w:color w:val="FFFFFF"/>
        </w:rPr>
        <w:t>Continued(Ifyounotedandanyto beAddresssignedChangesonreverseand/orsideComments above, please mark corresponding box on the reverse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0000222046_2 R1.0.0.51160</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1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2019-12-07T15:14:24Z</dcterms:created>
  <dcterms:modified xsi:type="dcterms:W3CDTF">2019-12-07T15:14:24Z</dcterms:modified>
</cp:coreProperties>
</file>