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30,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30, 2022, PennantPark Investment Corporation (the “Company”), acting pursuant to authorization from its Board of Directors, provided written notice to The Nasdaq Stock Market LLC (“Nasdaq”) of its determination to voluntarily withdraw the principal listing of the Company’s common stock, $0.001 par value (the “Common Stock”), from Nasdaq and transfer the listing to the New York Stock Exchange (“NYSE”). The Company expects that listing and trading of the Common Stock on Nasdaq will end at market close on April 13, 2022, and that trading will commence on the NYSE at market open on April 14,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been authorized for listing on the NYSE, where it will continue to trade under the stock symbol “PNNT.”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30, 2022, the Company issued a press release, a copy of which is furnished as Exhibit 99.1 to this report on Form 8-K.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March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880" w:type="dxa"/>
            <w:vAlign w:val="bottom"/>
            <w:gridSpan w:val="3"/>
          </w:tcPr>
          <w:p>
            <w:pPr>
              <w:ind w:left="19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March 30, 2022</w:t>
            </w:r>
          </w:p>
        </w:tc>
        <w:tc>
          <w:tcPr>
            <w:tcW w:w="488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PennantPark Investment Corporation Announces Transfer of Common Stock listing to the New York Stock Exchange</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MIAMI, March 30, 2022 (GLOBE NEWSWIRE) -- PennantPark Investment Corporation (the “Company”) (NASDAQ: PNNT) today announced that it is transferring the listing of its common stock to the New York Stock Exchange (NYSE) from The NASDAQ Global Select Market. The Company’s common stock is expected to begin trading on the NYSE on April 14, 2022 under its current ticker symbol of ‘PNNT’. The Company will continue to trade its common stock on NASDAQ until the transfer to the NYSE is completed.</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“PennantPark Investment Corporation is pleased to join the NYSE alongside many of the world’s most well-established and regarded companies,” said Arthur H. Penn, Chairman and CEO of PennantPark Investment Corporation. “This move is part of our strategic evolution as we continue to focus on generating long-term value for our shareholders. We are grateful for our past partnership with NASDAQ and look forward to our future with the NYSE.”</w:t>
      </w:r>
    </w:p>
    <w:p>
      <w:pPr>
        <w:spacing w:after="0" w:line="174"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“We are excited to welcome PennantPark Investment Corporation as it joins the NYSE’s community of icons and disruptors,” said John Tuttle, Vice Chairman and Chief Commercial Officer, NYSE Group.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$5.9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You should understand that under Section 27A(b)(2)(B) of the Securities Act and Section 21E(b)(2)(B) of the Securities Exchange Act of 1934, as amended (the “Exchange Act”), the “safe harbor” provisions of the Private Securities Litigation Reform Act of 1995, as amended,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military conflict and related sanctions, terrorism, natural disasters or pandemics. The Company undertakes no duty to update any forward-looking statement made herein. You should not place undue influence on such forward-looking statements as such statements speak only as of the date on which they are made.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b w:val="1"/>
          <w:bCs w:val="1"/>
          <w:color w:val="auto"/>
        </w:rPr>
        <w:t>Rubenstein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Stefan Prelog</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917-804-7003</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sprelog@rubenstein.com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2022-03-30T16:04:24Z</dcterms:created>
  <dcterms:modified xsi:type="dcterms:W3CDTF">2022-03-30T16:04:24Z</dcterms:modified>
</cp:coreProperties>
</file>