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w:t>
      </w:r>
    </w:p>
    <w:p>
      <w:pPr>
        <w:jc w:val="center"/>
        <w:ind w:right="-6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November 21, 2013</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79"/>
        <w:spacing w:after="0"/>
        <w:rPr>
          <w:sz w:val="20"/>
          <w:szCs w:val="20"/>
          <w:color w:val="auto"/>
        </w:rPr>
      </w:pPr>
      <w:r>
        <w:rPr>
          <w:rFonts w:ascii="Arial" w:cs="Arial" w:eastAsia="Arial" w:hAnsi="Arial"/>
          <w:sz w:val="39"/>
          <w:szCs w:val="39"/>
          <w:b w:val="1"/>
          <w:bCs w:val="1"/>
          <w:color w:val="auto"/>
        </w:rPr>
        <w:t>PennantPark Investment Corporation</w:t>
      </w:r>
    </w:p>
    <w:p>
      <w:pPr>
        <w:spacing w:after="0" w:line="9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31" w:lineRule="exact"/>
        <w:rPr>
          <w:sz w:val="24"/>
          <w:szCs w:val="24"/>
          <w:color w:val="auto"/>
        </w:rPr>
      </w:pPr>
    </w:p>
    <w:p>
      <w:pPr>
        <w:sectPr>
          <w:pgSz w:w="11900" w:h="16838" w:orient="portrait"/>
          <w:cols w:equalWidth="0" w:num="3">
            <w:col w:w="4640" w:space="720"/>
            <w:col w:w="2920" w:space="720"/>
            <w:col w:w="1560"/>
          </w:cols>
          <w:pgMar w:left="320" w:top="368"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4"/>
          <w:szCs w:val="14"/>
          <w:b w:val="1"/>
          <w:bCs w:val="1"/>
          <w:color w:val="auto"/>
        </w:rPr>
        <w:t>(IRS Employer</w:t>
      </w:r>
    </w:p>
    <w:p>
      <w:pPr>
        <w:jc w:val="center"/>
        <w:ind w:right="40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620" w:space="720"/>
            <w:col w:w="2680" w:space="720"/>
            <w:col w:w="1820"/>
          </w:cols>
          <w:pgMar w:left="320" w:top="368" w:right="1019" w:bottom="1440" w:gutter="0" w:footer="0" w:header="0"/>
          <w:type w:val="continuous"/>
        </w:sectPr>
      </w:pPr>
    </w:p>
    <w:p>
      <w:pPr>
        <w:spacing w:after="0" w:line="32"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40" w:space="720"/>
            <w:col w:w="2300"/>
          </w:cols>
          <w:pgMar w:left="320" w:top="368" w:right="101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40" w:space="720"/>
            <w:col w:w="2400"/>
          </w:cols>
          <w:pgMar w:left="320" w:top="368" w:right="10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4.01. Changes in Registrant’s Certifying Accountant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Dismissal of independent registered public accounting firm</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On November 21, 2013, the board of directors (the “Board”) of PennantPark Investment Corporation (the “Company”) (NASDAQ:PNNT) dismissed KPMG LLP (“KPMG”) as the Company’s independent registered public accounting firm. The Board’s decision to dismiss KPMG was recommended by the audit committee of the Board.</w:t>
      </w:r>
    </w:p>
    <w:p>
      <w:pPr>
        <w:spacing w:after="0" w:line="184"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KPMG served as the Company’s independent registered public accounting firm for the fiscal years ended September 30, 2012 and 2013. The audit reports of KPMG on the Company’s financial statements as of and for the years ended September 30, 2012 and 2013 did not contain an adverse opinion or disclaimer of opinion and were not qualified or modified as to uncertainty, audit scope or accounting principles.</w:t>
      </w:r>
    </w:p>
    <w:p>
      <w:pPr>
        <w:spacing w:after="0" w:line="165"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During the fiscal years ended September 30, 2012 and 2013 and through November 21, 2013, there were no disagreements with KPMG on any matter of accounting principles or practices, financial statement disclosure, or auditing scope or procedure, which disagreements if not resolved to the satisfaction of KPMG would have caused it to make reference to the subject matter of the disagreements in connection with its audit report, nor were there any “reportable events” as such term is described in Item 304(a)(1)(v) of Regulation S-K, promulgated under the Securities Exchange Act of 1934, as amended (the “Exchange Act”).</w:t>
      </w:r>
    </w:p>
    <w:p>
      <w:pPr>
        <w:spacing w:after="0" w:line="188"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Company requested that KPMG reviews the disclosures contained herein and asked KPMG to furnish the Company with a letter addressed to the U.S. Securities and Exchange Commission containing any new information, clarification of the Company’s expression of KPMG’s views, or the respects in which KPMG does not agree with the statements contained herein. A copy of KPMG’s letter dated November 25, 2013 is filed as an exhibit to this Form 8-K.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Engagement of new independent registered public accounting firm</w:t>
      </w:r>
    </w:p>
    <w:p>
      <w:pPr>
        <w:spacing w:after="0" w:line="117" w:lineRule="exact"/>
        <w:rPr>
          <w:sz w:val="20"/>
          <w:szCs w:val="20"/>
          <w:color w:val="auto"/>
        </w:rPr>
      </w:pPr>
    </w:p>
    <w:p>
      <w:pPr>
        <w:jc w:val="both"/>
        <w:ind w:right="20" w:firstLine="449"/>
        <w:spacing w:after="0" w:line="342" w:lineRule="auto"/>
        <w:rPr>
          <w:sz w:val="20"/>
          <w:szCs w:val="20"/>
          <w:color w:val="auto"/>
        </w:rPr>
      </w:pPr>
      <w:r>
        <w:rPr>
          <w:rFonts w:ascii="Arial" w:cs="Arial" w:eastAsia="Arial" w:hAnsi="Arial"/>
          <w:sz w:val="16"/>
          <w:szCs w:val="16"/>
          <w:color w:val="auto"/>
        </w:rPr>
        <w:t>On November 21, 2013, upon the recommendation of the audit committee, the Board engaged McGladrey LLP (“McGladrey”) to serve as the Company’s independent registered accounting firm to audit the Company’s consolidated financial statements for the fiscal year ending September 30, 2014.</w:t>
      </w:r>
    </w:p>
    <w:p>
      <w:pPr>
        <w:spacing w:after="0" w:line="12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During the two most recent fiscal years and through November 21, 2013, the date of the engagement of McGladrey, neither the Company nor any person on its behalf has consulted with McGladrey with respect to either (i) the application of accounting principles to a specified transaction, either completed or proposed, or the type of audit opinion that might be rendered on the Company’s consolidated financial statements or (ii) any matter that was either the subject of a “disagreement” or a “reportable event” as such terms are described in Items 304(a)(1)(iv) or 304(a)(1)(v), respectively, of Regulation S-K promulgated under the Exchange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This Current Report on Form 8-K, including Exhibit 16.1 hereto,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jc w:val="center"/>
        <w:ind w:left="900" w:right="9340" w:hanging="892"/>
        <w:spacing w:after="0" w:line="488" w:lineRule="auto"/>
        <w:tabs>
          <w:tab w:leader="none" w:pos="25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15" w:lineRule="exact"/>
        <w:rPr>
          <w:rFonts w:ascii="Arial" w:cs="Arial" w:eastAsia="Arial" w:hAnsi="Arial"/>
          <w:sz w:val="16"/>
          <w:szCs w:val="16"/>
          <w:b w:val="1"/>
          <w:bCs w:val="1"/>
          <w:color w:val="auto"/>
        </w:rPr>
      </w:pPr>
    </w:p>
    <w:p>
      <w:pPr>
        <w:ind w:left="900" w:right="8440" w:hanging="892"/>
        <w:spacing w:after="0" w:line="407" w:lineRule="auto"/>
        <w:tabs>
          <w:tab w:leader="none" w:pos="26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900" w:right="8820" w:hanging="892"/>
        <w:spacing w:after="0" w:line="488" w:lineRule="auto"/>
        <w:tabs>
          <w:tab w:leader="none" w:pos="24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Shell company transactions: </w:t>
      </w:r>
      <w:r>
        <w:rPr>
          <w:rFonts w:ascii="Arial" w:cs="Arial" w:eastAsia="Arial" w:hAnsi="Arial"/>
          <w:sz w:val="16"/>
          <w:szCs w:val="16"/>
          <w:color w:val="auto"/>
        </w:rPr>
        <w:t>None</w:t>
      </w:r>
    </w:p>
    <w:p>
      <w:pPr>
        <w:spacing w:after="0" w:line="115" w:lineRule="exact"/>
        <w:rPr>
          <w:rFonts w:ascii="Arial" w:cs="Arial" w:eastAsia="Arial" w:hAnsi="Arial"/>
          <w:sz w:val="16"/>
          <w:szCs w:val="16"/>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Letter of KPMG LLP</w:t>
      </w:r>
    </w:p>
    <w:p>
      <w:pPr>
        <w:sectPr>
          <w:pgSz w:w="11900" w:h="16838" w:orient="portrait"/>
          <w:cols w:equalWidth="0" w:num="1">
            <w:col w:w="11240"/>
          </w:cols>
          <w:pgMar w:left="320" w:top="270"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25, 2013</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740"/>
          </w:cols>
          <w:pgMar w:left="320" w:top="270" w:right="8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Letter of KPMG LLP</w:t>
      </w:r>
    </w:p>
    <w:p>
      <w:pPr>
        <w:sectPr>
          <w:pgSz w:w="11900" w:h="16838" w:orient="portrait"/>
          <w:cols w:equalWidth="0" w:num="1">
            <w:col w:w="10139"/>
          </w:cols>
          <w:pgMar w:left="320" w:top="37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[KPMG LLP Letterhead]</w:t>
      </w:r>
    </w:p>
    <w:p>
      <w:pPr>
        <w:spacing w:after="0" w:line="22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November 25,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We were previously principal accountants for PennantPark Investment Corporation (the “Company”) and, under the date of November 13, 2013, we reported on the consolidated financial statements of the Company as of and for the years ended September 30, 2013 and 2012, and the effectiveness of internal control over financial reporting as of September 30, 2013. On November 21, 2013, we were dismissed. We have read the Company’s statements included under Item 4.01 of Form 8-K dated November 25, 2013, and we agree with such statements, except that we are not in a position to agree or disagree with the Company’s statements made under paragraph (b) of Item 4.01.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2020-05-05T15:07:43Z</dcterms:created>
  <dcterms:modified xsi:type="dcterms:W3CDTF">2020-05-05T15:07:43Z</dcterms:modified>
</cp:coreProperties>
</file>